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ind w:firstLine="1680" w:firstLineChars="600"/>
        <w:rPr>
          <w:rFonts w:ascii="仿宋" w:hAnsi="仿宋" w:eastAsia="仿宋" w:cs="仿宋"/>
          <w:sz w:val="28"/>
          <w:szCs w:val="28"/>
        </w:rPr>
      </w:pPr>
    </w:p>
    <w:p>
      <w:pPr>
        <w:spacing w:line="360" w:lineRule="auto"/>
        <w:rPr>
          <w:rFonts w:ascii="仿宋" w:hAnsi="仿宋" w:eastAsia="仿宋" w:cs="仿宋"/>
          <w:sz w:val="28"/>
          <w:szCs w:val="28"/>
        </w:rPr>
      </w:pPr>
    </w:p>
    <w:p>
      <w:pPr>
        <w:tabs>
          <w:tab w:val="left" w:pos="5670"/>
        </w:tabs>
        <w:autoSpaceDE w:val="0"/>
        <w:autoSpaceDN w:val="0"/>
        <w:adjustRightInd w:val="0"/>
        <w:spacing w:line="360" w:lineRule="auto"/>
        <w:jc w:val="center"/>
        <w:rPr>
          <w:rFonts w:ascii="宋体" w:hAnsi="宋体" w:cs="宋体"/>
          <w:b/>
          <w:bCs/>
          <w:sz w:val="48"/>
          <w:szCs w:val="44"/>
          <w:lang w:val="zh-CN"/>
        </w:rPr>
      </w:pPr>
    </w:p>
    <w:p>
      <w:pPr>
        <w:tabs>
          <w:tab w:val="left" w:pos="5670"/>
        </w:tabs>
        <w:autoSpaceDE w:val="0"/>
        <w:autoSpaceDN w:val="0"/>
        <w:adjustRightInd w:val="0"/>
        <w:spacing w:line="360" w:lineRule="auto"/>
        <w:jc w:val="center"/>
        <w:rPr>
          <w:rFonts w:hint="eastAsia" w:ascii="宋体" w:hAnsi="宋体" w:cs="宋体"/>
          <w:b/>
          <w:bCs/>
          <w:sz w:val="48"/>
          <w:szCs w:val="44"/>
          <w:lang w:val="zh-CN"/>
        </w:rPr>
      </w:pPr>
      <w:r>
        <w:rPr>
          <w:rFonts w:hint="eastAsia" w:ascii="宋体" w:hAnsi="宋体" w:cs="宋体"/>
          <w:b/>
          <w:bCs/>
          <w:sz w:val="48"/>
          <w:szCs w:val="44"/>
          <w:lang w:val="zh-CN"/>
        </w:rPr>
        <w:t>陕西中医药大学附属医院</w:t>
      </w:r>
    </w:p>
    <w:p>
      <w:pPr>
        <w:spacing w:line="360" w:lineRule="auto"/>
        <w:ind w:firstLine="1928" w:firstLineChars="400"/>
        <w:jc w:val="both"/>
        <w:rPr>
          <w:rFonts w:hint="eastAsia" w:ascii="宋体" w:hAnsi="宋体" w:cs="宋体"/>
          <w:b/>
          <w:bCs/>
          <w:sz w:val="48"/>
          <w:szCs w:val="44"/>
          <w:lang w:val="zh-CN"/>
        </w:rPr>
      </w:pPr>
      <w:r>
        <w:rPr>
          <w:rFonts w:hint="eastAsia" w:ascii="宋体" w:hAnsi="宋体" w:cs="宋体"/>
          <w:b/>
          <w:bCs/>
          <w:sz w:val="48"/>
          <w:szCs w:val="44"/>
          <w:lang w:val="zh-CN"/>
        </w:rPr>
        <w:t>前置审方系统采购项目</w:t>
      </w:r>
    </w:p>
    <w:p>
      <w:pPr>
        <w:spacing w:line="360" w:lineRule="auto"/>
        <w:ind w:firstLine="3373" w:firstLineChars="700"/>
        <w:jc w:val="both"/>
        <w:rPr>
          <w:rFonts w:ascii="仿宋" w:hAnsi="仿宋" w:eastAsia="仿宋" w:cs="仿宋"/>
          <w:b/>
          <w:bCs/>
          <w:sz w:val="36"/>
          <w:szCs w:val="36"/>
        </w:rPr>
      </w:pPr>
      <w:r>
        <w:rPr>
          <w:rFonts w:hint="eastAsia" w:ascii="宋体" w:hAnsi="宋体" w:cs="宋体"/>
          <w:b/>
          <w:bCs/>
          <w:sz w:val="48"/>
          <w:szCs w:val="44"/>
          <w:lang w:val="zh-CN"/>
        </w:rPr>
        <w:t>（</w:t>
      </w:r>
      <w:r>
        <w:rPr>
          <w:rFonts w:hint="eastAsia" w:ascii="宋体" w:hAnsi="宋体" w:cs="宋体"/>
          <w:b/>
          <w:bCs/>
          <w:sz w:val="48"/>
          <w:szCs w:val="44"/>
          <w:lang w:val="en-US" w:eastAsia="zh-CN"/>
        </w:rPr>
        <w:t>二次</w:t>
      </w:r>
      <w:r>
        <w:rPr>
          <w:rFonts w:hint="eastAsia" w:ascii="宋体" w:hAnsi="宋体" w:cs="宋体"/>
          <w:b/>
          <w:bCs/>
          <w:sz w:val="48"/>
          <w:szCs w:val="44"/>
          <w:lang w:val="zh-CN"/>
        </w:rPr>
        <w:t>）</w:t>
      </w:r>
    </w:p>
    <w:p>
      <w:pPr>
        <w:tabs>
          <w:tab w:val="left" w:pos="5670"/>
        </w:tabs>
        <w:autoSpaceDE w:val="0"/>
        <w:autoSpaceDN w:val="0"/>
        <w:adjustRightInd w:val="0"/>
        <w:spacing w:line="360" w:lineRule="auto"/>
        <w:jc w:val="center"/>
        <w:rPr>
          <w:rFonts w:ascii="宋体" w:hAnsi="宋体" w:cs="宋体"/>
          <w:b/>
          <w:bCs/>
          <w:sz w:val="48"/>
          <w:szCs w:val="44"/>
          <w:lang w:val="zh-CN"/>
        </w:rPr>
      </w:pPr>
    </w:p>
    <w:p>
      <w:pPr>
        <w:tabs>
          <w:tab w:val="left" w:pos="5670"/>
        </w:tabs>
        <w:autoSpaceDE w:val="0"/>
        <w:autoSpaceDN w:val="0"/>
        <w:adjustRightInd w:val="0"/>
        <w:spacing w:line="360" w:lineRule="auto"/>
        <w:jc w:val="center"/>
        <w:rPr>
          <w:rFonts w:ascii="宋体" w:hAnsi="宋体" w:cs="宋体"/>
          <w:b/>
          <w:bCs/>
          <w:sz w:val="48"/>
          <w:szCs w:val="44"/>
          <w:lang w:val="zh-CN"/>
        </w:rPr>
      </w:pPr>
      <w:bookmarkStart w:id="0" w:name="_GoBack"/>
      <w:bookmarkEnd w:id="0"/>
    </w:p>
    <w:p>
      <w:pPr>
        <w:tabs>
          <w:tab w:val="left" w:pos="5670"/>
        </w:tabs>
        <w:autoSpaceDE w:val="0"/>
        <w:autoSpaceDN w:val="0"/>
        <w:adjustRightInd w:val="0"/>
        <w:spacing w:line="360" w:lineRule="auto"/>
        <w:jc w:val="center"/>
        <w:rPr>
          <w:rFonts w:ascii="宋体" w:hAnsi="宋体" w:cs="宋体"/>
          <w:b/>
          <w:bCs/>
          <w:sz w:val="48"/>
          <w:szCs w:val="44"/>
          <w:lang w:val="zh-CN"/>
        </w:rPr>
      </w:pPr>
      <w:r>
        <w:rPr>
          <w:rFonts w:hint="eastAsia" w:ascii="宋体" w:hAnsi="宋体" w:cs="宋体"/>
          <w:b/>
          <w:bCs/>
          <w:sz w:val="48"/>
          <w:szCs w:val="44"/>
          <w:lang w:val="zh-CN"/>
        </w:rPr>
        <w:t>采购合同</w:t>
      </w:r>
    </w:p>
    <w:p>
      <w:pPr>
        <w:spacing w:line="360" w:lineRule="auto"/>
        <w:ind w:firstLine="720" w:firstLineChars="300"/>
        <w:rPr>
          <w:rFonts w:ascii="仿宋" w:hAnsi="仿宋" w:eastAsia="仿宋" w:cs="仿宋"/>
          <w:sz w:val="24"/>
        </w:rPr>
      </w:pPr>
    </w:p>
    <w:p>
      <w:pPr>
        <w:spacing w:line="360" w:lineRule="auto"/>
        <w:ind w:firstLine="720" w:firstLineChars="300"/>
        <w:rPr>
          <w:rFonts w:ascii="仿宋" w:hAnsi="仿宋" w:eastAsia="仿宋" w:cs="仿宋"/>
          <w:sz w:val="24"/>
        </w:rPr>
      </w:pPr>
    </w:p>
    <w:p>
      <w:pPr>
        <w:spacing w:line="360" w:lineRule="auto"/>
        <w:ind w:firstLine="720" w:firstLineChars="300"/>
        <w:rPr>
          <w:rFonts w:ascii="仿宋" w:hAnsi="仿宋" w:eastAsia="仿宋" w:cs="仿宋"/>
          <w:sz w:val="24"/>
        </w:rPr>
      </w:pPr>
    </w:p>
    <w:p>
      <w:pPr>
        <w:spacing w:line="360" w:lineRule="auto"/>
        <w:ind w:firstLine="720" w:firstLineChars="300"/>
        <w:rPr>
          <w:rFonts w:ascii="仿宋" w:hAnsi="仿宋" w:eastAsia="仿宋" w:cs="仿宋"/>
          <w:sz w:val="24"/>
        </w:rPr>
      </w:pPr>
    </w:p>
    <w:p>
      <w:pPr>
        <w:spacing w:line="360" w:lineRule="auto"/>
        <w:ind w:firstLine="720" w:firstLineChars="300"/>
        <w:rPr>
          <w:rFonts w:ascii="仿宋" w:hAnsi="仿宋" w:eastAsia="仿宋" w:cs="仿宋"/>
          <w:sz w:val="24"/>
        </w:rPr>
      </w:pPr>
    </w:p>
    <w:p>
      <w:pPr>
        <w:spacing w:line="360" w:lineRule="auto"/>
        <w:ind w:firstLine="720" w:firstLineChars="300"/>
        <w:rPr>
          <w:rFonts w:ascii="仿宋" w:hAnsi="仿宋" w:eastAsia="仿宋" w:cs="仿宋"/>
          <w:sz w:val="24"/>
        </w:rPr>
      </w:pPr>
    </w:p>
    <w:p>
      <w:pPr>
        <w:spacing w:line="360" w:lineRule="auto"/>
        <w:ind w:firstLine="720" w:firstLineChars="300"/>
        <w:rPr>
          <w:rFonts w:ascii="仿宋" w:hAnsi="仿宋" w:eastAsia="仿宋" w:cs="仿宋"/>
          <w:sz w:val="24"/>
        </w:rPr>
      </w:pPr>
    </w:p>
    <w:p>
      <w:pPr>
        <w:spacing w:line="360" w:lineRule="auto"/>
        <w:ind w:firstLine="720" w:firstLineChars="300"/>
        <w:rPr>
          <w:rFonts w:ascii="仿宋" w:hAnsi="仿宋" w:eastAsia="仿宋" w:cs="仿宋"/>
          <w:sz w:val="24"/>
        </w:rPr>
      </w:pPr>
    </w:p>
    <w:p>
      <w:pPr>
        <w:spacing w:line="360" w:lineRule="auto"/>
        <w:ind w:firstLine="720" w:firstLineChars="300"/>
        <w:rPr>
          <w:rFonts w:ascii="仿宋" w:hAnsi="仿宋" w:eastAsia="仿宋" w:cs="仿宋"/>
          <w:sz w:val="24"/>
        </w:rPr>
      </w:pPr>
      <w:r>
        <w:rPr>
          <w:rFonts w:hint="eastAsia" w:ascii="仿宋" w:hAnsi="仿宋" w:eastAsia="仿宋" w:cs="仿宋"/>
          <w:sz w:val="24"/>
        </w:rPr>
        <w:t xml:space="preserve">         合同编号：</w:t>
      </w:r>
    </w:p>
    <w:p>
      <w:pPr>
        <w:spacing w:line="360" w:lineRule="auto"/>
        <w:ind w:firstLine="720" w:firstLineChars="300"/>
        <w:rPr>
          <w:rFonts w:ascii="仿宋" w:hAnsi="仿宋" w:eastAsia="仿宋" w:cs="仿宋"/>
          <w:sz w:val="24"/>
        </w:rPr>
      </w:pPr>
      <w:r>
        <w:rPr>
          <w:rFonts w:hint="eastAsia" w:ascii="仿宋" w:hAnsi="仿宋" w:eastAsia="仿宋" w:cs="仿宋"/>
          <w:sz w:val="24"/>
        </w:rPr>
        <w:t xml:space="preserve">         签约地点：</w:t>
      </w:r>
    </w:p>
    <w:p>
      <w:pPr>
        <w:spacing w:line="360" w:lineRule="auto"/>
        <w:ind w:firstLine="720" w:firstLineChars="300"/>
        <w:rPr>
          <w:rFonts w:ascii="仿宋" w:hAnsi="仿宋" w:eastAsia="仿宋" w:cs="仿宋"/>
          <w:sz w:val="24"/>
        </w:rPr>
      </w:pPr>
      <w:r>
        <w:rPr>
          <w:rFonts w:hint="eastAsia" w:ascii="仿宋" w:hAnsi="仿宋" w:eastAsia="仿宋" w:cs="仿宋"/>
          <w:sz w:val="24"/>
        </w:rPr>
        <w:t xml:space="preserve">         甲     方：</w:t>
      </w:r>
      <w:r>
        <w:rPr>
          <w:rFonts w:ascii="仿宋" w:hAnsi="仿宋" w:eastAsia="仿宋" w:cs="仿宋"/>
          <w:sz w:val="24"/>
        </w:rPr>
        <w:t xml:space="preserve"> </w:t>
      </w:r>
    </w:p>
    <w:p>
      <w:pPr>
        <w:spacing w:line="360" w:lineRule="auto"/>
        <w:ind w:firstLine="720" w:firstLineChars="300"/>
        <w:rPr>
          <w:rFonts w:hint="eastAsia" w:ascii="仿宋" w:hAnsi="仿宋" w:eastAsia="仿宋" w:cs="仿宋"/>
          <w:sz w:val="24"/>
        </w:rPr>
      </w:pPr>
      <w:r>
        <w:rPr>
          <w:rFonts w:hint="eastAsia" w:ascii="仿宋" w:hAnsi="仿宋" w:eastAsia="仿宋" w:cs="仿宋"/>
          <w:sz w:val="24"/>
        </w:rPr>
        <w:t xml:space="preserve">         乙     方：陕西中医药大学附属医院</w:t>
      </w:r>
    </w:p>
    <w:p>
      <w:pPr>
        <w:spacing w:line="360" w:lineRule="auto"/>
        <w:ind w:firstLine="720" w:firstLineChars="300"/>
        <w:rPr>
          <w:rFonts w:ascii="仿宋" w:hAnsi="仿宋" w:eastAsia="仿宋" w:cs="仿宋"/>
          <w:sz w:val="24"/>
        </w:rPr>
      </w:pPr>
      <w:r>
        <w:rPr>
          <w:rFonts w:hint="eastAsia" w:ascii="仿宋" w:hAnsi="仿宋" w:eastAsia="仿宋" w:cs="仿宋"/>
          <w:sz w:val="24"/>
        </w:rPr>
        <w:t xml:space="preserve">         签约日期：      年     月    日</w:t>
      </w:r>
    </w:p>
    <w:p>
      <w:pPr>
        <w:pStyle w:val="12"/>
        <w:spacing w:line="360" w:lineRule="auto"/>
        <w:ind w:firstLine="640"/>
      </w:pPr>
    </w:p>
    <w:p/>
    <w:p>
      <w:pPr>
        <w:spacing w:line="360" w:lineRule="auto"/>
        <w:ind w:firstLine="964" w:firstLineChars="300"/>
        <w:jc w:val="center"/>
        <w:rPr>
          <w:rFonts w:ascii="仿宋" w:hAnsi="仿宋" w:eastAsia="仿宋" w:cs="仿宋"/>
          <w:b/>
          <w:bCs/>
          <w:sz w:val="32"/>
          <w:szCs w:val="32"/>
        </w:rPr>
      </w:pPr>
      <w:r>
        <w:rPr>
          <w:rFonts w:hint="eastAsia" w:ascii="仿宋" w:hAnsi="仿宋" w:eastAsia="仿宋" w:cs="仿宋"/>
          <w:b/>
          <w:bCs/>
          <w:sz w:val="32"/>
          <w:szCs w:val="32"/>
        </w:rPr>
        <w:br w:type="page"/>
      </w:r>
      <w:r>
        <w:rPr>
          <w:rFonts w:hint="eastAsia" w:ascii="仿宋" w:hAnsi="仿宋" w:eastAsia="仿宋" w:cs="仿宋"/>
          <w:b/>
          <w:bCs/>
          <w:sz w:val="32"/>
          <w:szCs w:val="32"/>
        </w:rPr>
        <w:t>项目合同</w:t>
      </w:r>
    </w:p>
    <w:p>
      <w:pPr>
        <w:spacing w:line="400" w:lineRule="exact"/>
        <w:ind w:right="-298"/>
        <w:jc w:val="center"/>
        <w:rPr>
          <w:rFonts w:ascii="宋体" w:hAnsi="宋体"/>
          <w:sz w:val="24"/>
        </w:rPr>
      </w:pPr>
      <w:r>
        <w:rPr>
          <w:rFonts w:hint="eastAsia" w:ascii="宋体" w:hAnsi="宋体"/>
          <w:sz w:val="24"/>
        </w:rPr>
        <w:t xml:space="preserve">        </w:t>
      </w:r>
    </w:p>
    <w:p>
      <w:pPr>
        <w:spacing w:line="360" w:lineRule="auto"/>
        <w:rPr>
          <w:rFonts w:ascii="仿宋" w:hAnsi="仿宋" w:eastAsia="仿宋" w:cs="仿宋"/>
          <w:sz w:val="24"/>
        </w:rPr>
      </w:pPr>
      <w:r>
        <w:rPr>
          <w:rFonts w:hint="eastAsia" w:ascii="仿宋" w:hAnsi="仿宋" w:eastAsia="仿宋" w:cs="仿宋"/>
          <w:sz w:val="24"/>
        </w:rPr>
        <w:t>甲方（需方）：陕西中医药大学附属医院</w:t>
      </w:r>
    </w:p>
    <w:p>
      <w:pPr>
        <w:spacing w:line="360" w:lineRule="auto"/>
        <w:rPr>
          <w:rFonts w:ascii="仿宋" w:hAnsi="仿宋" w:eastAsia="仿宋" w:cs="仿宋"/>
          <w:sz w:val="24"/>
          <w:lang w:val="zh-CN"/>
        </w:rPr>
      </w:pPr>
      <w:r>
        <w:rPr>
          <w:rFonts w:hint="eastAsia" w:ascii="仿宋" w:hAnsi="仿宋" w:eastAsia="仿宋" w:cs="仿宋"/>
          <w:sz w:val="24"/>
        </w:rPr>
        <w:t>乙方（供方）：</w:t>
      </w:r>
      <w:r>
        <w:rPr>
          <w:rFonts w:ascii="仿宋" w:hAnsi="仿宋" w:eastAsia="仿宋" w:cs="仿宋"/>
          <w:sz w:val="24"/>
          <w:lang w:val="zh-CN"/>
        </w:rPr>
        <w:t xml:space="preserve"> </w:t>
      </w:r>
    </w:p>
    <w:p>
      <w:pPr>
        <w:spacing w:line="360" w:lineRule="auto"/>
        <w:ind w:firstLine="720" w:firstLineChars="300"/>
        <w:rPr>
          <w:rFonts w:ascii="仿宋" w:hAnsi="仿宋" w:eastAsia="仿宋" w:cs="仿宋"/>
          <w:sz w:val="24"/>
        </w:rPr>
      </w:pPr>
      <w:r>
        <w:rPr>
          <w:rFonts w:hint="eastAsia" w:ascii="仿宋" w:hAnsi="仿宋" w:eastAsia="仿宋" w:cs="仿宋"/>
          <w:sz w:val="24"/>
        </w:rPr>
        <w:t>甲、乙双方基于公平、公正、平等的原则，依据《中华人民共和国民法典》之相关规定，现经甲、乙双方友好协商，就</w:t>
      </w:r>
      <w:r>
        <w:rPr>
          <w:rFonts w:hint="eastAsia" w:ascii="仿宋" w:hAnsi="仿宋" w:eastAsia="仿宋" w:cs="仿宋"/>
          <w:sz w:val="24"/>
          <w:u w:val="single"/>
        </w:rPr>
        <w:t>陕西中医药大学附属医院*****采购项目</w:t>
      </w:r>
      <w:r>
        <w:rPr>
          <w:rFonts w:hint="eastAsia" w:ascii="仿宋" w:hAnsi="仿宋" w:eastAsia="仿宋" w:cs="仿宋"/>
          <w:sz w:val="24"/>
        </w:rPr>
        <w:t>达成以下合同条款：</w:t>
      </w:r>
    </w:p>
    <w:p>
      <w:pPr>
        <w:spacing w:line="360" w:lineRule="auto"/>
        <w:ind w:firstLine="482" w:firstLineChars="200"/>
        <w:rPr>
          <w:rFonts w:ascii="仿宋" w:hAnsi="仿宋" w:eastAsia="仿宋" w:cs="仿宋"/>
          <w:b/>
          <w:sz w:val="24"/>
        </w:rPr>
      </w:pPr>
      <w:r>
        <w:rPr>
          <w:rFonts w:hint="eastAsia" w:ascii="仿宋" w:hAnsi="仿宋" w:eastAsia="仿宋" w:cs="仿宋"/>
          <w:b/>
          <w:sz w:val="24"/>
        </w:rPr>
        <w:t>第一条：产品清单</w:t>
      </w:r>
    </w:p>
    <w:p>
      <w:pPr>
        <w:spacing w:line="360" w:lineRule="auto"/>
        <w:ind w:firstLine="480" w:firstLineChars="200"/>
        <w:rPr>
          <w:rFonts w:ascii="仿宋" w:hAnsi="仿宋" w:eastAsia="仿宋" w:cs="仿宋"/>
          <w:sz w:val="24"/>
        </w:rPr>
      </w:pPr>
      <w:r>
        <w:rPr>
          <w:rFonts w:hint="eastAsia" w:ascii="仿宋" w:hAnsi="仿宋" w:eastAsia="仿宋" w:cs="仿宋"/>
          <w:sz w:val="24"/>
        </w:rPr>
        <w:t>乙方按如下清单向甲方提供货物：</w:t>
      </w:r>
    </w:p>
    <w:p>
      <w:pPr>
        <w:spacing w:line="400" w:lineRule="exact"/>
        <w:rPr>
          <w:rFonts w:ascii="仿宋" w:hAnsi="仿宋" w:eastAsia="仿宋" w:cs="仿宋"/>
          <w:szCs w:val="21"/>
        </w:rPr>
      </w:pP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 xml:space="preserve">    </w:t>
      </w:r>
      <w:r>
        <w:rPr>
          <w:rFonts w:hint="eastAsia" w:ascii="仿宋" w:hAnsi="仿宋" w:eastAsia="仿宋" w:cs="仿宋"/>
          <w:szCs w:val="21"/>
        </w:rPr>
        <w:t>单位：人民币元</w:t>
      </w:r>
    </w:p>
    <w:tbl>
      <w:tblPr>
        <w:tblStyle w:val="13"/>
        <w:tblW w:w="0" w:type="auto"/>
        <w:tblInd w:w="0" w:type="dxa"/>
        <w:tblLayout w:type="fixed"/>
        <w:tblCellMar>
          <w:top w:w="0" w:type="dxa"/>
          <w:left w:w="15" w:type="dxa"/>
          <w:bottom w:w="0" w:type="dxa"/>
          <w:right w:w="15" w:type="dxa"/>
        </w:tblCellMar>
      </w:tblPr>
      <w:tblGrid>
        <w:gridCol w:w="693"/>
        <w:gridCol w:w="1617"/>
        <w:gridCol w:w="2153"/>
        <w:gridCol w:w="1253"/>
        <w:gridCol w:w="1002"/>
        <w:gridCol w:w="1617"/>
      </w:tblGrid>
      <w:tr>
        <w:tblPrEx>
          <w:tblCellMar>
            <w:top w:w="0" w:type="dxa"/>
            <w:left w:w="15" w:type="dxa"/>
            <w:bottom w:w="0" w:type="dxa"/>
            <w:right w:w="15" w:type="dxa"/>
          </w:tblCellMar>
        </w:tblPrEx>
        <w:trPr>
          <w:trHeight w:val="285" w:hRule="atLeast"/>
        </w:trPr>
        <w:tc>
          <w:tcPr>
            <w:tcW w:w="693" w:type="dxa"/>
            <w:tcBorders>
              <w:top w:val="single" w:color="000000" w:sz="8" w:space="0"/>
              <w:left w:val="single" w:color="000000" w:sz="8" w:space="0"/>
              <w:bottom w:val="single" w:color="000000" w:sz="4" w:space="0"/>
              <w:right w:val="single" w:color="000000" w:sz="4" w:space="0"/>
            </w:tcBorders>
            <w:noWrap w:val="0"/>
            <w:vAlign w:val="center"/>
          </w:tcPr>
          <w:p>
            <w:pPr>
              <w:autoSpaceDN w:val="0"/>
              <w:jc w:val="center"/>
              <w:textAlignment w:val="center"/>
              <w:rPr>
                <w:rFonts w:ascii="仿宋" w:hAnsi="仿宋" w:eastAsia="仿宋"/>
                <w:b/>
                <w:color w:val="000000"/>
              </w:rPr>
            </w:pPr>
            <w:r>
              <w:rPr>
                <w:rFonts w:ascii="仿宋" w:hAnsi="仿宋" w:eastAsia="仿宋"/>
                <w:b/>
                <w:color w:val="000000"/>
              </w:rPr>
              <w:t>序号</w:t>
            </w:r>
          </w:p>
        </w:tc>
        <w:tc>
          <w:tcPr>
            <w:tcW w:w="1617" w:type="dxa"/>
            <w:tcBorders>
              <w:top w:val="single" w:color="000000" w:sz="8" w:space="0"/>
              <w:left w:val="single" w:color="000000" w:sz="4" w:space="0"/>
              <w:bottom w:val="single" w:color="000000" w:sz="4" w:space="0"/>
              <w:right w:val="single" w:color="000000" w:sz="4" w:space="0"/>
            </w:tcBorders>
            <w:noWrap w:val="0"/>
            <w:vAlign w:val="center"/>
          </w:tcPr>
          <w:p>
            <w:pPr>
              <w:autoSpaceDN w:val="0"/>
              <w:jc w:val="center"/>
              <w:textAlignment w:val="center"/>
              <w:rPr>
                <w:rFonts w:ascii="仿宋" w:hAnsi="仿宋" w:eastAsia="仿宋"/>
                <w:b/>
                <w:color w:val="000000"/>
              </w:rPr>
            </w:pPr>
            <w:r>
              <w:rPr>
                <w:rFonts w:ascii="仿宋" w:hAnsi="仿宋" w:eastAsia="仿宋"/>
                <w:b/>
                <w:color w:val="000000"/>
              </w:rPr>
              <w:t>产品名称</w:t>
            </w:r>
          </w:p>
        </w:tc>
        <w:tc>
          <w:tcPr>
            <w:tcW w:w="2153" w:type="dxa"/>
            <w:tcBorders>
              <w:top w:val="single" w:color="000000" w:sz="8" w:space="0"/>
              <w:left w:val="single" w:color="000000" w:sz="4" w:space="0"/>
              <w:bottom w:val="single" w:color="000000" w:sz="4" w:space="0"/>
              <w:right w:val="single" w:color="000000" w:sz="4" w:space="0"/>
            </w:tcBorders>
            <w:noWrap w:val="0"/>
            <w:vAlign w:val="center"/>
          </w:tcPr>
          <w:p>
            <w:pPr>
              <w:autoSpaceDN w:val="0"/>
              <w:jc w:val="center"/>
              <w:textAlignment w:val="center"/>
              <w:rPr>
                <w:rFonts w:ascii="仿宋" w:hAnsi="仿宋" w:eastAsia="仿宋"/>
                <w:b/>
                <w:color w:val="000000"/>
              </w:rPr>
            </w:pPr>
            <w:r>
              <w:rPr>
                <w:rFonts w:ascii="仿宋" w:hAnsi="仿宋" w:eastAsia="仿宋"/>
                <w:b/>
                <w:color w:val="000000"/>
              </w:rPr>
              <w:t>品牌型号</w:t>
            </w:r>
          </w:p>
        </w:tc>
        <w:tc>
          <w:tcPr>
            <w:tcW w:w="1253" w:type="dxa"/>
            <w:tcBorders>
              <w:top w:val="single" w:color="000000" w:sz="8" w:space="0"/>
              <w:left w:val="single" w:color="000000" w:sz="4" w:space="0"/>
              <w:bottom w:val="single" w:color="000000" w:sz="4" w:space="0"/>
              <w:right w:val="single" w:color="000000" w:sz="4" w:space="0"/>
            </w:tcBorders>
            <w:noWrap w:val="0"/>
            <w:vAlign w:val="center"/>
          </w:tcPr>
          <w:p>
            <w:pPr>
              <w:autoSpaceDN w:val="0"/>
              <w:jc w:val="center"/>
              <w:textAlignment w:val="center"/>
              <w:rPr>
                <w:rFonts w:ascii="仿宋" w:hAnsi="仿宋" w:eastAsia="仿宋"/>
                <w:b/>
                <w:color w:val="000000"/>
              </w:rPr>
            </w:pPr>
            <w:r>
              <w:rPr>
                <w:rFonts w:ascii="仿宋" w:hAnsi="仿宋" w:eastAsia="仿宋"/>
                <w:b/>
                <w:color w:val="000000"/>
              </w:rPr>
              <w:t>单价</w:t>
            </w:r>
          </w:p>
        </w:tc>
        <w:tc>
          <w:tcPr>
            <w:tcW w:w="1002" w:type="dxa"/>
            <w:tcBorders>
              <w:top w:val="single" w:color="000000" w:sz="8" w:space="0"/>
              <w:left w:val="single" w:color="000000" w:sz="4" w:space="0"/>
              <w:bottom w:val="single" w:color="000000" w:sz="4" w:space="0"/>
              <w:right w:val="single" w:color="000000" w:sz="4" w:space="0"/>
            </w:tcBorders>
            <w:noWrap w:val="0"/>
            <w:vAlign w:val="center"/>
          </w:tcPr>
          <w:p>
            <w:pPr>
              <w:autoSpaceDN w:val="0"/>
              <w:jc w:val="center"/>
              <w:textAlignment w:val="center"/>
              <w:rPr>
                <w:rFonts w:ascii="仿宋" w:hAnsi="仿宋" w:eastAsia="仿宋"/>
                <w:b/>
                <w:color w:val="000000"/>
              </w:rPr>
            </w:pPr>
            <w:r>
              <w:rPr>
                <w:rFonts w:ascii="仿宋" w:hAnsi="仿宋" w:eastAsia="仿宋"/>
                <w:b/>
                <w:color w:val="000000"/>
              </w:rPr>
              <w:t>数量/单位</w:t>
            </w:r>
          </w:p>
        </w:tc>
        <w:tc>
          <w:tcPr>
            <w:tcW w:w="1617" w:type="dxa"/>
            <w:tcBorders>
              <w:top w:val="single" w:color="000000" w:sz="8" w:space="0"/>
              <w:left w:val="single" w:color="000000" w:sz="4" w:space="0"/>
              <w:bottom w:val="single" w:color="000000" w:sz="4" w:space="0"/>
              <w:right w:val="single" w:color="000000" w:sz="8" w:space="0"/>
            </w:tcBorders>
            <w:noWrap w:val="0"/>
            <w:vAlign w:val="center"/>
          </w:tcPr>
          <w:p>
            <w:pPr>
              <w:autoSpaceDN w:val="0"/>
              <w:jc w:val="center"/>
              <w:textAlignment w:val="center"/>
              <w:rPr>
                <w:rFonts w:ascii="仿宋" w:hAnsi="仿宋" w:eastAsia="仿宋"/>
                <w:b/>
                <w:color w:val="000000"/>
              </w:rPr>
            </w:pPr>
            <w:r>
              <w:rPr>
                <w:rFonts w:ascii="仿宋" w:hAnsi="仿宋" w:eastAsia="仿宋"/>
                <w:b/>
                <w:color w:val="000000"/>
              </w:rPr>
              <w:t>总价</w:t>
            </w:r>
          </w:p>
        </w:tc>
      </w:tr>
      <w:tr>
        <w:tblPrEx>
          <w:tblCellMar>
            <w:top w:w="0" w:type="dxa"/>
            <w:left w:w="15" w:type="dxa"/>
            <w:bottom w:w="0" w:type="dxa"/>
            <w:right w:w="15" w:type="dxa"/>
          </w:tblCellMar>
        </w:tblPrEx>
        <w:trPr>
          <w:trHeight w:val="1140" w:hRule="atLeast"/>
        </w:trPr>
        <w:tc>
          <w:tcPr>
            <w:tcW w:w="693" w:type="dxa"/>
            <w:tcBorders>
              <w:top w:val="single" w:color="000000" w:sz="4" w:space="0"/>
              <w:left w:val="single" w:color="000000" w:sz="8" w:space="0"/>
              <w:bottom w:val="single" w:color="000000" w:sz="4" w:space="0"/>
              <w:right w:val="single" w:color="000000" w:sz="4" w:space="0"/>
            </w:tcBorders>
            <w:noWrap w:val="0"/>
            <w:vAlign w:val="center"/>
          </w:tcPr>
          <w:p>
            <w:pPr>
              <w:autoSpaceDN w:val="0"/>
              <w:textAlignment w:val="center"/>
              <w:rPr>
                <w:rFonts w:ascii="仿宋" w:hAnsi="仿宋" w:eastAsia="仿宋"/>
                <w:color w:val="000000"/>
              </w:rPr>
            </w:pPr>
            <w:r>
              <w:rPr>
                <w:rFonts w:ascii="仿宋" w:hAnsi="仿宋" w:eastAsia="仿宋"/>
                <w:color w:val="000000"/>
              </w:rPr>
              <w:t>1.</w:t>
            </w:r>
            <w:r>
              <w:rPr>
                <w:rFonts w:ascii="Arial" w:hAnsi="宋体"/>
                <w:color w:val="000000"/>
              </w:rPr>
              <w:t xml:space="preserve"> </w:t>
            </w:r>
          </w:p>
        </w:tc>
        <w:tc>
          <w:tcPr>
            <w:tcW w:w="1617" w:type="dxa"/>
            <w:tcBorders>
              <w:top w:val="single" w:color="000000" w:sz="4" w:space="0"/>
              <w:left w:val="single" w:color="000000" w:sz="4" w:space="0"/>
              <w:bottom w:val="single" w:color="000000" w:sz="4" w:space="0"/>
              <w:right w:val="single" w:color="000000" w:sz="4" w:space="0"/>
            </w:tcBorders>
            <w:noWrap w:val="0"/>
            <w:vAlign w:val="center"/>
          </w:tcPr>
          <w:p>
            <w:pPr>
              <w:autoSpaceDN w:val="0"/>
              <w:jc w:val="left"/>
              <w:textAlignment w:val="center"/>
              <w:rPr>
                <w:rFonts w:ascii="仿宋" w:hAnsi="仿宋" w:eastAsia="仿宋"/>
                <w:color w:val="000000"/>
                <w:sz w:val="24"/>
              </w:rPr>
            </w:pPr>
          </w:p>
        </w:tc>
        <w:tc>
          <w:tcPr>
            <w:tcW w:w="2153" w:type="dxa"/>
            <w:tcBorders>
              <w:top w:val="single" w:color="000000" w:sz="4" w:space="0"/>
              <w:left w:val="single" w:color="000000" w:sz="4" w:space="0"/>
              <w:bottom w:val="single" w:color="000000" w:sz="4" w:space="0"/>
              <w:right w:val="single" w:color="000000" w:sz="4" w:space="0"/>
            </w:tcBorders>
            <w:noWrap w:val="0"/>
            <w:vAlign w:val="center"/>
          </w:tcPr>
          <w:p>
            <w:pPr>
              <w:autoSpaceDN w:val="0"/>
              <w:jc w:val="center"/>
              <w:textAlignment w:val="center"/>
              <w:rPr>
                <w:rFonts w:ascii="仿宋" w:hAnsi="仿宋" w:eastAsia="仿宋"/>
                <w:color w:val="000000"/>
                <w:sz w:val="24"/>
              </w:rPr>
            </w:pPr>
          </w:p>
        </w:tc>
        <w:tc>
          <w:tcPr>
            <w:tcW w:w="1253" w:type="dxa"/>
            <w:tcBorders>
              <w:top w:val="single" w:color="000000" w:sz="4" w:space="0"/>
              <w:left w:val="single" w:color="000000" w:sz="4" w:space="0"/>
              <w:bottom w:val="single" w:color="000000" w:sz="4" w:space="0"/>
              <w:right w:val="single" w:color="000000" w:sz="4" w:space="0"/>
            </w:tcBorders>
            <w:noWrap w:val="0"/>
            <w:vAlign w:val="center"/>
          </w:tcPr>
          <w:p>
            <w:pPr>
              <w:autoSpaceDN w:val="0"/>
              <w:jc w:val="center"/>
              <w:textAlignment w:val="center"/>
              <w:rPr>
                <w:rFonts w:ascii="仿宋" w:hAnsi="仿宋" w:eastAsia="仿宋"/>
                <w:color w:val="000000"/>
                <w:sz w:val="24"/>
              </w:rPr>
            </w:pP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autoSpaceDN w:val="0"/>
              <w:jc w:val="center"/>
              <w:textAlignment w:val="center"/>
              <w:rPr>
                <w:rFonts w:ascii="仿宋" w:hAnsi="仿宋" w:eastAsia="仿宋"/>
                <w:color w:val="000000"/>
                <w:sz w:val="24"/>
              </w:rPr>
            </w:pPr>
          </w:p>
        </w:tc>
        <w:tc>
          <w:tcPr>
            <w:tcW w:w="1617" w:type="dxa"/>
            <w:tcBorders>
              <w:top w:val="single" w:color="000000" w:sz="4" w:space="0"/>
              <w:left w:val="single" w:color="000000" w:sz="4" w:space="0"/>
              <w:bottom w:val="single" w:color="000000" w:sz="4" w:space="0"/>
              <w:right w:val="single" w:color="000000" w:sz="8" w:space="0"/>
            </w:tcBorders>
            <w:noWrap w:val="0"/>
            <w:vAlign w:val="center"/>
          </w:tcPr>
          <w:p>
            <w:pPr>
              <w:autoSpaceDN w:val="0"/>
              <w:jc w:val="center"/>
              <w:textAlignment w:val="center"/>
              <w:rPr>
                <w:rFonts w:ascii="仿宋" w:hAnsi="仿宋" w:eastAsia="仿宋"/>
                <w:color w:val="000000"/>
                <w:sz w:val="24"/>
              </w:rPr>
            </w:pPr>
          </w:p>
        </w:tc>
      </w:tr>
      <w:tr>
        <w:tblPrEx>
          <w:tblCellMar>
            <w:top w:w="0" w:type="dxa"/>
            <w:left w:w="15" w:type="dxa"/>
            <w:bottom w:w="0" w:type="dxa"/>
            <w:right w:w="15" w:type="dxa"/>
          </w:tblCellMar>
        </w:tblPrEx>
        <w:trPr>
          <w:trHeight w:val="1140" w:hRule="atLeast"/>
        </w:trPr>
        <w:tc>
          <w:tcPr>
            <w:tcW w:w="693" w:type="dxa"/>
            <w:tcBorders>
              <w:top w:val="single" w:color="000000" w:sz="4" w:space="0"/>
              <w:left w:val="single" w:color="000000" w:sz="8" w:space="0"/>
              <w:bottom w:val="single" w:color="000000" w:sz="4" w:space="0"/>
              <w:right w:val="single" w:color="000000" w:sz="4" w:space="0"/>
            </w:tcBorders>
            <w:noWrap w:val="0"/>
            <w:vAlign w:val="center"/>
          </w:tcPr>
          <w:p>
            <w:pPr>
              <w:autoSpaceDN w:val="0"/>
              <w:textAlignment w:val="center"/>
              <w:rPr>
                <w:rFonts w:ascii="仿宋" w:hAnsi="仿宋" w:eastAsia="仿宋"/>
                <w:color w:val="000000"/>
              </w:rPr>
            </w:pPr>
            <w:r>
              <w:rPr>
                <w:rFonts w:ascii="仿宋" w:hAnsi="仿宋" w:eastAsia="仿宋"/>
                <w:color w:val="000000"/>
              </w:rPr>
              <w:t>2.</w:t>
            </w:r>
            <w:r>
              <w:rPr>
                <w:rFonts w:ascii="Arial" w:hAnsi="宋体"/>
                <w:color w:val="000000"/>
              </w:rPr>
              <w:t xml:space="preserve"> </w:t>
            </w:r>
          </w:p>
        </w:tc>
        <w:tc>
          <w:tcPr>
            <w:tcW w:w="1617" w:type="dxa"/>
            <w:tcBorders>
              <w:top w:val="single" w:color="000000" w:sz="4" w:space="0"/>
              <w:left w:val="single" w:color="000000" w:sz="4" w:space="0"/>
              <w:bottom w:val="single" w:color="000000" w:sz="4" w:space="0"/>
              <w:right w:val="single" w:color="000000" w:sz="4" w:space="0"/>
            </w:tcBorders>
            <w:noWrap w:val="0"/>
            <w:vAlign w:val="center"/>
          </w:tcPr>
          <w:p>
            <w:pPr>
              <w:autoSpaceDN w:val="0"/>
              <w:jc w:val="left"/>
              <w:textAlignment w:val="center"/>
              <w:rPr>
                <w:rFonts w:ascii="仿宋" w:hAnsi="仿宋" w:eastAsia="仿宋"/>
                <w:color w:val="000000"/>
                <w:sz w:val="24"/>
              </w:rPr>
            </w:pPr>
          </w:p>
        </w:tc>
        <w:tc>
          <w:tcPr>
            <w:tcW w:w="2153" w:type="dxa"/>
            <w:tcBorders>
              <w:top w:val="single" w:color="000000" w:sz="4" w:space="0"/>
              <w:left w:val="single" w:color="000000" w:sz="4" w:space="0"/>
              <w:bottom w:val="single" w:color="000000" w:sz="4" w:space="0"/>
              <w:right w:val="single" w:color="000000" w:sz="4" w:space="0"/>
            </w:tcBorders>
            <w:noWrap w:val="0"/>
            <w:vAlign w:val="center"/>
          </w:tcPr>
          <w:p>
            <w:pPr>
              <w:autoSpaceDN w:val="0"/>
              <w:jc w:val="center"/>
              <w:textAlignment w:val="center"/>
              <w:rPr>
                <w:rFonts w:ascii="仿宋" w:hAnsi="仿宋" w:eastAsia="仿宋"/>
                <w:color w:val="000000"/>
                <w:sz w:val="24"/>
              </w:rPr>
            </w:pPr>
          </w:p>
        </w:tc>
        <w:tc>
          <w:tcPr>
            <w:tcW w:w="1253" w:type="dxa"/>
            <w:tcBorders>
              <w:top w:val="single" w:color="000000" w:sz="4" w:space="0"/>
              <w:left w:val="single" w:color="000000" w:sz="4" w:space="0"/>
              <w:bottom w:val="single" w:color="000000" w:sz="4" w:space="0"/>
              <w:right w:val="single" w:color="000000" w:sz="4" w:space="0"/>
            </w:tcBorders>
            <w:noWrap w:val="0"/>
            <w:vAlign w:val="center"/>
          </w:tcPr>
          <w:p>
            <w:pPr>
              <w:autoSpaceDN w:val="0"/>
              <w:jc w:val="center"/>
              <w:textAlignment w:val="center"/>
              <w:rPr>
                <w:rFonts w:ascii="仿宋" w:hAnsi="仿宋" w:eastAsia="仿宋"/>
                <w:color w:val="000000"/>
                <w:sz w:val="24"/>
              </w:rPr>
            </w:pP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autoSpaceDN w:val="0"/>
              <w:jc w:val="center"/>
              <w:textAlignment w:val="center"/>
              <w:rPr>
                <w:rFonts w:ascii="仿宋" w:hAnsi="仿宋" w:eastAsia="仿宋"/>
                <w:color w:val="000000"/>
                <w:sz w:val="24"/>
              </w:rPr>
            </w:pPr>
          </w:p>
        </w:tc>
        <w:tc>
          <w:tcPr>
            <w:tcW w:w="1617" w:type="dxa"/>
            <w:tcBorders>
              <w:top w:val="single" w:color="000000" w:sz="4" w:space="0"/>
              <w:left w:val="single" w:color="000000" w:sz="4" w:space="0"/>
              <w:bottom w:val="single" w:color="000000" w:sz="4" w:space="0"/>
              <w:right w:val="single" w:color="000000" w:sz="8" w:space="0"/>
            </w:tcBorders>
            <w:noWrap w:val="0"/>
            <w:vAlign w:val="center"/>
          </w:tcPr>
          <w:p>
            <w:pPr>
              <w:autoSpaceDN w:val="0"/>
              <w:jc w:val="center"/>
              <w:textAlignment w:val="center"/>
              <w:rPr>
                <w:rFonts w:ascii="仿宋" w:hAnsi="仿宋" w:eastAsia="仿宋"/>
                <w:color w:val="000000"/>
                <w:sz w:val="24"/>
              </w:rPr>
            </w:pPr>
          </w:p>
        </w:tc>
      </w:tr>
      <w:tr>
        <w:tblPrEx>
          <w:tblCellMar>
            <w:top w:w="0" w:type="dxa"/>
            <w:left w:w="15" w:type="dxa"/>
            <w:bottom w:w="0" w:type="dxa"/>
            <w:right w:w="15" w:type="dxa"/>
          </w:tblCellMar>
        </w:tblPrEx>
        <w:trPr>
          <w:trHeight w:val="1140" w:hRule="atLeast"/>
        </w:trPr>
        <w:tc>
          <w:tcPr>
            <w:tcW w:w="693" w:type="dxa"/>
            <w:tcBorders>
              <w:top w:val="single" w:color="000000" w:sz="4" w:space="0"/>
              <w:left w:val="single" w:color="000000" w:sz="8" w:space="0"/>
              <w:bottom w:val="single" w:color="000000" w:sz="4" w:space="0"/>
              <w:right w:val="single" w:color="000000" w:sz="4" w:space="0"/>
            </w:tcBorders>
            <w:noWrap w:val="0"/>
            <w:vAlign w:val="center"/>
          </w:tcPr>
          <w:p>
            <w:pPr>
              <w:autoSpaceDN w:val="0"/>
              <w:textAlignment w:val="center"/>
              <w:rPr>
                <w:rFonts w:ascii="仿宋" w:hAnsi="仿宋" w:eastAsia="仿宋"/>
                <w:color w:val="000000"/>
              </w:rPr>
            </w:pPr>
            <w:r>
              <w:rPr>
                <w:rFonts w:ascii="仿宋" w:hAnsi="仿宋" w:eastAsia="仿宋"/>
                <w:color w:val="000000"/>
              </w:rPr>
              <w:t>3.</w:t>
            </w:r>
            <w:r>
              <w:rPr>
                <w:rFonts w:ascii="Arial" w:hAnsi="宋体"/>
                <w:color w:val="000000"/>
              </w:rPr>
              <w:t xml:space="preserve"> </w:t>
            </w:r>
          </w:p>
        </w:tc>
        <w:tc>
          <w:tcPr>
            <w:tcW w:w="1617" w:type="dxa"/>
            <w:tcBorders>
              <w:top w:val="single" w:color="000000" w:sz="4" w:space="0"/>
              <w:left w:val="single" w:color="000000" w:sz="4" w:space="0"/>
              <w:bottom w:val="single" w:color="000000" w:sz="4" w:space="0"/>
              <w:right w:val="single" w:color="000000" w:sz="4" w:space="0"/>
            </w:tcBorders>
            <w:noWrap w:val="0"/>
            <w:vAlign w:val="center"/>
          </w:tcPr>
          <w:p>
            <w:pPr>
              <w:autoSpaceDN w:val="0"/>
              <w:jc w:val="left"/>
              <w:textAlignment w:val="center"/>
              <w:rPr>
                <w:rFonts w:ascii="仿宋" w:hAnsi="仿宋" w:eastAsia="仿宋"/>
                <w:color w:val="000000"/>
                <w:sz w:val="24"/>
              </w:rPr>
            </w:pPr>
          </w:p>
        </w:tc>
        <w:tc>
          <w:tcPr>
            <w:tcW w:w="2153" w:type="dxa"/>
            <w:tcBorders>
              <w:top w:val="single" w:color="000000" w:sz="4" w:space="0"/>
              <w:left w:val="single" w:color="000000" w:sz="4" w:space="0"/>
              <w:bottom w:val="single" w:color="000000" w:sz="4" w:space="0"/>
              <w:right w:val="single" w:color="000000" w:sz="4" w:space="0"/>
            </w:tcBorders>
            <w:noWrap w:val="0"/>
            <w:vAlign w:val="center"/>
          </w:tcPr>
          <w:p>
            <w:pPr>
              <w:autoSpaceDN w:val="0"/>
              <w:jc w:val="center"/>
              <w:textAlignment w:val="center"/>
              <w:rPr>
                <w:rFonts w:ascii="仿宋" w:hAnsi="仿宋" w:eastAsia="仿宋"/>
                <w:color w:val="000000"/>
                <w:sz w:val="24"/>
              </w:rPr>
            </w:pPr>
          </w:p>
        </w:tc>
        <w:tc>
          <w:tcPr>
            <w:tcW w:w="1253" w:type="dxa"/>
            <w:tcBorders>
              <w:top w:val="single" w:color="000000" w:sz="4" w:space="0"/>
              <w:left w:val="single" w:color="000000" w:sz="4" w:space="0"/>
              <w:bottom w:val="single" w:color="000000" w:sz="4" w:space="0"/>
              <w:right w:val="single" w:color="000000" w:sz="4" w:space="0"/>
            </w:tcBorders>
            <w:noWrap w:val="0"/>
            <w:vAlign w:val="center"/>
          </w:tcPr>
          <w:p>
            <w:pPr>
              <w:autoSpaceDN w:val="0"/>
              <w:jc w:val="center"/>
              <w:textAlignment w:val="center"/>
              <w:rPr>
                <w:rFonts w:ascii="仿宋" w:hAnsi="仿宋" w:eastAsia="仿宋"/>
                <w:color w:val="000000"/>
                <w:sz w:val="24"/>
              </w:rPr>
            </w:pP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autoSpaceDN w:val="0"/>
              <w:jc w:val="center"/>
              <w:textAlignment w:val="center"/>
              <w:rPr>
                <w:rFonts w:ascii="仿宋" w:hAnsi="仿宋" w:eastAsia="仿宋"/>
                <w:color w:val="000000"/>
                <w:sz w:val="24"/>
              </w:rPr>
            </w:pPr>
          </w:p>
        </w:tc>
        <w:tc>
          <w:tcPr>
            <w:tcW w:w="1617" w:type="dxa"/>
            <w:tcBorders>
              <w:top w:val="single" w:color="000000" w:sz="4" w:space="0"/>
              <w:left w:val="single" w:color="000000" w:sz="4" w:space="0"/>
              <w:bottom w:val="single" w:color="000000" w:sz="4" w:space="0"/>
              <w:right w:val="single" w:color="000000" w:sz="8" w:space="0"/>
            </w:tcBorders>
            <w:noWrap w:val="0"/>
            <w:vAlign w:val="center"/>
          </w:tcPr>
          <w:p>
            <w:pPr>
              <w:autoSpaceDN w:val="0"/>
              <w:jc w:val="center"/>
              <w:textAlignment w:val="center"/>
              <w:rPr>
                <w:rFonts w:ascii="仿宋" w:hAnsi="仿宋" w:eastAsia="仿宋"/>
                <w:color w:val="000000"/>
                <w:sz w:val="24"/>
              </w:rPr>
            </w:pPr>
          </w:p>
        </w:tc>
      </w:tr>
      <w:tr>
        <w:tblPrEx>
          <w:tblCellMar>
            <w:top w:w="0" w:type="dxa"/>
            <w:left w:w="15" w:type="dxa"/>
            <w:bottom w:w="0" w:type="dxa"/>
            <w:right w:w="15" w:type="dxa"/>
          </w:tblCellMar>
        </w:tblPrEx>
        <w:trPr>
          <w:trHeight w:val="750" w:hRule="atLeast"/>
        </w:trPr>
        <w:tc>
          <w:tcPr>
            <w:tcW w:w="693" w:type="dxa"/>
            <w:tcBorders>
              <w:top w:val="single" w:color="000000" w:sz="4" w:space="0"/>
              <w:left w:val="single" w:color="000000" w:sz="8" w:space="0"/>
              <w:bottom w:val="single" w:color="000000" w:sz="8" w:space="0"/>
              <w:right w:val="single" w:color="000000" w:sz="4" w:space="0"/>
            </w:tcBorders>
            <w:noWrap w:val="0"/>
            <w:vAlign w:val="center"/>
          </w:tcPr>
          <w:p>
            <w:pPr>
              <w:autoSpaceDN w:val="0"/>
              <w:textAlignment w:val="center"/>
              <w:rPr>
                <w:rFonts w:ascii="仿宋" w:hAnsi="仿宋" w:eastAsia="仿宋"/>
                <w:color w:val="000000"/>
              </w:rPr>
            </w:pPr>
            <w:r>
              <w:rPr>
                <w:rFonts w:hint="eastAsia" w:ascii="仿宋" w:hAnsi="仿宋" w:eastAsia="仿宋"/>
                <w:color w:val="000000"/>
              </w:rPr>
              <w:t>4</w:t>
            </w:r>
            <w:r>
              <w:rPr>
                <w:rFonts w:ascii="仿宋" w:hAnsi="仿宋" w:eastAsia="仿宋"/>
                <w:color w:val="000000"/>
              </w:rPr>
              <w:t xml:space="preserve">. </w:t>
            </w:r>
          </w:p>
        </w:tc>
        <w:tc>
          <w:tcPr>
            <w:tcW w:w="7642" w:type="dxa"/>
            <w:gridSpan w:val="5"/>
            <w:tcBorders>
              <w:top w:val="single" w:color="000000" w:sz="4" w:space="0"/>
              <w:left w:val="single" w:color="000000" w:sz="4" w:space="0"/>
              <w:bottom w:val="single" w:color="000000" w:sz="8" w:space="0"/>
              <w:right w:val="single" w:color="000000" w:sz="8" w:space="0"/>
            </w:tcBorders>
            <w:noWrap w:val="0"/>
            <w:vAlign w:val="center"/>
          </w:tcPr>
          <w:p>
            <w:pPr>
              <w:autoSpaceDN w:val="0"/>
              <w:jc w:val="center"/>
              <w:textAlignment w:val="center"/>
              <w:rPr>
                <w:rFonts w:ascii="仿宋" w:hAnsi="仿宋" w:eastAsia="仿宋"/>
                <w:b/>
                <w:color w:val="000000"/>
                <w:sz w:val="28"/>
              </w:rPr>
            </w:pPr>
            <w:r>
              <w:rPr>
                <w:rFonts w:ascii="仿宋" w:hAnsi="仿宋" w:eastAsia="仿宋"/>
                <w:b/>
                <w:color w:val="000000"/>
                <w:sz w:val="28"/>
              </w:rPr>
              <w:t>金额总计：</w:t>
            </w:r>
            <w:r>
              <w:rPr>
                <w:rFonts w:hint="eastAsia" w:ascii="仿宋" w:hAnsi="仿宋" w:eastAsia="仿宋"/>
                <w:b/>
                <w:color w:val="000000"/>
                <w:sz w:val="28"/>
              </w:rPr>
              <w:t>********</w:t>
            </w:r>
            <w:r>
              <w:rPr>
                <w:rFonts w:ascii="仿宋" w:hAnsi="仿宋" w:eastAsia="仿宋"/>
                <w:b/>
                <w:color w:val="000000"/>
                <w:sz w:val="28"/>
              </w:rPr>
              <w:t>整 （小写：￥</w:t>
            </w:r>
            <w:r>
              <w:rPr>
                <w:rFonts w:hint="eastAsia" w:ascii="仿宋" w:hAnsi="仿宋" w:eastAsia="仿宋"/>
                <w:b/>
                <w:color w:val="000000"/>
                <w:sz w:val="28"/>
              </w:rPr>
              <w:t>****</w:t>
            </w:r>
            <w:r>
              <w:rPr>
                <w:rFonts w:ascii="仿宋" w:hAnsi="仿宋" w:eastAsia="仿宋"/>
                <w:b/>
                <w:color w:val="000000"/>
                <w:sz w:val="28"/>
              </w:rPr>
              <w:t>.*</w:t>
            </w:r>
            <w:r>
              <w:rPr>
                <w:rFonts w:hint="eastAsia" w:ascii="仿宋" w:hAnsi="仿宋" w:eastAsia="仿宋"/>
                <w:b/>
                <w:color w:val="000000"/>
                <w:sz w:val="28"/>
              </w:rPr>
              <w:t>*</w:t>
            </w:r>
            <w:r>
              <w:rPr>
                <w:rFonts w:ascii="仿宋" w:hAnsi="仿宋" w:eastAsia="仿宋"/>
                <w:b/>
                <w:color w:val="000000"/>
                <w:sz w:val="28"/>
              </w:rPr>
              <w:t>元）</w:t>
            </w:r>
          </w:p>
        </w:tc>
      </w:tr>
    </w:tbl>
    <w:p>
      <w:pPr>
        <w:spacing w:line="360" w:lineRule="auto"/>
        <w:rPr>
          <w:rFonts w:hint="eastAsia" w:ascii="仿宋" w:hAnsi="仿宋" w:eastAsia="仿宋" w:cs="仿宋"/>
          <w:b/>
          <w:sz w:val="24"/>
        </w:rPr>
      </w:pPr>
    </w:p>
    <w:p>
      <w:pPr>
        <w:spacing w:line="360" w:lineRule="auto"/>
        <w:ind w:firstLine="482" w:firstLineChars="200"/>
        <w:rPr>
          <w:rFonts w:ascii="仿宋" w:hAnsi="仿宋" w:eastAsia="仿宋" w:cs="仿宋"/>
          <w:b/>
          <w:sz w:val="24"/>
        </w:rPr>
      </w:pPr>
      <w:r>
        <w:rPr>
          <w:rFonts w:hint="eastAsia" w:ascii="仿宋" w:hAnsi="仿宋" w:eastAsia="仿宋" w:cs="仿宋"/>
          <w:b/>
          <w:sz w:val="24"/>
        </w:rPr>
        <w:t>第二条：合同价款：</w:t>
      </w:r>
    </w:p>
    <w:p>
      <w:pPr>
        <w:spacing w:line="360" w:lineRule="auto"/>
        <w:ind w:firstLine="480" w:firstLineChars="200"/>
        <w:rPr>
          <w:rFonts w:ascii="仿宋" w:hAnsi="仿宋" w:eastAsia="仿宋" w:cs="仿宋"/>
          <w:sz w:val="24"/>
        </w:rPr>
      </w:pPr>
      <w:r>
        <w:rPr>
          <w:rFonts w:hint="eastAsia" w:ascii="仿宋" w:hAnsi="仿宋" w:eastAsia="仿宋" w:cs="仿宋"/>
          <w:sz w:val="24"/>
        </w:rPr>
        <w:t>1、合同总金额：</w:t>
      </w:r>
      <w:r>
        <w:rPr>
          <w:rFonts w:hint="eastAsia" w:ascii="仿宋" w:hAnsi="仿宋" w:eastAsia="仿宋" w:cs="仿宋"/>
          <w:sz w:val="24"/>
          <w:u w:val="single"/>
        </w:rPr>
        <w:t xml:space="preserve"> </w:t>
      </w:r>
      <w:r>
        <w:rPr>
          <w:rFonts w:hint="eastAsia" w:ascii="仿宋" w:hAnsi="仿宋" w:eastAsia="仿宋" w:cs="仿宋"/>
          <w:b/>
          <w:bCs/>
          <w:sz w:val="24"/>
          <w:u w:val="single"/>
        </w:rPr>
        <w:t>******整（￥****.**元）</w:t>
      </w:r>
      <w:r>
        <w:rPr>
          <w:rFonts w:hint="eastAsia" w:ascii="仿宋" w:hAnsi="仿宋" w:eastAsia="仿宋" w:cs="仿宋"/>
          <w:sz w:val="24"/>
          <w:u w:val="single"/>
        </w:rPr>
        <w:t xml:space="preserve"> </w:t>
      </w:r>
      <w:r>
        <w:rPr>
          <w:rFonts w:hint="eastAsia" w:ascii="仿宋" w:hAnsi="仿宋" w:eastAsia="仿宋" w:cs="仿宋"/>
          <w:sz w:val="24"/>
        </w:rPr>
        <w:t>。</w:t>
      </w:r>
    </w:p>
    <w:p>
      <w:pPr>
        <w:spacing w:line="360" w:lineRule="auto"/>
        <w:ind w:firstLine="480" w:firstLineChars="200"/>
        <w:rPr>
          <w:rFonts w:ascii="仿宋" w:hAnsi="仿宋" w:eastAsia="仿宋" w:cs="仿宋"/>
          <w:sz w:val="24"/>
        </w:rPr>
      </w:pPr>
      <w:r>
        <w:rPr>
          <w:rFonts w:hint="eastAsia" w:ascii="仿宋" w:hAnsi="仿宋" w:eastAsia="仿宋" w:cs="仿宋"/>
          <w:sz w:val="24"/>
        </w:rPr>
        <w:t>2、合同总金额包含产品供应价、运杂费（含仓储费、运费、装卸费、保险费）、安装调试费、培训费、验收费、税金及其它不可预见费用，该总金额为固定价款，不受市场变化影响。</w:t>
      </w:r>
    </w:p>
    <w:p>
      <w:pPr>
        <w:spacing w:line="360" w:lineRule="auto"/>
        <w:ind w:firstLine="482" w:firstLineChars="200"/>
        <w:rPr>
          <w:rFonts w:ascii="仿宋" w:hAnsi="仿宋" w:eastAsia="仿宋" w:cs="仿宋"/>
          <w:b/>
          <w:sz w:val="24"/>
        </w:rPr>
      </w:pPr>
      <w:r>
        <w:rPr>
          <w:rFonts w:hint="eastAsia" w:ascii="仿宋" w:hAnsi="仿宋" w:eastAsia="仿宋" w:cs="仿宋"/>
          <w:b/>
          <w:sz w:val="24"/>
        </w:rPr>
        <w:t>第三条：交货地点：</w:t>
      </w:r>
    </w:p>
    <w:p>
      <w:pPr>
        <w:spacing w:line="360" w:lineRule="auto"/>
        <w:ind w:firstLine="480" w:firstLineChars="200"/>
        <w:rPr>
          <w:rFonts w:ascii="仿宋" w:hAnsi="仿宋" w:eastAsia="仿宋" w:cs="仿宋"/>
          <w:sz w:val="24"/>
          <w:u w:val="single"/>
        </w:rPr>
      </w:pPr>
      <w:r>
        <w:rPr>
          <w:rFonts w:hint="eastAsia" w:ascii="仿宋" w:hAnsi="仿宋" w:eastAsia="仿宋" w:cs="仿宋"/>
          <w:sz w:val="24"/>
          <w:u w:val="single"/>
        </w:rPr>
        <w:t xml:space="preserve">陕西中医药大学附属医院  </w:t>
      </w:r>
    </w:p>
    <w:p>
      <w:pPr>
        <w:spacing w:line="360" w:lineRule="auto"/>
        <w:ind w:firstLine="482" w:firstLineChars="200"/>
        <w:rPr>
          <w:rFonts w:ascii="仿宋" w:hAnsi="仿宋" w:eastAsia="仿宋" w:cs="仿宋"/>
          <w:b/>
          <w:sz w:val="24"/>
        </w:rPr>
      </w:pPr>
      <w:r>
        <w:rPr>
          <w:rFonts w:hint="eastAsia" w:ascii="仿宋" w:hAnsi="仿宋" w:eastAsia="仿宋" w:cs="仿宋"/>
          <w:b/>
          <w:sz w:val="24"/>
        </w:rPr>
        <w:t>第四条：工期</w:t>
      </w:r>
    </w:p>
    <w:p>
      <w:pPr>
        <w:pStyle w:val="18"/>
        <w:tabs>
          <w:tab w:val="clear" w:pos="0"/>
          <w:tab w:val="clear" w:pos="959"/>
          <w:tab w:val="clear" w:pos="1918"/>
          <w:tab w:val="clear" w:pos="2877"/>
          <w:tab w:val="clear" w:pos="3836"/>
          <w:tab w:val="clear" w:pos="4795"/>
          <w:tab w:val="clear" w:pos="5754"/>
          <w:tab w:val="clear" w:pos="6713"/>
          <w:tab w:val="clear" w:pos="7672"/>
          <w:tab w:val="clear" w:pos="8631"/>
          <w:tab w:val="clear" w:pos="9590"/>
        </w:tabs>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正式开工后</w:t>
      </w:r>
      <w:r>
        <w:rPr>
          <w:rFonts w:hint="eastAsia" w:ascii="仿宋" w:hAnsi="仿宋" w:eastAsia="仿宋" w:cs="仿宋"/>
          <w:sz w:val="24"/>
          <w:szCs w:val="24"/>
          <w:u w:val="single"/>
        </w:rPr>
        <w:t xml:space="preserve"> 150 </w:t>
      </w:r>
      <w:r>
        <w:rPr>
          <w:rFonts w:hint="eastAsia" w:ascii="仿宋" w:hAnsi="仿宋" w:eastAsia="仿宋" w:cs="仿宋"/>
          <w:sz w:val="24"/>
          <w:szCs w:val="24"/>
        </w:rPr>
        <w:t>天内安装调试完毕，达到验收标准。</w:t>
      </w:r>
    </w:p>
    <w:p>
      <w:pPr>
        <w:spacing w:line="360" w:lineRule="auto"/>
        <w:ind w:firstLine="482" w:firstLineChars="200"/>
        <w:rPr>
          <w:rFonts w:ascii="仿宋" w:hAnsi="仿宋" w:eastAsia="仿宋" w:cs="仿宋"/>
          <w:b/>
          <w:sz w:val="24"/>
        </w:rPr>
      </w:pPr>
      <w:r>
        <w:rPr>
          <w:rFonts w:hint="eastAsia" w:ascii="仿宋" w:hAnsi="仿宋" w:eastAsia="仿宋" w:cs="仿宋"/>
          <w:b/>
          <w:sz w:val="24"/>
        </w:rPr>
        <w:t>第五条：货款结算方式：</w:t>
      </w:r>
    </w:p>
    <w:p>
      <w:pPr>
        <w:spacing w:line="360" w:lineRule="auto"/>
        <w:ind w:firstLine="480" w:firstLineChars="200"/>
        <w:rPr>
          <w:rFonts w:ascii="仿宋" w:hAnsi="仿宋" w:eastAsia="仿宋" w:cs="仿宋"/>
          <w:sz w:val="24"/>
          <w:u w:val="single"/>
        </w:rPr>
      </w:pPr>
      <w:r>
        <w:rPr>
          <w:rFonts w:hint="eastAsia" w:ascii="仿宋" w:hAnsi="仿宋" w:eastAsia="仿宋" w:cs="仿宋"/>
          <w:sz w:val="24"/>
        </w:rPr>
        <w:t>1、付款方式：</w:t>
      </w:r>
      <w:r>
        <w:rPr>
          <w:rFonts w:hint="eastAsia" w:ascii="仿宋" w:hAnsi="仿宋" w:eastAsia="仿宋" w:cs="仿宋"/>
          <w:sz w:val="24"/>
          <w:u w:val="single"/>
        </w:rPr>
        <w:t>x项目验收合格一个月后，甲方在十五个日历日内向乙方支付合同总金额的60%，即人民币：</w:t>
      </w:r>
      <w:r>
        <w:rPr>
          <w:rFonts w:hint="eastAsia" w:ascii="仿宋" w:hAnsi="仿宋" w:eastAsia="仿宋" w:cs="仿宋"/>
          <w:b/>
          <w:bCs/>
          <w:sz w:val="24"/>
          <w:u w:val="single"/>
        </w:rPr>
        <w:t>*****整（小写：****.**）</w:t>
      </w:r>
      <w:r>
        <w:rPr>
          <w:rFonts w:hint="eastAsia" w:ascii="仿宋" w:hAnsi="仿宋" w:eastAsia="仿宋" w:cs="仿宋"/>
          <w:sz w:val="24"/>
          <w:u w:val="single"/>
        </w:rPr>
        <w:t>；验收合格系统运行三个月后，甲方在十五个日历日内向乙方支付合同总金额的30%，即人民币：</w:t>
      </w:r>
      <w:r>
        <w:rPr>
          <w:rFonts w:hint="eastAsia" w:ascii="仿宋" w:hAnsi="仿宋" w:eastAsia="仿宋" w:cs="仿宋"/>
          <w:b/>
          <w:bCs/>
          <w:sz w:val="24"/>
          <w:u w:val="single"/>
        </w:rPr>
        <w:t>******元整（小写：￥****.**）</w:t>
      </w:r>
      <w:r>
        <w:rPr>
          <w:rFonts w:hint="eastAsia" w:ascii="仿宋" w:hAnsi="仿宋" w:eastAsia="仿宋" w:cs="仿宋"/>
          <w:sz w:val="24"/>
          <w:u w:val="single"/>
        </w:rPr>
        <w:t>；项目服务结束后，甲方在十五个日历日内项乙方支付合同总金额的10%，即人民币：</w:t>
      </w:r>
      <w:r>
        <w:rPr>
          <w:rFonts w:hint="eastAsia" w:ascii="仿宋" w:hAnsi="仿宋" w:eastAsia="仿宋" w:cs="仿宋"/>
          <w:b/>
          <w:bCs/>
          <w:sz w:val="24"/>
          <w:u w:val="single"/>
        </w:rPr>
        <w:t>******整（小写：****.**）</w:t>
      </w:r>
      <w:r>
        <w:rPr>
          <w:rFonts w:hint="eastAsia" w:ascii="仿宋" w:hAnsi="仿宋" w:eastAsia="仿宋" w:cs="仿宋"/>
          <w:sz w:val="24"/>
          <w:u w:val="single"/>
        </w:rPr>
        <w:t>。</w:t>
      </w:r>
    </w:p>
    <w:p>
      <w:pPr>
        <w:pStyle w:val="18"/>
        <w:tabs>
          <w:tab w:val="left" w:pos="945"/>
          <w:tab w:val="clear" w:pos="0"/>
          <w:tab w:val="clear" w:pos="959"/>
          <w:tab w:val="clear" w:pos="1918"/>
          <w:tab w:val="clear" w:pos="2877"/>
          <w:tab w:val="clear" w:pos="3836"/>
          <w:tab w:val="clear" w:pos="4795"/>
          <w:tab w:val="clear" w:pos="5754"/>
          <w:tab w:val="clear" w:pos="6713"/>
          <w:tab w:val="clear" w:pos="7672"/>
          <w:tab w:val="clear" w:pos="8631"/>
          <w:tab w:val="clear" w:pos="9590"/>
        </w:tabs>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2、支付方式：甲方直接将货款通过银行转账的方式转入乙方指定的专用账号。</w:t>
      </w:r>
    </w:p>
    <w:p>
      <w:pPr>
        <w:pStyle w:val="18"/>
        <w:tabs>
          <w:tab w:val="left" w:pos="945"/>
          <w:tab w:val="clear" w:pos="0"/>
          <w:tab w:val="clear" w:pos="959"/>
          <w:tab w:val="clear" w:pos="1918"/>
          <w:tab w:val="clear" w:pos="2877"/>
          <w:tab w:val="clear" w:pos="3836"/>
          <w:tab w:val="clear" w:pos="4795"/>
          <w:tab w:val="clear" w:pos="5754"/>
          <w:tab w:val="clear" w:pos="6713"/>
          <w:tab w:val="clear" w:pos="7672"/>
          <w:tab w:val="clear" w:pos="8631"/>
          <w:tab w:val="clear" w:pos="9590"/>
        </w:tabs>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乙方专用账户名为：</w:t>
      </w:r>
      <w:r>
        <w:rPr>
          <w:rFonts w:hint="eastAsia" w:ascii="仿宋" w:hAnsi="仿宋" w:eastAsia="仿宋" w:cs="仿宋"/>
          <w:sz w:val="24"/>
          <w:szCs w:val="24"/>
          <w:u w:val="single"/>
        </w:rPr>
        <w:t xml:space="preserve">                  </w:t>
      </w:r>
    </w:p>
    <w:p>
      <w:pPr>
        <w:pStyle w:val="18"/>
        <w:tabs>
          <w:tab w:val="left" w:pos="945"/>
          <w:tab w:val="clear" w:pos="0"/>
          <w:tab w:val="clear" w:pos="959"/>
          <w:tab w:val="clear" w:pos="1918"/>
          <w:tab w:val="clear" w:pos="2877"/>
          <w:tab w:val="clear" w:pos="3836"/>
          <w:tab w:val="clear" w:pos="4795"/>
          <w:tab w:val="clear" w:pos="5754"/>
          <w:tab w:val="clear" w:pos="6713"/>
          <w:tab w:val="clear" w:pos="7672"/>
          <w:tab w:val="clear" w:pos="8631"/>
          <w:tab w:val="clear" w:pos="9590"/>
        </w:tabs>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账号为：</w:t>
      </w:r>
      <w:r>
        <w:rPr>
          <w:rFonts w:hint="eastAsia" w:ascii="仿宋" w:hAnsi="仿宋" w:eastAsia="仿宋" w:cs="仿宋"/>
          <w:sz w:val="24"/>
          <w:szCs w:val="24"/>
          <w:u w:val="single"/>
        </w:rPr>
        <w:t xml:space="preserve">                </w:t>
      </w:r>
    </w:p>
    <w:p>
      <w:pPr>
        <w:pStyle w:val="18"/>
        <w:tabs>
          <w:tab w:val="left" w:pos="945"/>
          <w:tab w:val="clear" w:pos="0"/>
          <w:tab w:val="clear" w:pos="959"/>
          <w:tab w:val="clear" w:pos="1918"/>
          <w:tab w:val="clear" w:pos="2877"/>
          <w:tab w:val="clear" w:pos="3836"/>
          <w:tab w:val="clear" w:pos="4795"/>
          <w:tab w:val="clear" w:pos="5754"/>
          <w:tab w:val="clear" w:pos="6713"/>
          <w:tab w:val="clear" w:pos="7672"/>
          <w:tab w:val="clear" w:pos="8631"/>
          <w:tab w:val="clear" w:pos="9590"/>
        </w:tabs>
        <w:snapToGrid w:val="0"/>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开户行为：</w:t>
      </w:r>
      <w:r>
        <w:rPr>
          <w:rFonts w:hint="eastAsia" w:ascii="仿宋" w:hAnsi="仿宋" w:eastAsia="仿宋" w:cs="仿宋"/>
          <w:sz w:val="24"/>
          <w:szCs w:val="24"/>
          <w:u w:val="single"/>
        </w:rPr>
        <w:t xml:space="preserve">               </w:t>
      </w:r>
    </w:p>
    <w:p>
      <w:pPr>
        <w:spacing w:line="360" w:lineRule="auto"/>
        <w:ind w:firstLine="482" w:firstLineChars="200"/>
        <w:rPr>
          <w:rFonts w:ascii="仿宋" w:hAnsi="仿宋" w:eastAsia="仿宋" w:cs="仿宋"/>
          <w:b/>
          <w:kern w:val="0"/>
          <w:sz w:val="24"/>
          <w:szCs w:val="24"/>
        </w:rPr>
      </w:pPr>
      <w:r>
        <w:rPr>
          <w:rFonts w:hint="eastAsia" w:ascii="仿宋" w:hAnsi="仿宋" w:eastAsia="仿宋" w:cs="仿宋"/>
          <w:b/>
          <w:kern w:val="0"/>
          <w:sz w:val="24"/>
          <w:szCs w:val="24"/>
        </w:rPr>
        <w:t>3、甲方付款之前，乙方应提供全额增值税发票。乙方逾期提供发票导致甲方逾期付款的，不视为甲方违约。</w:t>
      </w:r>
    </w:p>
    <w:p>
      <w:pPr>
        <w:spacing w:line="360" w:lineRule="auto"/>
        <w:ind w:firstLine="482" w:firstLineChars="200"/>
        <w:rPr>
          <w:rFonts w:ascii="仿宋" w:hAnsi="仿宋" w:eastAsia="仿宋" w:cs="仿宋"/>
          <w:b/>
          <w:sz w:val="24"/>
          <w:szCs w:val="24"/>
        </w:rPr>
      </w:pPr>
      <w:r>
        <w:rPr>
          <w:rFonts w:hint="eastAsia" w:ascii="仿宋" w:hAnsi="仿宋" w:eastAsia="仿宋" w:cs="仿宋"/>
          <w:b/>
          <w:kern w:val="0"/>
          <w:sz w:val="24"/>
          <w:szCs w:val="24"/>
        </w:rPr>
        <w:t>第六条</w:t>
      </w:r>
      <w:r>
        <w:rPr>
          <w:rFonts w:hint="eastAsia" w:ascii="仿宋" w:hAnsi="仿宋" w:eastAsia="仿宋" w:cs="仿宋"/>
          <w:b/>
          <w:sz w:val="24"/>
          <w:szCs w:val="24"/>
        </w:rPr>
        <w:t>：甲方的权利和义务</w:t>
      </w:r>
    </w:p>
    <w:p>
      <w:pPr>
        <w:pStyle w:val="17"/>
        <w:spacing w:line="360" w:lineRule="auto"/>
        <w:ind w:firstLine="480" w:firstLineChars="200"/>
        <w:rPr>
          <w:rFonts w:ascii="仿宋" w:hAnsi="仿宋" w:eastAsia="仿宋" w:cs="仿宋"/>
          <w:kern w:val="2"/>
          <w:sz w:val="24"/>
        </w:rPr>
      </w:pPr>
      <w:r>
        <w:rPr>
          <w:rFonts w:hint="eastAsia" w:ascii="仿宋" w:hAnsi="仿宋" w:eastAsia="仿宋" w:cs="仿宋"/>
          <w:kern w:val="2"/>
          <w:sz w:val="24"/>
        </w:rPr>
        <w:t>1、甲方有权要求乙方提供相应的资质（企业资质证书、安全生产许可证、质量体系认证证书以及人员资质和版权资质）。</w:t>
      </w:r>
    </w:p>
    <w:p>
      <w:pPr>
        <w:pStyle w:val="17"/>
        <w:spacing w:line="360" w:lineRule="auto"/>
        <w:ind w:firstLine="480" w:firstLineChars="200"/>
        <w:rPr>
          <w:rFonts w:ascii="仿宋" w:hAnsi="仿宋" w:eastAsia="仿宋" w:cs="仿宋"/>
          <w:kern w:val="2"/>
          <w:sz w:val="24"/>
        </w:rPr>
      </w:pPr>
      <w:r>
        <w:rPr>
          <w:rFonts w:hint="eastAsia" w:ascii="仿宋" w:hAnsi="仿宋" w:eastAsia="仿宋" w:cs="仿宋"/>
          <w:kern w:val="2"/>
          <w:sz w:val="24"/>
        </w:rPr>
        <w:t>2、甲方有权要求乙方按合同约定时间交付产品。</w:t>
      </w:r>
    </w:p>
    <w:p>
      <w:pPr>
        <w:pStyle w:val="17"/>
        <w:spacing w:line="360" w:lineRule="auto"/>
        <w:ind w:firstLine="480" w:firstLineChars="200"/>
        <w:rPr>
          <w:rFonts w:ascii="仿宋" w:hAnsi="仿宋" w:eastAsia="仿宋" w:cs="仿宋"/>
          <w:kern w:val="2"/>
          <w:sz w:val="24"/>
        </w:rPr>
      </w:pPr>
      <w:r>
        <w:rPr>
          <w:rFonts w:hint="eastAsia" w:ascii="仿宋" w:hAnsi="仿宋" w:eastAsia="仿宋" w:cs="仿宋"/>
          <w:kern w:val="2"/>
          <w:sz w:val="24"/>
        </w:rPr>
        <w:t>3、甲方负责配合乙方提供进场实施所需要的本项目相关的电源环境、网络环境等基础设施，积极配合乙方提出的配合请求，提供必须的工具软件，提供乙方提出的其他合理的工作条件，及时按照合同约定方式对乙方提供的执行文档进行确认。</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4、负责提供培训场地，组织参加培训的人员按时出席，并配合乙方对受训人员进行考核。</w:t>
      </w:r>
    </w:p>
    <w:p>
      <w:pPr>
        <w:pStyle w:val="17"/>
        <w:spacing w:line="360" w:lineRule="auto"/>
        <w:ind w:firstLine="480" w:firstLineChars="200"/>
        <w:rPr>
          <w:rFonts w:hint="eastAsia" w:ascii="仿宋" w:hAnsi="仿宋" w:eastAsia="仿宋" w:cs="仿宋"/>
          <w:kern w:val="2"/>
          <w:sz w:val="24"/>
        </w:rPr>
      </w:pPr>
      <w:r>
        <w:rPr>
          <w:rFonts w:hint="eastAsia" w:ascii="仿宋" w:hAnsi="仿宋" w:eastAsia="仿宋" w:cs="仿宋"/>
          <w:kern w:val="2"/>
          <w:sz w:val="24"/>
        </w:rPr>
        <w:t>5、依据合同协助乙方完成验收等相关事宜并按照合同要求支付费用。</w:t>
      </w:r>
    </w:p>
    <w:p>
      <w:pPr>
        <w:pStyle w:val="17"/>
        <w:spacing w:line="360" w:lineRule="auto"/>
        <w:ind w:firstLine="480" w:firstLineChars="200"/>
        <w:rPr>
          <w:rFonts w:ascii="仿宋" w:hAnsi="仿宋" w:eastAsia="仿宋" w:cs="仿宋"/>
          <w:kern w:val="2"/>
          <w:sz w:val="24"/>
        </w:rPr>
      </w:pPr>
    </w:p>
    <w:p>
      <w:pPr>
        <w:pStyle w:val="18"/>
        <w:tabs>
          <w:tab w:val="clear" w:pos="0"/>
          <w:tab w:val="clear" w:pos="959"/>
          <w:tab w:val="clear" w:pos="1918"/>
          <w:tab w:val="clear" w:pos="2877"/>
          <w:tab w:val="clear" w:pos="3836"/>
          <w:tab w:val="clear" w:pos="4795"/>
          <w:tab w:val="clear" w:pos="5754"/>
          <w:tab w:val="clear" w:pos="6713"/>
          <w:tab w:val="clear" w:pos="7672"/>
          <w:tab w:val="clear" w:pos="8631"/>
          <w:tab w:val="clear" w:pos="9590"/>
        </w:tabs>
        <w:snapToGrid w:val="0"/>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第七条：乙方的权利和义务</w:t>
      </w:r>
    </w:p>
    <w:p>
      <w:pPr>
        <w:pStyle w:val="17"/>
        <w:spacing w:line="360" w:lineRule="auto"/>
        <w:ind w:firstLine="480" w:firstLineChars="200"/>
        <w:rPr>
          <w:rFonts w:ascii="仿宋" w:hAnsi="仿宋" w:eastAsia="仿宋" w:cs="仿宋"/>
          <w:kern w:val="2"/>
          <w:sz w:val="24"/>
        </w:rPr>
      </w:pPr>
      <w:r>
        <w:rPr>
          <w:rFonts w:hint="eastAsia" w:ascii="仿宋" w:hAnsi="仿宋" w:eastAsia="仿宋" w:cs="仿宋"/>
          <w:kern w:val="2"/>
          <w:sz w:val="24"/>
        </w:rPr>
        <w:t>1、乙方有权要求甲方为乙方履行本合同提供便利，要求甲方提供必须的相关资料。</w:t>
      </w:r>
    </w:p>
    <w:p>
      <w:pPr>
        <w:pStyle w:val="17"/>
        <w:spacing w:line="360" w:lineRule="auto"/>
        <w:ind w:firstLine="480" w:firstLineChars="200"/>
        <w:rPr>
          <w:rFonts w:ascii="仿宋" w:hAnsi="仿宋" w:eastAsia="仿宋" w:cs="仿宋"/>
          <w:kern w:val="2"/>
          <w:sz w:val="24"/>
        </w:rPr>
      </w:pPr>
      <w:r>
        <w:rPr>
          <w:rFonts w:hint="eastAsia" w:ascii="仿宋" w:hAnsi="仿宋" w:eastAsia="仿宋" w:cs="仿宋"/>
          <w:kern w:val="2"/>
          <w:sz w:val="24"/>
        </w:rPr>
        <w:t>2、乙方有权要求甲方按本合同约定支付费用。</w:t>
      </w:r>
    </w:p>
    <w:p>
      <w:pPr>
        <w:pStyle w:val="17"/>
        <w:spacing w:line="360" w:lineRule="auto"/>
        <w:ind w:firstLine="480" w:firstLineChars="200"/>
        <w:rPr>
          <w:rFonts w:ascii="仿宋" w:hAnsi="仿宋" w:eastAsia="仿宋" w:cs="仿宋"/>
          <w:kern w:val="2"/>
          <w:sz w:val="24"/>
        </w:rPr>
      </w:pPr>
      <w:r>
        <w:rPr>
          <w:rFonts w:hint="eastAsia" w:ascii="仿宋" w:hAnsi="仿宋" w:eastAsia="仿宋" w:cs="仿宋"/>
          <w:kern w:val="2"/>
          <w:sz w:val="24"/>
        </w:rPr>
        <w:t>3、乙方保证其所交付的产品没有侵犯任何第三人的知识产权和商业秘密。</w:t>
      </w:r>
    </w:p>
    <w:p>
      <w:pPr>
        <w:pStyle w:val="17"/>
        <w:spacing w:line="360" w:lineRule="auto"/>
        <w:ind w:firstLine="480" w:firstLineChars="200"/>
        <w:rPr>
          <w:rFonts w:ascii="仿宋" w:hAnsi="仿宋" w:eastAsia="仿宋" w:cs="仿宋"/>
          <w:kern w:val="2"/>
          <w:sz w:val="24"/>
        </w:rPr>
      </w:pPr>
      <w:r>
        <w:rPr>
          <w:rFonts w:hint="eastAsia" w:ascii="仿宋" w:hAnsi="仿宋" w:eastAsia="仿宋" w:cs="仿宋"/>
          <w:kern w:val="2"/>
          <w:sz w:val="24"/>
        </w:rPr>
        <w:t>4、乙方应按合同约定提供项目相关的技术文档材料，及时交付产品。</w:t>
      </w:r>
    </w:p>
    <w:p>
      <w:pPr>
        <w:pStyle w:val="17"/>
        <w:spacing w:line="360" w:lineRule="auto"/>
        <w:ind w:firstLine="480" w:firstLineChars="200"/>
        <w:rPr>
          <w:rFonts w:ascii="仿宋" w:hAnsi="仿宋" w:eastAsia="仿宋" w:cs="仿宋"/>
          <w:kern w:val="2"/>
          <w:sz w:val="24"/>
        </w:rPr>
      </w:pPr>
      <w:r>
        <w:rPr>
          <w:rFonts w:hint="eastAsia" w:ascii="仿宋" w:hAnsi="仿宋" w:eastAsia="仿宋" w:cs="仿宋"/>
          <w:kern w:val="2"/>
          <w:sz w:val="24"/>
        </w:rPr>
        <w:t>5、对双方共同确认的甲方受训人员提供集中培训服务。</w:t>
      </w:r>
    </w:p>
    <w:p>
      <w:pPr>
        <w:pStyle w:val="17"/>
        <w:spacing w:line="360" w:lineRule="auto"/>
        <w:ind w:firstLine="480" w:firstLineChars="200"/>
        <w:rPr>
          <w:rFonts w:ascii="仿宋" w:hAnsi="仿宋" w:eastAsia="仿宋" w:cs="仿宋"/>
          <w:kern w:val="2"/>
          <w:sz w:val="24"/>
        </w:rPr>
      </w:pPr>
      <w:r>
        <w:rPr>
          <w:rFonts w:hint="eastAsia" w:ascii="仿宋" w:hAnsi="仿宋" w:eastAsia="仿宋" w:cs="仿宋"/>
          <w:kern w:val="2"/>
          <w:sz w:val="24"/>
        </w:rPr>
        <w:t>6、按照双方确认的期限负责产品的安装、测试、调试工作及后续的维护工作。</w:t>
      </w:r>
    </w:p>
    <w:p>
      <w:pPr>
        <w:spacing w:line="360" w:lineRule="auto"/>
        <w:ind w:firstLine="482" w:firstLineChars="200"/>
        <w:rPr>
          <w:rFonts w:ascii="仿宋" w:hAnsi="仿宋" w:eastAsia="仿宋" w:cs="仿宋"/>
          <w:b/>
          <w:color w:val="000000"/>
          <w:sz w:val="24"/>
        </w:rPr>
      </w:pPr>
      <w:r>
        <w:rPr>
          <w:rFonts w:hint="eastAsia" w:ascii="仿宋" w:hAnsi="仿宋" w:eastAsia="仿宋" w:cs="仿宋"/>
          <w:b/>
          <w:color w:val="000000"/>
          <w:sz w:val="24"/>
        </w:rPr>
        <w:t>第八条：产品的验收</w:t>
      </w:r>
    </w:p>
    <w:p>
      <w:pPr>
        <w:numPr>
          <w:ilvl w:val="0"/>
          <w:numId w:val="1"/>
        </w:num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该项目所有产品经过调试，依据招标文件、投标文件、合同并能够满足甲方要求后，甲方须在乙方提出书面验收申请之日起</w:t>
      </w:r>
      <w:r>
        <w:rPr>
          <w:rFonts w:hint="eastAsia" w:ascii="仿宋" w:hAnsi="仿宋" w:eastAsia="仿宋" w:cs="仿宋"/>
          <w:color w:val="000000"/>
          <w:sz w:val="24"/>
          <w:u w:val="single"/>
        </w:rPr>
        <w:t xml:space="preserve"> 7 </w:t>
      </w:r>
      <w:r>
        <w:rPr>
          <w:rFonts w:hint="eastAsia" w:ascii="仿宋" w:hAnsi="仿宋" w:eastAsia="仿宋" w:cs="仿宋"/>
          <w:color w:val="000000"/>
          <w:sz w:val="24"/>
        </w:rPr>
        <w:t>个工作日内（节假日顺延）组织验收工作。验收由甲方指定单位进行验收，验收合格后出具书面验收合格证明，作为对产品的最终认可。</w:t>
      </w:r>
    </w:p>
    <w:p>
      <w:pPr>
        <w:numPr>
          <w:ilvl w:val="0"/>
          <w:numId w:val="1"/>
        </w:numPr>
        <w:spacing w:line="360" w:lineRule="auto"/>
        <w:ind w:firstLine="480" w:firstLineChars="200"/>
        <w:rPr>
          <w:rFonts w:ascii="仿宋" w:hAnsi="仿宋" w:eastAsia="仿宋" w:cs="仿宋"/>
        </w:rPr>
      </w:pPr>
      <w:r>
        <w:rPr>
          <w:rFonts w:hint="eastAsia" w:ascii="仿宋" w:hAnsi="仿宋" w:eastAsia="仿宋" w:cs="仿宋"/>
          <w:color w:val="000000"/>
          <w:sz w:val="24"/>
        </w:rPr>
        <w:t>如项目未通过验收的，乙方应排除故障，进行整改，承担相关费用。如甲方未在约定时间内完成验收工作、未提出书面异议，则视为项目验收合格。若甲方认为乙方交付的产品存在不符合合同约定情形的，甲方应在收到乙方验收申请后20日内提出书面异议，双方友好协商解决。乙方应在双方确认的期限内用符合本合同约定的产品更换或整改产品，乙方承担更换或整改产品产生的所有费用，乙方更换或整改产品后再次申请验收，直至验收通过。</w:t>
      </w:r>
    </w:p>
    <w:p>
      <w:pPr>
        <w:numPr>
          <w:ilvl w:val="0"/>
          <w:numId w:val="1"/>
        </w:numPr>
        <w:spacing w:line="360" w:lineRule="auto"/>
        <w:ind w:firstLine="480" w:firstLineChars="200"/>
        <w:rPr>
          <w:rFonts w:ascii="仿宋" w:hAnsi="仿宋" w:eastAsia="仿宋" w:cs="仿宋"/>
          <w:sz w:val="24"/>
          <w:szCs w:val="24"/>
        </w:rPr>
      </w:pPr>
      <w:r>
        <w:rPr>
          <w:rFonts w:hint="eastAsia" w:ascii="仿宋" w:hAnsi="仿宋" w:eastAsia="仿宋" w:cs="仿宋"/>
          <w:color w:val="000000"/>
          <w:sz w:val="24"/>
        </w:rPr>
        <w:t>本项目实施过程中，项目的内容、要求、验收、使用标准以采购文件要求为依据，若甲方中途变更方案或产品以及由此引起的相应费用的变化，双方另行协商达成一致意见后以书面形式确定。</w:t>
      </w:r>
    </w:p>
    <w:p>
      <w:pPr>
        <w:pStyle w:val="18"/>
        <w:tabs>
          <w:tab w:val="clear" w:pos="0"/>
          <w:tab w:val="clear" w:pos="959"/>
          <w:tab w:val="clear" w:pos="1918"/>
          <w:tab w:val="clear" w:pos="2877"/>
          <w:tab w:val="clear" w:pos="3836"/>
          <w:tab w:val="clear" w:pos="4795"/>
          <w:tab w:val="clear" w:pos="5754"/>
          <w:tab w:val="clear" w:pos="6713"/>
          <w:tab w:val="clear" w:pos="7672"/>
          <w:tab w:val="clear" w:pos="8631"/>
          <w:tab w:val="clear" w:pos="9590"/>
        </w:tabs>
        <w:snapToGrid w:val="0"/>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第九条：售后服务</w:t>
      </w:r>
    </w:p>
    <w:p>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1、乙方承诺负责本项目和中标文件中所阐述产品均为最新版本。</w:t>
      </w:r>
    </w:p>
    <w:p>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2、乙方承诺保证不影响甲方正常业务和保证数据完整的前提下进行实施工作。并承担由此工作带来的所有责任和造成的经济损失。</w:t>
      </w:r>
    </w:p>
    <w:p>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3、乙方承诺，整体项目验收合格后进入质保期，质保期为一年。</w:t>
      </w:r>
    </w:p>
    <w:p>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4、乙方承诺，保修、质保期内的维护内容包括：软件的版本升级，系统补丁免费升级。1小时内响应，2小时到场、4小时内排除故障。服务的方式：电话、邮件、现场，按照甲方要求的方式完成。</w:t>
      </w:r>
    </w:p>
    <w:p>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5、乙方承诺，指定专业项目经理专职负责整体项目实施。甲方有权要求乙方更换项目专职经理。</w:t>
      </w:r>
    </w:p>
    <w:p>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6、乙方承诺，当产品不能正常运行时，应在接到甲方通知后1小时内响应，提供电话、网络远程等技术支持，如果通过以上方式仍不能正常运行的，乙方必须在2小时内到达现场进行维护。</w:t>
      </w:r>
    </w:p>
    <w:p>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7、乙方承诺，在系统投入使用前，必须对各应用系统相关人员进行免费业务技术培训，对甲方信息科管理人员免费提供具有针对性的系统培训，以保证系统各项功能让甲方完全掌握，培训期限至甲方受训人员完全掌握产品各项功能为止。培训方式由双方商定，若需异地培训，因异地培训产生的所有费用由乙方承担。</w:t>
      </w:r>
    </w:p>
    <w:p>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8、保修、质保期内，维修费用、乙方维修人员的差旅费及其它相关费用均由乙方承担。</w:t>
      </w:r>
    </w:p>
    <w:p>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9、乙方提供产品应无任何瑕疵，如在使用过程中本产品存在隐蔽瑕疵造成医疗事故而引发的纠纷，由乙方全额负责赔偿，并免费为甲方修复瑕疵或更新换代，期间产生的费用均由乙方承担。</w:t>
      </w:r>
    </w:p>
    <w:p>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10、保修、质保期后为有偿服务，甲乙双方可另行签订服务协议，原则上不超过合同总额的7%。</w:t>
      </w:r>
    </w:p>
    <w:p>
      <w:pPr>
        <w:spacing w:line="360" w:lineRule="auto"/>
        <w:ind w:firstLine="482" w:firstLineChars="200"/>
        <w:rPr>
          <w:rFonts w:ascii="仿宋" w:hAnsi="仿宋" w:eastAsia="仿宋" w:cs="仿宋"/>
          <w:b/>
          <w:kern w:val="0"/>
          <w:sz w:val="24"/>
          <w:szCs w:val="24"/>
        </w:rPr>
      </w:pPr>
      <w:r>
        <w:rPr>
          <w:rFonts w:hint="eastAsia" w:ascii="仿宋" w:hAnsi="仿宋" w:eastAsia="仿宋" w:cs="仿宋"/>
          <w:b/>
          <w:kern w:val="0"/>
          <w:sz w:val="24"/>
          <w:szCs w:val="24"/>
        </w:rPr>
        <w:t>第十条：知识产权及保密条款</w:t>
      </w:r>
    </w:p>
    <w:p>
      <w:pPr>
        <w:numPr>
          <w:ilvl w:val="0"/>
          <w:numId w:val="2"/>
        </w:num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乙方保证其提供本合同项下的产品具备相应资质，为履行本合同而使用的产品不存在权利瑕疵或侵害第三人利益的情形。</w:t>
      </w:r>
    </w:p>
    <w:p>
      <w:pPr>
        <w:pStyle w:val="12"/>
        <w:tabs>
          <w:tab w:val="left" w:pos="6240"/>
        </w:tabs>
        <w:spacing w:line="360" w:lineRule="auto"/>
        <w:ind w:firstLine="480"/>
        <w:rPr>
          <w:rFonts w:ascii="仿宋" w:hAnsi="仿宋" w:eastAsia="仿宋" w:cs="仿宋"/>
          <w:color w:val="000000"/>
          <w:sz w:val="24"/>
          <w:szCs w:val="24"/>
        </w:rPr>
      </w:pPr>
      <w:r>
        <w:rPr>
          <w:rFonts w:hint="eastAsia" w:ascii="仿宋" w:hAnsi="仿宋" w:eastAsia="仿宋" w:cs="仿宋"/>
          <w:color w:val="000000"/>
          <w:sz w:val="24"/>
        </w:rPr>
        <w:t>2、</w:t>
      </w:r>
      <w:r>
        <w:rPr>
          <w:rFonts w:hint="eastAsia" w:ascii="仿宋" w:hAnsi="仿宋" w:eastAsia="仿宋" w:cs="仿宋"/>
          <w:color w:val="000000"/>
          <w:sz w:val="24"/>
          <w:szCs w:val="24"/>
        </w:rPr>
        <w:t>本项目涉及的保密内容包括技术信息、经营信息等，双方都有责任对对方提供的技术情报、资料数据及商业秘密保密，不得向第三方泄露。</w:t>
      </w:r>
    </w:p>
    <w:p>
      <w:pPr>
        <w:pStyle w:val="9"/>
        <w:spacing w:line="360" w:lineRule="auto"/>
        <w:ind w:firstLineChars="200"/>
        <w:jc w:val="left"/>
        <w:rPr>
          <w:rFonts w:ascii="仿宋" w:hAnsi="仿宋" w:eastAsia="仿宋" w:cs="仿宋"/>
          <w:color w:val="000000"/>
          <w:kern w:val="2"/>
          <w:sz w:val="24"/>
          <w:szCs w:val="24"/>
        </w:rPr>
      </w:pPr>
      <w:r>
        <w:rPr>
          <w:rFonts w:hint="eastAsia" w:ascii="仿宋" w:hAnsi="仿宋" w:eastAsia="仿宋" w:cs="仿宋"/>
          <w:color w:val="000000"/>
          <w:kern w:val="2"/>
          <w:sz w:val="24"/>
          <w:szCs w:val="24"/>
        </w:rPr>
        <w:t>3、未经对方同意，任何一方不得以任何形式公开本合同及附件内容。双方在未征得对方同意的情况下，不得向第三方泄露在项目中接触到的需要保密的信息和资料。不得为任何本合同之外的其他目的而自行使用或允许他人使用从对方获得的信息（包括但不限于所有的报告、摘录、纪要、文件、计划、报表、复印件等）。</w:t>
      </w:r>
    </w:p>
    <w:p>
      <w:pPr>
        <w:pStyle w:val="9"/>
        <w:spacing w:line="360" w:lineRule="auto"/>
        <w:ind w:firstLineChars="200"/>
        <w:jc w:val="left"/>
        <w:rPr>
          <w:rFonts w:ascii="仿宋" w:hAnsi="仿宋" w:eastAsia="仿宋" w:cs="仿宋"/>
          <w:color w:val="000000"/>
          <w:kern w:val="2"/>
          <w:sz w:val="24"/>
          <w:szCs w:val="24"/>
        </w:rPr>
      </w:pPr>
      <w:r>
        <w:rPr>
          <w:rFonts w:hint="eastAsia" w:ascii="仿宋" w:hAnsi="仿宋" w:eastAsia="仿宋" w:cs="仿宋"/>
          <w:color w:val="000000"/>
          <w:kern w:val="2"/>
          <w:sz w:val="24"/>
          <w:szCs w:val="24"/>
        </w:rPr>
        <w:t>4、负有保密义务的人员范围为甲乙双方参与及知悉项目的所有人员，双方负有永久保密义务。</w:t>
      </w:r>
      <w:r>
        <w:rPr>
          <w:rFonts w:hint="eastAsia" w:ascii="仿宋" w:hAnsi="仿宋" w:eastAsia="仿宋" w:cs="仿宋"/>
          <w:color w:val="000000"/>
          <w:kern w:val="2"/>
          <w:sz w:val="24"/>
          <w:szCs w:val="24"/>
        </w:rPr>
        <w:tab/>
      </w:r>
    </w:p>
    <w:p>
      <w:pPr>
        <w:pStyle w:val="9"/>
        <w:spacing w:line="360" w:lineRule="auto"/>
        <w:ind w:firstLineChars="200"/>
        <w:jc w:val="left"/>
        <w:rPr>
          <w:rFonts w:ascii="仿宋" w:hAnsi="仿宋" w:eastAsia="仿宋" w:cs="仿宋"/>
          <w:color w:val="000000"/>
          <w:kern w:val="2"/>
          <w:sz w:val="24"/>
          <w:szCs w:val="24"/>
        </w:rPr>
      </w:pPr>
      <w:r>
        <w:rPr>
          <w:rFonts w:hint="eastAsia" w:ascii="仿宋" w:hAnsi="仿宋" w:eastAsia="仿宋" w:cs="仿宋"/>
          <w:color w:val="000000"/>
          <w:kern w:val="2"/>
          <w:sz w:val="24"/>
          <w:szCs w:val="24"/>
        </w:rPr>
        <w:t>5、本项目项下产生数据资料、统计资料等电子信息所有权属于甲方，未经甲方书面同意，乙方不得以任何方式使用或变相使用，不得以任何方式向第三方披露，否则，乙方应当向甲方赔偿损失。</w:t>
      </w:r>
    </w:p>
    <w:p>
      <w:pPr>
        <w:pStyle w:val="18"/>
        <w:tabs>
          <w:tab w:val="clear" w:pos="0"/>
          <w:tab w:val="clear" w:pos="959"/>
          <w:tab w:val="clear" w:pos="1918"/>
          <w:tab w:val="clear" w:pos="2877"/>
          <w:tab w:val="clear" w:pos="3836"/>
          <w:tab w:val="clear" w:pos="4795"/>
          <w:tab w:val="clear" w:pos="5754"/>
          <w:tab w:val="clear" w:pos="6713"/>
          <w:tab w:val="clear" w:pos="7672"/>
          <w:tab w:val="clear" w:pos="8631"/>
          <w:tab w:val="clear" w:pos="9590"/>
        </w:tabs>
        <w:snapToGrid w:val="0"/>
        <w:spacing w:line="360" w:lineRule="auto"/>
        <w:ind w:firstLine="482" w:firstLineChars="200"/>
        <w:rPr>
          <w:rFonts w:ascii="仿宋" w:hAnsi="仿宋" w:eastAsia="仿宋" w:cs="仿宋"/>
          <w:b/>
          <w:sz w:val="24"/>
          <w:szCs w:val="24"/>
        </w:rPr>
      </w:pPr>
      <w:r>
        <w:rPr>
          <w:rFonts w:hint="eastAsia" w:ascii="仿宋" w:hAnsi="仿宋" w:eastAsia="仿宋" w:cs="仿宋"/>
          <w:b/>
          <w:color w:val="000000"/>
          <w:kern w:val="2"/>
          <w:sz w:val="24"/>
          <w:szCs w:val="24"/>
        </w:rPr>
        <w:t>第十一条：</w:t>
      </w:r>
      <w:r>
        <w:rPr>
          <w:rFonts w:hint="eastAsia" w:ascii="仿宋" w:hAnsi="仿宋" w:eastAsia="仿宋" w:cs="仿宋"/>
          <w:b/>
          <w:sz w:val="24"/>
          <w:szCs w:val="24"/>
        </w:rPr>
        <w:t>违约责任</w:t>
      </w:r>
    </w:p>
    <w:p>
      <w:pPr>
        <w:pStyle w:val="18"/>
        <w:tabs>
          <w:tab w:val="clear" w:pos="0"/>
          <w:tab w:val="clear" w:pos="959"/>
          <w:tab w:val="clear" w:pos="1918"/>
          <w:tab w:val="clear" w:pos="2877"/>
          <w:tab w:val="clear" w:pos="3836"/>
          <w:tab w:val="clear" w:pos="4795"/>
          <w:tab w:val="clear" w:pos="5754"/>
          <w:tab w:val="clear" w:pos="6713"/>
          <w:tab w:val="clear" w:pos="7672"/>
          <w:tab w:val="clear" w:pos="8631"/>
          <w:tab w:val="clear" w:pos="9590"/>
        </w:tabs>
        <w:snapToGrid w:val="0"/>
        <w:spacing w:line="360" w:lineRule="auto"/>
        <w:ind w:firstLine="480" w:firstLineChars="200"/>
        <w:rPr>
          <w:rFonts w:ascii="仿宋" w:hAnsi="仿宋" w:eastAsia="仿宋" w:cs="仿宋"/>
          <w:sz w:val="24"/>
        </w:rPr>
      </w:pPr>
      <w:r>
        <w:rPr>
          <w:rFonts w:hint="eastAsia" w:ascii="仿宋" w:hAnsi="仿宋" w:eastAsia="仿宋" w:cs="仿宋"/>
          <w:sz w:val="24"/>
        </w:rPr>
        <w:t>1、 乙方如不能按时交货，应向甲方支付迟延履行的违约金，每逾期一天以逾期交货货款金额为基数按照日</w:t>
      </w:r>
      <w:r>
        <w:rPr>
          <w:rFonts w:hint="eastAsia" w:ascii="仿宋" w:hAnsi="仿宋" w:eastAsia="仿宋" w:cs="仿宋"/>
          <w:sz w:val="24"/>
          <w:u w:val="single"/>
        </w:rPr>
        <w:t xml:space="preserve"> 0.2 </w:t>
      </w:r>
      <w:r>
        <w:rPr>
          <w:rFonts w:hint="eastAsia" w:ascii="仿宋" w:hAnsi="仿宋" w:eastAsia="仿宋" w:cs="仿宋"/>
          <w:sz w:val="24"/>
        </w:rPr>
        <w:t>‰计算违约金。乙方如未按照本合同约定时间完成安装、调试等义务，每逾期一天应向甲方支付本合同总价款</w:t>
      </w:r>
      <w:r>
        <w:rPr>
          <w:rFonts w:hint="eastAsia" w:ascii="仿宋" w:hAnsi="仿宋" w:eastAsia="仿宋" w:cs="仿宋"/>
          <w:sz w:val="24"/>
          <w:u w:val="single"/>
        </w:rPr>
        <w:t xml:space="preserve">  0.2  </w:t>
      </w:r>
      <w:r>
        <w:rPr>
          <w:rFonts w:hint="eastAsia" w:ascii="仿宋" w:hAnsi="仿宋" w:eastAsia="仿宋" w:cs="仿宋"/>
          <w:sz w:val="24"/>
        </w:rPr>
        <w:t>‰的违约金。乙方逾期超过</w:t>
      </w:r>
      <w:r>
        <w:rPr>
          <w:rFonts w:hint="eastAsia" w:ascii="仿宋" w:hAnsi="仿宋" w:eastAsia="仿宋" w:cs="仿宋"/>
          <w:sz w:val="24"/>
          <w:u w:val="single"/>
        </w:rPr>
        <w:t xml:space="preserve"> 30 </w:t>
      </w:r>
      <w:r>
        <w:rPr>
          <w:rFonts w:hint="eastAsia" w:ascii="仿宋" w:hAnsi="仿宋" w:eastAsia="仿宋" w:cs="仿宋"/>
          <w:sz w:val="24"/>
        </w:rPr>
        <w:t>天的，甲方有权解除合同。</w:t>
      </w:r>
    </w:p>
    <w:p>
      <w:pPr>
        <w:spacing w:line="360" w:lineRule="auto"/>
        <w:ind w:firstLine="480" w:firstLineChars="200"/>
        <w:rPr>
          <w:rFonts w:ascii="仿宋" w:hAnsi="仿宋" w:eastAsia="仿宋" w:cs="仿宋"/>
          <w:sz w:val="24"/>
        </w:rPr>
      </w:pPr>
      <w:r>
        <w:rPr>
          <w:rFonts w:hint="eastAsia" w:ascii="仿宋" w:hAnsi="仿宋" w:eastAsia="仿宋" w:cs="仿宋"/>
          <w:sz w:val="24"/>
        </w:rPr>
        <w:t>如乙方交付的产品数量、品种、规格、质量不符合国家标准和合同约定的，由乙方负责包换、退货，并承担由此给甲方造成的所有经济损失。</w:t>
      </w:r>
    </w:p>
    <w:p>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2、 除前款约定外，乙方未按合同要求提供产品或提供虚假材料，且质量不能满足技术要求的，甲方有权解除合同，并对乙方的违法、违约行为进行追究。</w:t>
      </w:r>
    </w:p>
    <w:p>
      <w:pPr>
        <w:spacing w:line="360" w:lineRule="auto"/>
        <w:ind w:firstLine="480" w:firstLineChars="200"/>
        <w:rPr>
          <w:rFonts w:ascii="仿宋" w:hAnsi="仿宋" w:eastAsia="仿宋" w:cs="仿宋"/>
          <w:sz w:val="24"/>
        </w:rPr>
      </w:pPr>
      <w:r>
        <w:rPr>
          <w:rFonts w:hint="eastAsia" w:ascii="仿宋" w:hAnsi="仿宋" w:eastAsia="仿宋" w:cs="仿宋"/>
          <w:sz w:val="24"/>
        </w:rPr>
        <w:t>3、乙方确保甲方购买的产品拥有合法的知识产权（即为正版软件），如因甲方购买、使用该软件引起与其它第三方发生法律、经济纠纷的，乙方应主动承担全部责任，积极参与处理因软件引起的与其他第三方发生法律、经济责任，承担甲方因此造成的全部损失（包括但不限于赔偿费、律师费、交通费、诉讼费等），并且乙方应退还甲方支付的所有款项，以及支付合同价款总额</w:t>
      </w:r>
      <w:r>
        <w:rPr>
          <w:rFonts w:hint="eastAsia" w:ascii="仿宋" w:hAnsi="仿宋" w:eastAsia="仿宋" w:cs="仿宋"/>
          <w:sz w:val="24"/>
          <w:u w:val="single"/>
        </w:rPr>
        <w:t xml:space="preserve">20 </w:t>
      </w:r>
      <w:r>
        <w:rPr>
          <w:rFonts w:hint="eastAsia" w:ascii="仿宋" w:hAnsi="仿宋" w:eastAsia="仿宋" w:cs="仿宋"/>
          <w:sz w:val="24"/>
        </w:rPr>
        <w:t>%违约金。</w:t>
      </w:r>
    </w:p>
    <w:p>
      <w:pPr>
        <w:pStyle w:val="17"/>
        <w:spacing w:line="360" w:lineRule="auto"/>
        <w:ind w:firstLine="480" w:firstLineChars="200"/>
        <w:rPr>
          <w:rFonts w:ascii="仿宋" w:hAnsi="仿宋" w:eastAsia="仿宋" w:cs="仿宋"/>
        </w:rPr>
      </w:pPr>
      <w:r>
        <w:rPr>
          <w:rFonts w:hint="eastAsia" w:ascii="仿宋" w:hAnsi="仿宋" w:eastAsia="仿宋" w:cs="仿宋"/>
          <w:kern w:val="2"/>
          <w:sz w:val="24"/>
        </w:rPr>
        <w:t>4、甲方未按合同约定提供工作条件或完成配合事项，或者提供工作条件、完成配合事项不符合合同约定影响项目进度和质量的，项目交付期限相应顺延。</w:t>
      </w:r>
    </w:p>
    <w:p>
      <w:pPr>
        <w:pStyle w:val="9"/>
        <w:spacing w:line="360" w:lineRule="auto"/>
        <w:ind w:firstLineChars="200"/>
        <w:jc w:val="left"/>
        <w:rPr>
          <w:rFonts w:ascii="仿宋" w:hAnsi="仿宋" w:eastAsia="仿宋" w:cs="仿宋"/>
          <w:color w:val="000000"/>
          <w:sz w:val="24"/>
        </w:rPr>
      </w:pPr>
      <w:r>
        <w:rPr>
          <w:rFonts w:hint="eastAsia" w:ascii="仿宋" w:hAnsi="仿宋" w:eastAsia="仿宋" w:cs="仿宋"/>
          <w:kern w:val="2"/>
          <w:sz w:val="24"/>
          <w:szCs w:val="24"/>
        </w:rPr>
        <w:t>5、因甲方违约导致本合同解除的，乙方有权按已履行完毕的服务内容向甲方收取对应合同价款。</w:t>
      </w:r>
    </w:p>
    <w:p>
      <w:pPr>
        <w:spacing w:line="360" w:lineRule="auto"/>
        <w:ind w:firstLine="480" w:firstLineChars="200"/>
        <w:rPr>
          <w:rFonts w:ascii="仿宋" w:hAnsi="仿宋" w:eastAsia="仿宋" w:cs="仿宋"/>
          <w:bCs/>
          <w:color w:val="000000"/>
          <w:sz w:val="24"/>
        </w:rPr>
      </w:pPr>
      <w:r>
        <w:rPr>
          <w:rFonts w:hint="eastAsia" w:ascii="仿宋" w:hAnsi="仿宋" w:eastAsia="仿宋" w:cs="仿宋"/>
          <w:bCs/>
          <w:color w:val="000000"/>
          <w:sz w:val="24"/>
        </w:rPr>
        <w:t>6、因乙方违约导致合同解除的，乙方应向甲方退还已收的所有款项，并向甲方支付</w:t>
      </w:r>
      <w:r>
        <w:rPr>
          <w:rFonts w:hint="eastAsia" w:ascii="仿宋" w:hAnsi="仿宋" w:eastAsia="仿宋" w:cs="仿宋"/>
          <w:sz w:val="24"/>
        </w:rPr>
        <w:t>合同价款总额的</w:t>
      </w:r>
      <w:r>
        <w:rPr>
          <w:rFonts w:hint="eastAsia" w:ascii="仿宋" w:hAnsi="仿宋" w:eastAsia="仿宋" w:cs="仿宋"/>
          <w:sz w:val="24"/>
          <w:u w:val="single"/>
        </w:rPr>
        <w:t>20</w:t>
      </w:r>
      <w:r>
        <w:rPr>
          <w:rFonts w:hint="eastAsia" w:ascii="仿宋" w:hAnsi="仿宋" w:eastAsia="仿宋" w:cs="仿宋"/>
          <w:sz w:val="24"/>
        </w:rPr>
        <w:t>%违约金。</w:t>
      </w:r>
    </w:p>
    <w:p>
      <w:pPr>
        <w:spacing w:line="360" w:lineRule="auto"/>
        <w:ind w:firstLine="482" w:firstLineChars="200"/>
        <w:rPr>
          <w:rFonts w:ascii="仿宋" w:hAnsi="仿宋" w:eastAsia="仿宋" w:cs="仿宋"/>
          <w:b/>
          <w:color w:val="000000"/>
          <w:sz w:val="24"/>
        </w:rPr>
      </w:pPr>
      <w:r>
        <w:rPr>
          <w:rFonts w:hint="eastAsia" w:ascii="仿宋" w:hAnsi="仿宋" w:eastAsia="仿宋" w:cs="仿宋"/>
          <w:b/>
          <w:color w:val="000000"/>
          <w:sz w:val="24"/>
        </w:rPr>
        <w:t>第十二条：不可抗力</w:t>
      </w:r>
    </w:p>
    <w:p>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如果由于无法预见并且对其发生和后果无法防止或避免的事件，如地震、水灾、火灾和其他自然灾害、战争、暴动、和类似的军事行动，民间骚动以及政府的禁运令、禁止令或其他政府限制和行动，或者其他阻止一方履行本合同义务的任何事件或原因（统称：不可抗力事件）。直接致使遇到上述事件的一方（即受阻方）不能履行本合同约定的全部或部分义务的，受阻方应立即书面通知另一方，并在不可抗力事件发生后十五个工作日内提供有关该事件的权威机关的书面材料，包括陈述迟延履行、部分履行或无法履行本合同义务的理由的说明书，方可免责。</w:t>
      </w:r>
    </w:p>
    <w:p>
      <w:pPr>
        <w:spacing w:line="360" w:lineRule="auto"/>
        <w:ind w:firstLine="482" w:firstLineChars="200"/>
        <w:rPr>
          <w:rFonts w:ascii="仿宋" w:hAnsi="仿宋" w:eastAsia="仿宋" w:cs="仿宋"/>
          <w:b/>
          <w:color w:val="000000"/>
          <w:sz w:val="24"/>
        </w:rPr>
      </w:pPr>
      <w:r>
        <w:rPr>
          <w:rFonts w:hint="eastAsia" w:ascii="仿宋" w:hAnsi="仿宋" w:eastAsia="仿宋" w:cs="仿宋"/>
          <w:b/>
          <w:color w:val="000000"/>
          <w:sz w:val="24"/>
        </w:rPr>
        <w:t>第十三条：纠纷的解决</w:t>
      </w:r>
    </w:p>
    <w:p>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本合同在履行过程中发生的与本合同有关的任何争议，由甲、乙双方先行友好协商解决，协商不成的，任何一方有权向甲方所在地人民法院起诉。</w:t>
      </w:r>
    </w:p>
    <w:p>
      <w:pPr>
        <w:spacing w:line="360" w:lineRule="auto"/>
        <w:ind w:firstLine="482" w:firstLineChars="200"/>
        <w:rPr>
          <w:rFonts w:ascii="仿宋" w:hAnsi="仿宋" w:eastAsia="仿宋" w:cs="仿宋"/>
          <w:color w:val="000000"/>
          <w:sz w:val="24"/>
        </w:rPr>
      </w:pPr>
      <w:r>
        <w:rPr>
          <w:rFonts w:hint="eastAsia" w:ascii="仿宋" w:hAnsi="仿宋" w:eastAsia="仿宋" w:cs="仿宋"/>
          <w:b/>
          <w:color w:val="000000"/>
          <w:sz w:val="24"/>
        </w:rPr>
        <w:t>第十四条</w:t>
      </w:r>
      <w:r>
        <w:rPr>
          <w:rFonts w:hint="eastAsia" w:ascii="仿宋" w:hAnsi="仿宋" w:eastAsia="仿宋" w:cs="仿宋"/>
          <w:color w:val="000000"/>
          <w:sz w:val="24"/>
        </w:rPr>
        <w:t>：本合同一式肆份，甲乙双方各执贰份，均具有同等法律效力。</w:t>
      </w:r>
    </w:p>
    <w:p>
      <w:pPr>
        <w:spacing w:line="360" w:lineRule="auto"/>
        <w:ind w:firstLine="482" w:firstLineChars="200"/>
        <w:rPr>
          <w:rFonts w:ascii="仿宋" w:hAnsi="仿宋" w:eastAsia="仿宋" w:cs="仿宋"/>
          <w:color w:val="000000"/>
          <w:sz w:val="24"/>
        </w:rPr>
      </w:pPr>
      <w:r>
        <w:rPr>
          <w:rFonts w:hint="eastAsia" w:ascii="仿宋" w:hAnsi="仿宋" w:eastAsia="仿宋" w:cs="仿宋"/>
          <w:b/>
          <w:color w:val="000000"/>
          <w:sz w:val="24"/>
        </w:rPr>
        <w:t>第十五条</w:t>
      </w:r>
      <w:r>
        <w:rPr>
          <w:rFonts w:hint="eastAsia" w:ascii="仿宋" w:hAnsi="仿宋" w:eastAsia="仿宋" w:cs="仿宋"/>
          <w:color w:val="000000"/>
          <w:sz w:val="24"/>
        </w:rPr>
        <w:t>：本合同未尽事宜，由甲、乙双方另行签订补充协议，补充协议作为合同附件与本合同具有同等法律效力。</w:t>
      </w:r>
    </w:p>
    <w:p>
      <w:pPr>
        <w:spacing w:line="360" w:lineRule="auto"/>
        <w:ind w:firstLine="482" w:firstLineChars="200"/>
        <w:rPr>
          <w:rFonts w:ascii="仿宋" w:hAnsi="仿宋" w:eastAsia="仿宋" w:cs="仿宋"/>
          <w:color w:val="000000"/>
          <w:sz w:val="24"/>
        </w:rPr>
      </w:pPr>
      <w:r>
        <w:rPr>
          <w:rFonts w:hint="eastAsia" w:ascii="仿宋" w:hAnsi="仿宋" w:eastAsia="仿宋" w:cs="仿宋"/>
          <w:b/>
          <w:color w:val="000000"/>
          <w:sz w:val="24"/>
        </w:rPr>
        <w:t>第十六条</w:t>
      </w:r>
      <w:r>
        <w:rPr>
          <w:rFonts w:hint="eastAsia" w:ascii="仿宋" w:hAnsi="仿宋" w:eastAsia="仿宋" w:cs="仿宋"/>
          <w:color w:val="000000"/>
          <w:sz w:val="24"/>
        </w:rPr>
        <w:t>：本合同自甲、乙双方正式授权代表签字并加盖公章之日生效。</w:t>
      </w:r>
    </w:p>
    <w:p>
      <w:pPr>
        <w:spacing w:line="360" w:lineRule="auto"/>
        <w:ind w:firstLine="482" w:firstLineChars="200"/>
        <w:rPr>
          <w:rFonts w:ascii="仿宋" w:hAnsi="仿宋" w:eastAsia="仿宋" w:cs="仿宋"/>
          <w:color w:val="000000"/>
          <w:sz w:val="24"/>
        </w:rPr>
      </w:pPr>
      <w:r>
        <w:rPr>
          <w:rFonts w:hint="eastAsia" w:ascii="仿宋" w:hAnsi="仿宋" w:eastAsia="仿宋" w:cs="仿宋"/>
          <w:b/>
          <w:color w:val="000000"/>
          <w:sz w:val="24"/>
        </w:rPr>
        <w:t>第十七条</w:t>
      </w:r>
      <w:r>
        <w:rPr>
          <w:rFonts w:hint="eastAsia" w:ascii="仿宋" w:hAnsi="仿宋" w:eastAsia="仿宋" w:cs="仿宋"/>
          <w:color w:val="000000"/>
          <w:sz w:val="24"/>
        </w:rPr>
        <w:t>：本合同有效期自生效之日起至合同执行完毕时止。</w:t>
      </w:r>
    </w:p>
    <w:p>
      <w:pPr>
        <w:spacing w:line="360" w:lineRule="auto"/>
        <w:ind w:firstLine="482" w:firstLineChars="200"/>
        <w:rPr>
          <w:rFonts w:ascii="仿宋" w:hAnsi="仿宋" w:eastAsia="仿宋" w:cs="仿宋"/>
          <w:b/>
          <w:color w:val="000000"/>
          <w:sz w:val="24"/>
        </w:rPr>
      </w:pPr>
      <w:r>
        <w:rPr>
          <w:rFonts w:hint="eastAsia" w:ascii="仿宋" w:hAnsi="仿宋" w:eastAsia="仿宋" w:cs="仿宋"/>
          <w:b/>
          <w:color w:val="000000"/>
          <w:sz w:val="24"/>
        </w:rPr>
        <w:t>第十八条：</w:t>
      </w:r>
      <w:r>
        <w:rPr>
          <w:rFonts w:hint="eastAsia" w:ascii="仿宋" w:hAnsi="仿宋" w:eastAsia="仿宋" w:cs="仿宋"/>
          <w:color w:val="000000"/>
          <w:sz w:val="24"/>
        </w:rPr>
        <w:t>本合同应当按照中华人民共和国的现行法律、法规进行解释。</w:t>
      </w:r>
    </w:p>
    <w:p>
      <w:pPr>
        <w:spacing w:line="400" w:lineRule="exact"/>
        <w:ind w:firstLine="354" w:firstLineChars="147"/>
        <w:rPr>
          <w:rFonts w:ascii="仿宋" w:hAnsi="仿宋" w:eastAsia="仿宋" w:cs="仿宋"/>
          <w:b/>
          <w:color w:val="D9D9D9"/>
          <w:sz w:val="24"/>
        </w:rPr>
      </w:pPr>
      <w:r>
        <w:rPr>
          <w:rFonts w:hint="eastAsia" w:ascii="仿宋" w:hAnsi="仿宋" w:eastAsia="仿宋" w:cs="仿宋"/>
          <w:b/>
          <w:color w:val="D9D9D9"/>
          <w:sz w:val="24"/>
        </w:rPr>
        <w:t>-----------------------以下无正文-------------------------</w:t>
      </w:r>
    </w:p>
    <w:p>
      <w:pPr>
        <w:spacing w:line="400" w:lineRule="exact"/>
        <w:rPr>
          <w:rFonts w:ascii="仿宋" w:hAnsi="仿宋" w:eastAsia="仿宋" w:cs="仿宋"/>
          <w:b/>
          <w:color w:val="000000"/>
          <w:sz w:val="24"/>
        </w:rPr>
      </w:pPr>
    </w:p>
    <w:p>
      <w:pPr>
        <w:spacing w:line="400" w:lineRule="exact"/>
        <w:jc w:val="left"/>
        <w:rPr>
          <w:rFonts w:ascii="仿宋" w:hAnsi="仿宋" w:eastAsia="仿宋" w:cs="仿宋"/>
          <w:b/>
          <w:color w:val="000000"/>
          <w:sz w:val="24"/>
        </w:rPr>
      </w:pPr>
      <w:r>
        <w:rPr>
          <w:rFonts w:hint="eastAsia" w:ascii="仿宋" w:hAnsi="仿宋" w:eastAsia="仿宋" w:cs="仿宋"/>
          <w:b/>
          <w:color w:val="000000"/>
          <w:sz w:val="24"/>
        </w:rPr>
        <w:t>甲方（盖章）：</w:t>
      </w:r>
      <w:r>
        <w:rPr>
          <w:rFonts w:hint="eastAsia" w:ascii="仿宋" w:hAnsi="仿宋" w:eastAsia="仿宋" w:cs="仿宋"/>
          <w:b/>
          <w:color w:val="000000"/>
          <w:sz w:val="24"/>
        </w:rPr>
        <w:tab/>
      </w:r>
      <w:r>
        <w:rPr>
          <w:rFonts w:hint="eastAsia" w:ascii="仿宋" w:hAnsi="仿宋" w:eastAsia="仿宋" w:cs="仿宋"/>
          <w:b/>
          <w:color w:val="000000"/>
          <w:sz w:val="24"/>
        </w:rPr>
        <w:tab/>
      </w:r>
      <w:r>
        <w:rPr>
          <w:rFonts w:hint="eastAsia" w:ascii="仿宋" w:hAnsi="仿宋" w:eastAsia="仿宋" w:cs="仿宋"/>
          <w:b/>
          <w:color w:val="000000"/>
          <w:sz w:val="24"/>
        </w:rPr>
        <w:tab/>
      </w:r>
      <w:r>
        <w:rPr>
          <w:rFonts w:hint="eastAsia" w:ascii="仿宋" w:hAnsi="仿宋" w:eastAsia="仿宋" w:cs="仿宋"/>
          <w:b/>
          <w:color w:val="000000"/>
          <w:sz w:val="24"/>
        </w:rPr>
        <w:tab/>
      </w:r>
      <w:r>
        <w:rPr>
          <w:rFonts w:hint="eastAsia" w:ascii="仿宋" w:hAnsi="仿宋" w:eastAsia="仿宋" w:cs="仿宋"/>
          <w:b/>
          <w:color w:val="000000"/>
          <w:sz w:val="24"/>
        </w:rPr>
        <w:tab/>
      </w:r>
      <w:r>
        <w:rPr>
          <w:rFonts w:hint="eastAsia" w:ascii="仿宋" w:hAnsi="仿宋" w:eastAsia="仿宋" w:cs="仿宋"/>
          <w:b/>
          <w:color w:val="000000"/>
          <w:sz w:val="24"/>
        </w:rPr>
        <w:tab/>
      </w:r>
      <w:r>
        <w:rPr>
          <w:rFonts w:hint="eastAsia" w:ascii="仿宋" w:hAnsi="仿宋" w:eastAsia="仿宋" w:cs="仿宋"/>
          <w:b/>
          <w:color w:val="000000"/>
          <w:sz w:val="24"/>
        </w:rPr>
        <w:tab/>
      </w:r>
      <w:r>
        <w:rPr>
          <w:rFonts w:hint="eastAsia" w:ascii="仿宋" w:hAnsi="仿宋" w:eastAsia="仿宋" w:cs="仿宋"/>
          <w:b/>
          <w:color w:val="000000"/>
          <w:sz w:val="24"/>
        </w:rPr>
        <w:t>乙方（盖章）：</w:t>
      </w:r>
    </w:p>
    <w:p>
      <w:pPr>
        <w:spacing w:line="400" w:lineRule="exact"/>
        <w:jc w:val="left"/>
        <w:rPr>
          <w:rFonts w:ascii="仿宋" w:hAnsi="仿宋" w:eastAsia="仿宋" w:cs="仿宋"/>
          <w:color w:val="000000"/>
          <w:sz w:val="24"/>
        </w:rPr>
      </w:pPr>
      <w:r>
        <w:rPr>
          <w:rFonts w:hint="eastAsia" w:ascii="仿宋" w:hAnsi="仿宋" w:eastAsia="仿宋" w:cs="仿宋"/>
          <w:color w:val="000000"/>
          <w:sz w:val="24"/>
        </w:rPr>
        <w:t>单位：</w:t>
      </w:r>
      <w:r>
        <w:rPr>
          <w:rFonts w:hint="eastAsia" w:ascii="仿宋" w:hAnsi="仿宋" w:eastAsia="仿宋" w:cs="仿宋"/>
          <w:sz w:val="24"/>
        </w:rPr>
        <w:t>陕西中医药大学附属医院</w:t>
      </w:r>
      <w:r>
        <w:rPr>
          <w:rFonts w:hint="eastAsia" w:ascii="仿宋" w:hAnsi="仿宋" w:eastAsia="仿宋" w:cs="仿宋"/>
          <w:color w:val="000000"/>
          <w:sz w:val="24"/>
        </w:rPr>
        <w:t xml:space="preserve">       单位：</w:t>
      </w:r>
      <w:r>
        <w:rPr>
          <w:rFonts w:ascii="仿宋" w:hAnsi="仿宋" w:eastAsia="仿宋" w:cs="仿宋"/>
          <w:color w:val="000000"/>
          <w:sz w:val="24"/>
        </w:rPr>
        <w:t xml:space="preserve"> </w:t>
      </w:r>
    </w:p>
    <w:p>
      <w:pPr>
        <w:spacing w:line="400" w:lineRule="exact"/>
        <w:ind w:right="-1352" w:rightChars="-644"/>
        <w:jc w:val="left"/>
        <w:rPr>
          <w:rFonts w:ascii="仿宋" w:hAnsi="仿宋" w:eastAsia="仿宋" w:cs="仿宋"/>
          <w:color w:val="000000"/>
          <w:szCs w:val="21"/>
        </w:rPr>
      </w:pPr>
      <w:r>
        <w:rPr>
          <w:rFonts w:hint="eastAsia" w:ascii="仿宋" w:hAnsi="仿宋" w:eastAsia="仿宋" w:cs="仿宋"/>
          <w:color w:val="000000"/>
          <w:sz w:val="24"/>
        </w:rPr>
        <w:t xml:space="preserve">地址：咸阳市渭阳西路副2号         地址：                                     </w:t>
      </w:r>
    </w:p>
    <w:p>
      <w:pPr>
        <w:spacing w:line="400" w:lineRule="exact"/>
        <w:ind w:firstLine="4080" w:firstLineChars="1700"/>
        <w:jc w:val="left"/>
        <w:rPr>
          <w:rFonts w:ascii="仿宋" w:hAnsi="仿宋" w:eastAsia="仿宋" w:cs="仿宋"/>
          <w:color w:val="000000"/>
          <w:szCs w:val="21"/>
        </w:rPr>
      </w:pPr>
      <w:r>
        <w:rPr>
          <w:rFonts w:hint="eastAsia" w:ascii="仿宋" w:hAnsi="仿宋" w:eastAsia="仿宋" w:cs="仿宋"/>
          <w:color w:val="000000"/>
          <w:sz w:val="24"/>
        </w:rPr>
        <w:t xml:space="preserve"> 账号：</w:t>
      </w:r>
    </w:p>
    <w:p>
      <w:pPr>
        <w:spacing w:line="400" w:lineRule="exact"/>
        <w:ind w:left="5280" w:leftChars="800" w:right="-932" w:rightChars="-444" w:hanging="3600" w:hangingChars="1500"/>
        <w:jc w:val="left"/>
        <w:rPr>
          <w:rFonts w:ascii="仿宋" w:hAnsi="仿宋" w:eastAsia="仿宋" w:cs="仿宋"/>
          <w:sz w:val="24"/>
        </w:rPr>
      </w:pPr>
      <w:r>
        <w:rPr>
          <w:rFonts w:hint="eastAsia" w:ascii="仿宋" w:hAnsi="仿宋" w:eastAsia="仿宋" w:cs="仿宋"/>
          <w:color w:val="000000"/>
          <w:sz w:val="24"/>
        </w:rPr>
        <w:t xml:space="preserve">                     开户行：</w:t>
      </w:r>
      <w:r>
        <w:rPr>
          <w:rFonts w:ascii="仿宋" w:hAnsi="仿宋" w:eastAsia="仿宋" w:cs="仿宋"/>
          <w:sz w:val="24"/>
        </w:rPr>
        <w:t xml:space="preserve"> </w:t>
      </w:r>
    </w:p>
    <w:p>
      <w:pPr>
        <w:spacing w:line="400" w:lineRule="exact"/>
        <w:ind w:left="5520" w:hanging="5520" w:hangingChars="2300"/>
        <w:jc w:val="left"/>
        <w:rPr>
          <w:rFonts w:ascii="仿宋" w:hAnsi="仿宋" w:eastAsia="仿宋" w:cs="仿宋"/>
          <w:color w:val="000000"/>
          <w:sz w:val="24"/>
        </w:rPr>
      </w:pPr>
      <w:r>
        <w:rPr>
          <w:rFonts w:hint="eastAsia" w:ascii="仿宋" w:hAnsi="仿宋" w:eastAsia="仿宋" w:cs="仿宋"/>
          <w:color w:val="000000"/>
          <w:sz w:val="24"/>
        </w:rPr>
        <w:t xml:space="preserve">授权代表：                         授权代表：                           </w:t>
      </w:r>
    </w:p>
    <w:p>
      <w:pPr>
        <w:spacing w:line="400" w:lineRule="exact"/>
        <w:jc w:val="left"/>
        <w:rPr>
          <w:rFonts w:ascii="仿宋" w:hAnsi="仿宋" w:eastAsia="仿宋" w:cs="仿宋"/>
          <w:color w:val="000000"/>
          <w:sz w:val="24"/>
        </w:rPr>
      </w:pPr>
      <w:r>
        <w:rPr>
          <w:rFonts w:hint="eastAsia" w:ascii="仿宋" w:hAnsi="仿宋" w:eastAsia="仿宋" w:cs="仿宋"/>
          <w:color w:val="000000"/>
          <w:sz w:val="24"/>
        </w:rPr>
        <w:t xml:space="preserve">签订时间：      年   月   日       签订时间：      年   月   日  </w:t>
      </w:r>
    </w:p>
    <w:p>
      <w:pPr>
        <w:sectPr>
          <w:pgSz w:w="11906" w:h="16838"/>
          <w:pgMar w:top="1440" w:right="1800" w:bottom="1440" w:left="1800" w:header="851" w:footer="992" w:gutter="0"/>
          <w:cols w:space="720" w:num="1"/>
          <w:docGrid w:type="lines" w:linePitch="312" w:charSpace="0"/>
        </w:sectPr>
      </w:pPr>
    </w:p>
    <w:p>
      <w:pPr>
        <w:spacing w:line="360" w:lineRule="auto"/>
        <w:rPr>
          <w:rFonts w:ascii="仿宋" w:hAnsi="仿宋" w:eastAsia="仿宋" w:cs="仿宋"/>
          <w:color w:val="000000"/>
          <w:sz w:val="24"/>
        </w:rPr>
      </w:pPr>
      <w:r>
        <w:rPr>
          <w:rFonts w:hint="eastAsia" w:ascii="仿宋" w:hAnsi="仿宋" w:eastAsia="仿宋" w:cs="仿宋"/>
          <w:color w:val="000000"/>
          <w:sz w:val="24"/>
        </w:rPr>
        <w:t>附件：产品功能清单</w:t>
      </w:r>
    </w:p>
    <w:tbl>
      <w:tblPr>
        <w:tblStyle w:val="13"/>
        <w:tblW w:w="0" w:type="auto"/>
        <w:tblInd w:w="0" w:type="dxa"/>
        <w:tblLayout w:type="fixed"/>
        <w:tblCellMar>
          <w:top w:w="0" w:type="dxa"/>
          <w:left w:w="15" w:type="dxa"/>
          <w:bottom w:w="0" w:type="dxa"/>
          <w:right w:w="15" w:type="dxa"/>
        </w:tblCellMar>
      </w:tblPr>
      <w:tblGrid>
        <w:gridCol w:w="783"/>
        <w:gridCol w:w="1744"/>
        <w:gridCol w:w="11461"/>
      </w:tblGrid>
      <w:tr>
        <w:tblPrEx>
          <w:tblCellMar>
            <w:top w:w="0" w:type="dxa"/>
            <w:left w:w="15" w:type="dxa"/>
            <w:bottom w:w="0" w:type="dxa"/>
            <w:right w:w="15" w:type="dxa"/>
          </w:tblCellMar>
        </w:tblPrEx>
        <w:trPr>
          <w:trHeight w:val="285" w:hRule="atLeast"/>
        </w:trPr>
        <w:tc>
          <w:tcPr>
            <w:tcW w:w="783" w:type="dxa"/>
            <w:tcBorders>
              <w:top w:val="single" w:color="000000" w:sz="4" w:space="0"/>
              <w:left w:val="single" w:color="000000" w:sz="4" w:space="0"/>
              <w:bottom w:val="single" w:color="000000" w:sz="4" w:space="0"/>
              <w:right w:val="single" w:color="000000" w:sz="4" w:space="0"/>
            </w:tcBorders>
            <w:noWrap w:val="0"/>
            <w:vAlign w:val="center"/>
          </w:tcPr>
          <w:p>
            <w:pPr>
              <w:autoSpaceDN w:val="0"/>
              <w:jc w:val="center"/>
              <w:textAlignment w:val="center"/>
              <w:rPr>
                <w:rFonts w:ascii="仿宋" w:hAnsi="仿宋" w:eastAsia="仿宋"/>
                <w:b/>
                <w:color w:val="000000"/>
                <w:sz w:val="24"/>
              </w:rPr>
            </w:pPr>
            <w:r>
              <w:rPr>
                <w:rFonts w:ascii="仿宋" w:hAnsi="仿宋" w:eastAsia="仿宋"/>
                <w:b/>
                <w:color w:val="000000"/>
                <w:sz w:val="24"/>
              </w:rPr>
              <w:t>序号</w:t>
            </w:r>
          </w:p>
        </w:tc>
        <w:tc>
          <w:tcPr>
            <w:tcW w:w="1744" w:type="dxa"/>
            <w:tcBorders>
              <w:top w:val="single" w:color="000000" w:sz="4" w:space="0"/>
              <w:left w:val="single" w:color="000000" w:sz="4" w:space="0"/>
              <w:bottom w:val="single" w:color="000000" w:sz="4" w:space="0"/>
              <w:right w:val="single" w:color="000000" w:sz="4" w:space="0"/>
            </w:tcBorders>
            <w:noWrap w:val="0"/>
            <w:vAlign w:val="center"/>
          </w:tcPr>
          <w:p>
            <w:pPr>
              <w:autoSpaceDN w:val="0"/>
              <w:jc w:val="center"/>
              <w:textAlignment w:val="center"/>
              <w:rPr>
                <w:rFonts w:ascii="仿宋" w:hAnsi="仿宋" w:eastAsia="仿宋"/>
                <w:b/>
                <w:color w:val="000000"/>
                <w:sz w:val="24"/>
              </w:rPr>
            </w:pPr>
            <w:r>
              <w:rPr>
                <w:rFonts w:ascii="仿宋" w:hAnsi="仿宋" w:eastAsia="仿宋"/>
                <w:b/>
                <w:color w:val="000000"/>
                <w:sz w:val="24"/>
              </w:rPr>
              <w:t>设备名称</w:t>
            </w:r>
          </w:p>
        </w:tc>
        <w:tc>
          <w:tcPr>
            <w:tcW w:w="11461" w:type="dxa"/>
            <w:tcBorders>
              <w:top w:val="single" w:color="000000" w:sz="4" w:space="0"/>
              <w:left w:val="single" w:color="000000" w:sz="4" w:space="0"/>
              <w:bottom w:val="single" w:color="000000" w:sz="4" w:space="0"/>
              <w:right w:val="single" w:color="000000" w:sz="4" w:space="0"/>
            </w:tcBorders>
            <w:noWrap w:val="0"/>
            <w:vAlign w:val="center"/>
          </w:tcPr>
          <w:p>
            <w:pPr>
              <w:autoSpaceDN w:val="0"/>
              <w:jc w:val="center"/>
              <w:textAlignment w:val="center"/>
              <w:rPr>
                <w:rFonts w:ascii="仿宋" w:hAnsi="仿宋" w:eastAsia="仿宋"/>
                <w:b/>
                <w:color w:val="000000"/>
              </w:rPr>
            </w:pPr>
            <w:r>
              <w:rPr>
                <w:rFonts w:ascii="仿宋" w:hAnsi="仿宋" w:eastAsia="仿宋"/>
                <w:b/>
                <w:color w:val="000000"/>
              </w:rPr>
              <w:t>参数标准</w:t>
            </w:r>
          </w:p>
        </w:tc>
      </w:tr>
      <w:tr>
        <w:tblPrEx>
          <w:tblCellMar>
            <w:top w:w="0" w:type="dxa"/>
            <w:left w:w="15" w:type="dxa"/>
            <w:bottom w:w="0" w:type="dxa"/>
            <w:right w:w="15" w:type="dxa"/>
          </w:tblCellMar>
        </w:tblPrEx>
        <w:trPr>
          <w:trHeight w:val="720" w:hRule="atLeast"/>
        </w:trPr>
        <w:tc>
          <w:tcPr>
            <w:tcW w:w="783" w:type="dxa"/>
            <w:tcBorders>
              <w:top w:val="single" w:color="000000" w:sz="4" w:space="0"/>
              <w:left w:val="single" w:color="000000" w:sz="4" w:space="0"/>
              <w:bottom w:val="single" w:color="000000" w:sz="4" w:space="0"/>
              <w:right w:val="single" w:color="000000" w:sz="4" w:space="0"/>
            </w:tcBorders>
            <w:noWrap w:val="0"/>
            <w:vAlign w:val="center"/>
          </w:tcPr>
          <w:p>
            <w:pPr>
              <w:autoSpaceDN w:val="0"/>
              <w:jc w:val="center"/>
              <w:textAlignment w:val="center"/>
              <w:rPr>
                <w:rFonts w:ascii="仿宋" w:hAnsi="仿宋" w:eastAsia="仿宋"/>
                <w:color w:val="000000"/>
                <w:sz w:val="24"/>
              </w:rPr>
            </w:pPr>
            <w:r>
              <w:rPr>
                <w:rFonts w:ascii="仿宋" w:hAnsi="仿宋" w:eastAsia="仿宋"/>
                <w:color w:val="000000"/>
                <w:sz w:val="24"/>
              </w:rPr>
              <w:t>1</w:t>
            </w:r>
          </w:p>
        </w:tc>
        <w:tc>
          <w:tcPr>
            <w:tcW w:w="1744" w:type="dxa"/>
            <w:tcBorders>
              <w:top w:val="single" w:color="000000" w:sz="4" w:space="0"/>
              <w:left w:val="single" w:color="000000" w:sz="4" w:space="0"/>
              <w:bottom w:val="single" w:color="000000" w:sz="4" w:space="0"/>
              <w:right w:val="single" w:color="000000" w:sz="4" w:space="0"/>
            </w:tcBorders>
            <w:noWrap w:val="0"/>
            <w:vAlign w:val="center"/>
          </w:tcPr>
          <w:p>
            <w:pPr>
              <w:autoSpaceDN w:val="0"/>
              <w:jc w:val="center"/>
              <w:textAlignment w:val="center"/>
              <w:rPr>
                <w:rFonts w:ascii="仿宋" w:hAnsi="仿宋" w:eastAsia="仿宋"/>
                <w:color w:val="000000"/>
                <w:sz w:val="24"/>
              </w:rPr>
            </w:pPr>
          </w:p>
        </w:tc>
        <w:tc>
          <w:tcPr>
            <w:tcW w:w="11461" w:type="dxa"/>
            <w:tcBorders>
              <w:top w:val="single" w:color="000000" w:sz="4" w:space="0"/>
              <w:left w:val="single" w:color="000000" w:sz="4" w:space="0"/>
              <w:bottom w:val="single" w:color="000000" w:sz="4" w:space="0"/>
              <w:right w:val="single" w:color="000000" w:sz="4" w:space="0"/>
            </w:tcBorders>
            <w:noWrap w:val="0"/>
            <w:vAlign w:val="center"/>
          </w:tcPr>
          <w:p>
            <w:pPr>
              <w:autoSpaceDN w:val="0"/>
              <w:jc w:val="left"/>
              <w:textAlignment w:val="center"/>
              <w:rPr>
                <w:rFonts w:ascii="仿宋" w:hAnsi="仿宋" w:eastAsia="仿宋"/>
                <w:color w:val="000000"/>
                <w:sz w:val="24"/>
              </w:rPr>
            </w:pPr>
          </w:p>
        </w:tc>
      </w:tr>
      <w:tr>
        <w:tblPrEx>
          <w:tblCellMar>
            <w:top w:w="0" w:type="dxa"/>
            <w:left w:w="15" w:type="dxa"/>
            <w:bottom w:w="0" w:type="dxa"/>
            <w:right w:w="15" w:type="dxa"/>
          </w:tblCellMar>
        </w:tblPrEx>
        <w:trPr>
          <w:trHeight w:val="720" w:hRule="atLeast"/>
        </w:trPr>
        <w:tc>
          <w:tcPr>
            <w:tcW w:w="783" w:type="dxa"/>
            <w:tcBorders>
              <w:top w:val="single" w:color="000000" w:sz="4" w:space="0"/>
              <w:left w:val="single" w:color="000000" w:sz="4" w:space="0"/>
              <w:bottom w:val="single" w:color="000000" w:sz="4" w:space="0"/>
              <w:right w:val="single" w:color="000000" w:sz="4" w:space="0"/>
            </w:tcBorders>
            <w:noWrap w:val="0"/>
            <w:vAlign w:val="center"/>
          </w:tcPr>
          <w:p>
            <w:pPr>
              <w:autoSpaceDN w:val="0"/>
              <w:jc w:val="center"/>
              <w:textAlignment w:val="center"/>
              <w:rPr>
                <w:rFonts w:ascii="仿宋" w:hAnsi="仿宋" w:eastAsia="仿宋"/>
                <w:color w:val="000000"/>
                <w:sz w:val="24"/>
              </w:rPr>
            </w:pPr>
            <w:r>
              <w:rPr>
                <w:rFonts w:ascii="仿宋" w:hAnsi="仿宋" w:eastAsia="仿宋"/>
                <w:color w:val="000000"/>
                <w:sz w:val="24"/>
              </w:rPr>
              <w:t>2</w:t>
            </w:r>
          </w:p>
        </w:tc>
        <w:tc>
          <w:tcPr>
            <w:tcW w:w="1744" w:type="dxa"/>
            <w:tcBorders>
              <w:top w:val="single" w:color="000000" w:sz="4" w:space="0"/>
              <w:left w:val="single" w:color="000000" w:sz="4" w:space="0"/>
              <w:bottom w:val="single" w:color="000000" w:sz="4" w:space="0"/>
              <w:right w:val="single" w:color="000000" w:sz="4" w:space="0"/>
            </w:tcBorders>
            <w:noWrap w:val="0"/>
            <w:vAlign w:val="center"/>
          </w:tcPr>
          <w:p>
            <w:pPr>
              <w:autoSpaceDN w:val="0"/>
              <w:jc w:val="center"/>
              <w:textAlignment w:val="center"/>
              <w:rPr>
                <w:rFonts w:ascii="仿宋" w:hAnsi="仿宋" w:eastAsia="仿宋"/>
                <w:color w:val="000000"/>
                <w:sz w:val="24"/>
              </w:rPr>
            </w:pPr>
          </w:p>
        </w:tc>
        <w:tc>
          <w:tcPr>
            <w:tcW w:w="11461" w:type="dxa"/>
            <w:tcBorders>
              <w:top w:val="single" w:color="000000" w:sz="4" w:space="0"/>
              <w:left w:val="single" w:color="000000" w:sz="4" w:space="0"/>
              <w:bottom w:val="single" w:color="000000" w:sz="4" w:space="0"/>
              <w:right w:val="single" w:color="000000" w:sz="4" w:space="0"/>
            </w:tcBorders>
            <w:noWrap w:val="0"/>
            <w:vAlign w:val="center"/>
          </w:tcPr>
          <w:p>
            <w:pPr>
              <w:autoSpaceDN w:val="0"/>
              <w:jc w:val="left"/>
              <w:textAlignment w:val="center"/>
              <w:rPr>
                <w:rFonts w:ascii="仿宋" w:hAnsi="仿宋" w:eastAsia="仿宋"/>
                <w:color w:val="000000"/>
                <w:sz w:val="24"/>
              </w:rPr>
            </w:pPr>
          </w:p>
        </w:tc>
      </w:tr>
      <w:tr>
        <w:tblPrEx>
          <w:tblCellMar>
            <w:top w:w="0" w:type="dxa"/>
            <w:left w:w="15" w:type="dxa"/>
            <w:bottom w:w="0" w:type="dxa"/>
            <w:right w:w="15" w:type="dxa"/>
          </w:tblCellMar>
        </w:tblPrEx>
        <w:trPr>
          <w:trHeight w:val="720" w:hRule="atLeast"/>
        </w:trPr>
        <w:tc>
          <w:tcPr>
            <w:tcW w:w="783" w:type="dxa"/>
            <w:tcBorders>
              <w:top w:val="single" w:color="000000" w:sz="4" w:space="0"/>
              <w:left w:val="single" w:color="000000" w:sz="4" w:space="0"/>
              <w:bottom w:val="single" w:color="000000" w:sz="4" w:space="0"/>
              <w:right w:val="single" w:color="000000" w:sz="4" w:space="0"/>
            </w:tcBorders>
            <w:noWrap w:val="0"/>
            <w:vAlign w:val="center"/>
          </w:tcPr>
          <w:p>
            <w:pPr>
              <w:autoSpaceDN w:val="0"/>
              <w:jc w:val="center"/>
              <w:textAlignment w:val="center"/>
              <w:rPr>
                <w:rFonts w:ascii="仿宋" w:hAnsi="仿宋" w:eastAsia="仿宋"/>
                <w:color w:val="000000"/>
                <w:sz w:val="24"/>
              </w:rPr>
            </w:pPr>
            <w:r>
              <w:rPr>
                <w:rFonts w:ascii="仿宋" w:hAnsi="仿宋" w:eastAsia="仿宋"/>
                <w:color w:val="000000"/>
                <w:sz w:val="24"/>
              </w:rPr>
              <w:t>3</w:t>
            </w:r>
          </w:p>
        </w:tc>
        <w:tc>
          <w:tcPr>
            <w:tcW w:w="1744" w:type="dxa"/>
            <w:tcBorders>
              <w:top w:val="single" w:color="000000" w:sz="4" w:space="0"/>
              <w:left w:val="single" w:color="000000" w:sz="4" w:space="0"/>
              <w:bottom w:val="single" w:color="000000" w:sz="4" w:space="0"/>
              <w:right w:val="single" w:color="000000" w:sz="4" w:space="0"/>
            </w:tcBorders>
            <w:noWrap w:val="0"/>
            <w:vAlign w:val="center"/>
          </w:tcPr>
          <w:p>
            <w:pPr>
              <w:autoSpaceDN w:val="0"/>
              <w:jc w:val="center"/>
              <w:textAlignment w:val="center"/>
              <w:rPr>
                <w:rFonts w:ascii="仿宋" w:hAnsi="仿宋" w:eastAsia="仿宋"/>
                <w:color w:val="000000"/>
                <w:sz w:val="24"/>
              </w:rPr>
            </w:pPr>
          </w:p>
        </w:tc>
        <w:tc>
          <w:tcPr>
            <w:tcW w:w="11461" w:type="dxa"/>
            <w:tcBorders>
              <w:top w:val="single" w:color="000000" w:sz="4" w:space="0"/>
              <w:left w:val="single" w:color="000000" w:sz="4" w:space="0"/>
              <w:bottom w:val="single" w:color="000000" w:sz="4" w:space="0"/>
              <w:right w:val="single" w:color="000000" w:sz="4" w:space="0"/>
            </w:tcBorders>
            <w:noWrap w:val="0"/>
            <w:vAlign w:val="center"/>
          </w:tcPr>
          <w:p>
            <w:pPr>
              <w:autoSpaceDN w:val="0"/>
              <w:jc w:val="left"/>
              <w:textAlignment w:val="center"/>
              <w:rPr>
                <w:rFonts w:ascii="仿宋" w:hAnsi="仿宋" w:eastAsia="仿宋"/>
                <w:color w:val="000000"/>
                <w:sz w:val="24"/>
              </w:rPr>
            </w:pPr>
          </w:p>
        </w:tc>
      </w:tr>
      <w:tr>
        <w:tblPrEx>
          <w:tblCellMar>
            <w:top w:w="0" w:type="dxa"/>
            <w:left w:w="15" w:type="dxa"/>
            <w:bottom w:w="0" w:type="dxa"/>
            <w:right w:w="15" w:type="dxa"/>
          </w:tblCellMar>
        </w:tblPrEx>
        <w:trPr>
          <w:trHeight w:val="720" w:hRule="atLeast"/>
        </w:trPr>
        <w:tc>
          <w:tcPr>
            <w:tcW w:w="783" w:type="dxa"/>
            <w:tcBorders>
              <w:top w:val="single" w:color="000000" w:sz="4" w:space="0"/>
              <w:left w:val="single" w:color="000000" w:sz="4" w:space="0"/>
              <w:bottom w:val="single" w:color="000000" w:sz="4" w:space="0"/>
              <w:right w:val="single" w:color="000000" w:sz="4" w:space="0"/>
            </w:tcBorders>
            <w:noWrap w:val="0"/>
            <w:vAlign w:val="center"/>
          </w:tcPr>
          <w:p>
            <w:pPr>
              <w:autoSpaceDN w:val="0"/>
              <w:jc w:val="center"/>
              <w:textAlignment w:val="center"/>
              <w:rPr>
                <w:rFonts w:ascii="仿宋" w:hAnsi="仿宋" w:eastAsia="仿宋"/>
                <w:color w:val="000000"/>
                <w:sz w:val="24"/>
              </w:rPr>
            </w:pPr>
            <w:r>
              <w:rPr>
                <w:rFonts w:ascii="仿宋" w:hAnsi="仿宋" w:eastAsia="仿宋"/>
                <w:color w:val="000000"/>
                <w:sz w:val="24"/>
              </w:rPr>
              <w:t>4</w:t>
            </w:r>
          </w:p>
        </w:tc>
        <w:tc>
          <w:tcPr>
            <w:tcW w:w="1744" w:type="dxa"/>
            <w:tcBorders>
              <w:top w:val="single" w:color="000000" w:sz="4" w:space="0"/>
              <w:left w:val="single" w:color="000000" w:sz="4" w:space="0"/>
              <w:bottom w:val="single" w:color="000000" w:sz="4" w:space="0"/>
              <w:right w:val="single" w:color="000000" w:sz="4" w:space="0"/>
            </w:tcBorders>
            <w:noWrap w:val="0"/>
            <w:vAlign w:val="center"/>
          </w:tcPr>
          <w:p>
            <w:pPr>
              <w:autoSpaceDN w:val="0"/>
              <w:jc w:val="center"/>
              <w:textAlignment w:val="center"/>
              <w:rPr>
                <w:rFonts w:ascii="仿宋" w:hAnsi="仿宋" w:eastAsia="仿宋"/>
                <w:color w:val="000000"/>
                <w:sz w:val="24"/>
              </w:rPr>
            </w:pPr>
          </w:p>
        </w:tc>
        <w:tc>
          <w:tcPr>
            <w:tcW w:w="11461" w:type="dxa"/>
            <w:tcBorders>
              <w:top w:val="single" w:color="000000" w:sz="4" w:space="0"/>
              <w:left w:val="single" w:color="000000" w:sz="4" w:space="0"/>
              <w:bottom w:val="single" w:color="000000" w:sz="4" w:space="0"/>
              <w:right w:val="single" w:color="000000" w:sz="4" w:space="0"/>
            </w:tcBorders>
            <w:noWrap w:val="0"/>
            <w:vAlign w:val="center"/>
          </w:tcPr>
          <w:p>
            <w:pPr>
              <w:autoSpaceDN w:val="0"/>
              <w:jc w:val="left"/>
              <w:textAlignment w:val="center"/>
              <w:rPr>
                <w:rFonts w:ascii="仿宋" w:hAnsi="仿宋" w:eastAsia="仿宋"/>
                <w:color w:val="000000"/>
                <w:sz w:val="24"/>
              </w:rPr>
            </w:pPr>
          </w:p>
        </w:tc>
      </w:tr>
    </w:tbl>
    <w:p>
      <w:pPr>
        <w:pStyle w:val="2"/>
      </w:pPr>
    </w:p>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宋体, SimSun">
    <w:altName w:val="Times New Roman"/>
    <w:panose1 w:val="00000000000000000000"/>
    <w:charset w:val="00"/>
    <w:family w:val="auto"/>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7DE5F5"/>
    <w:multiLevelType w:val="singleLevel"/>
    <w:tmpl w:val="1F7DE5F5"/>
    <w:lvl w:ilvl="0" w:tentative="0">
      <w:start w:val="1"/>
      <w:numFmt w:val="decimal"/>
      <w:suff w:val="nothing"/>
      <w:lvlText w:val="%1、"/>
      <w:lvlJc w:val="left"/>
      <w:rPr>
        <w:rFonts w:hint="default" w:ascii="宋体" w:hAnsi="宋体" w:eastAsia="宋体" w:cs="宋体"/>
        <w:sz w:val="24"/>
        <w:szCs w:val="24"/>
      </w:rPr>
    </w:lvl>
  </w:abstractNum>
  <w:abstractNum w:abstractNumId="1">
    <w:nsid w:val="46273165"/>
    <w:multiLevelType w:val="singleLevel"/>
    <w:tmpl w:val="4627316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M2MTgwOGQ0ZGM1YzE5YTM4NDZlYzVmNWE2ZDYxOWEifQ=="/>
  </w:docVars>
  <w:rsids>
    <w:rsidRoot w:val="00172A27"/>
    <w:rsid w:val="00004D79"/>
    <w:rsid w:val="00014E09"/>
    <w:rsid w:val="00037F1F"/>
    <w:rsid w:val="00054F36"/>
    <w:rsid w:val="002D77D6"/>
    <w:rsid w:val="002E2886"/>
    <w:rsid w:val="004C3BDC"/>
    <w:rsid w:val="00557869"/>
    <w:rsid w:val="00593433"/>
    <w:rsid w:val="00610CF2"/>
    <w:rsid w:val="006862C1"/>
    <w:rsid w:val="007215BE"/>
    <w:rsid w:val="007A0A8E"/>
    <w:rsid w:val="008700D8"/>
    <w:rsid w:val="00A428AE"/>
    <w:rsid w:val="00A8291E"/>
    <w:rsid w:val="00AC5230"/>
    <w:rsid w:val="00B449B8"/>
    <w:rsid w:val="00C27B02"/>
    <w:rsid w:val="00C331CD"/>
    <w:rsid w:val="00C6729A"/>
    <w:rsid w:val="00C92A61"/>
    <w:rsid w:val="00CD2951"/>
    <w:rsid w:val="00DE42B1"/>
    <w:rsid w:val="00DF2BD6"/>
    <w:rsid w:val="00E06EC0"/>
    <w:rsid w:val="00EB45AB"/>
    <w:rsid w:val="00EF4B58"/>
    <w:rsid w:val="01C528DB"/>
    <w:rsid w:val="046106B7"/>
    <w:rsid w:val="065E2E82"/>
    <w:rsid w:val="147B5CBE"/>
    <w:rsid w:val="43C0668F"/>
    <w:rsid w:val="460D74FE"/>
    <w:rsid w:val="4A2E6A3D"/>
    <w:rsid w:val="5C4C02AF"/>
    <w:rsid w:val="64934C8F"/>
    <w:rsid w:val="64992B79"/>
    <w:rsid w:val="686F29AD"/>
    <w:rsid w:val="68BF1E69"/>
    <w:rsid w:val="78E240DE"/>
    <w:rsid w:val="7B1C048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uiPriority="99" w:semiHidden="0" w:name="Body Text"/>
    <w:lsdException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semiHidden="0" w:name="Body Text First Indent"/>
    <w:lsdException w:uiPriority="99" w:semiHidden="0" w:name="Body Text First Indent 2"/>
    <w:lsdException w:uiPriority="99" w:name="Note Heading"/>
    <w:lsdException w:uiPriority="99" w:name="Body Text 2"/>
    <w:lsdException w:uiPriority="99" w:name="Body Text 3"/>
    <w:lsdException w:uiPriority="99" w:name="Body Text Indent 2"/>
    <w:lsdException w:qFormat="1" w:uiPriority="99"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9"/>
    <w:pPr>
      <w:keepNext/>
      <w:jc w:val="center"/>
      <w:outlineLvl w:val="0"/>
    </w:pPr>
    <w:rPr>
      <w:rFonts w:ascii="黑体" w:hAnsi="黑体"/>
      <w:b/>
      <w:kern w:val="0"/>
      <w:sz w:val="44"/>
    </w:rPr>
  </w:style>
  <w:style w:type="character" w:default="1" w:styleId="14">
    <w:name w:val="Default Paragraph Font"/>
    <w:uiPriority w:val="0"/>
  </w:style>
  <w:style w:type="table" w:default="1" w:styleId="13">
    <w:name w:val="Normal Table"/>
    <w:unhideWhenUsed/>
    <w:uiPriority w:val="99"/>
    <w:tblPr>
      <w:tblCellMar>
        <w:top w:w="0" w:type="dxa"/>
        <w:left w:w="108" w:type="dxa"/>
        <w:bottom w:w="0" w:type="dxa"/>
        <w:right w:w="108" w:type="dxa"/>
      </w:tblCellMar>
    </w:tblPr>
  </w:style>
  <w:style w:type="paragraph" w:styleId="2">
    <w:name w:val="footer"/>
    <w:basedOn w:val="1"/>
    <w:next w:val="1"/>
    <w:uiPriority w:val="0"/>
    <w:pPr>
      <w:tabs>
        <w:tab w:val="center" w:pos="4153"/>
        <w:tab w:val="right" w:pos="8306"/>
      </w:tabs>
      <w:snapToGrid w:val="0"/>
      <w:jc w:val="left"/>
    </w:pPr>
    <w:rPr>
      <w:sz w:val="18"/>
      <w:szCs w:val="18"/>
    </w:rPr>
  </w:style>
  <w:style w:type="paragraph" w:styleId="4">
    <w:name w:val="Body Text"/>
    <w:basedOn w:val="1"/>
    <w:next w:val="1"/>
    <w:unhideWhenUsed/>
    <w:uiPriority w:val="99"/>
    <w:pPr>
      <w:spacing w:after="120" w:afterLines="0"/>
    </w:pPr>
  </w:style>
  <w:style w:type="paragraph" w:styleId="5">
    <w:name w:val="Body Text Indent"/>
    <w:basedOn w:val="1"/>
    <w:next w:val="6"/>
    <w:unhideWhenUsed/>
    <w:uiPriority w:val="99"/>
    <w:pPr>
      <w:ind w:firstLine="630"/>
    </w:pPr>
    <w:rPr>
      <w:sz w:val="32"/>
    </w:rPr>
  </w:style>
  <w:style w:type="paragraph" w:customStyle="1" w:styleId="6">
    <w:name w:val="font5"/>
    <w:basedOn w:val="1"/>
    <w:qFormat/>
    <w:uiPriority w:val="0"/>
    <w:pPr>
      <w:widowControl/>
      <w:spacing w:before="100" w:beforeLines="0" w:beforeAutospacing="1" w:after="100" w:afterLines="0" w:afterAutospacing="1"/>
      <w:jc w:val="left"/>
    </w:pPr>
    <w:rPr>
      <w:rFonts w:hint="eastAsia" w:ascii="宋体" w:hAnsi="宋体"/>
      <w:kern w:val="0"/>
      <w:sz w:val="24"/>
      <w:szCs w:val="24"/>
    </w:rPr>
  </w:style>
  <w:style w:type="paragraph" w:styleId="7">
    <w:name w:val="Balloon Text"/>
    <w:basedOn w:val="1"/>
    <w:link w:val="15"/>
    <w:unhideWhenUsed/>
    <w:uiPriority w:val="99"/>
    <w:rPr>
      <w:sz w:val="18"/>
      <w:szCs w:val="18"/>
    </w:rPr>
  </w:style>
  <w:style w:type="paragraph" w:styleId="8">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9">
    <w:name w:val="Body Text Indent 3"/>
    <w:basedOn w:val="1"/>
    <w:unhideWhenUsed/>
    <w:qFormat/>
    <w:uiPriority w:val="99"/>
    <w:pPr>
      <w:spacing w:line="380" w:lineRule="exact"/>
      <w:ind w:firstLine="480"/>
    </w:pPr>
    <w:rPr>
      <w:rFonts w:ascii="宋体" w:hAnsi="宋体" w:cs="宋体"/>
      <w:kern w:val="0"/>
      <w:sz w:val="20"/>
    </w:rPr>
  </w:style>
  <w:style w:type="paragraph" w:styleId="10">
    <w:name w:val="Normal (Web)"/>
    <w:basedOn w:val="1"/>
    <w:unhideWhenUsed/>
    <w:uiPriority w:val="99"/>
    <w:pPr>
      <w:widowControl/>
      <w:spacing w:before="100" w:beforeLines="0" w:beforeAutospacing="1" w:after="100" w:afterLines="0" w:afterAutospacing="1"/>
      <w:jc w:val="left"/>
    </w:pPr>
    <w:rPr>
      <w:rFonts w:ascii="宋体" w:hAnsi="宋体" w:cs="宋体"/>
      <w:kern w:val="0"/>
      <w:sz w:val="24"/>
      <w:szCs w:val="24"/>
    </w:rPr>
  </w:style>
  <w:style w:type="paragraph" w:styleId="11">
    <w:name w:val="Body Text First Indent"/>
    <w:basedOn w:val="4"/>
    <w:next w:val="1"/>
    <w:unhideWhenUsed/>
    <w:uiPriority w:val="99"/>
    <w:pPr>
      <w:ind w:firstLine="420" w:firstLineChars="100"/>
    </w:pPr>
    <w:rPr>
      <w:szCs w:val="24"/>
    </w:rPr>
  </w:style>
  <w:style w:type="paragraph" w:styleId="12">
    <w:name w:val="Body Text First Indent 2"/>
    <w:basedOn w:val="5"/>
    <w:next w:val="11"/>
    <w:unhideWhenUsed/>
    <w:uiPriority w:val="99"/>
    <w:pPr>
      <w:ind w:firstLine="420" w:firstLineChars="200"/>
    </w:pPr>
  </w:style>
  <w:style w:type="character" w:customStyle="1" w:styleId="15">
    <w:name w:val="批注框文本 Char"/>
    <w:link w:val="7"/>
    <w:semiHidden/>
    <w:uiPriority w:val="99"/>
    <w:rPr>
      <w:kern w:val="2"/>
      <w:sz w:val="18"/>
      <w:szCs w:val="18"/>
    </w:rPr>
  </w:style>
  <w:style w:type="paragraph" w:styleId="16">
    <w:name w:val="List Paragraph"/>
    <w:basedOn w:val="1"/>
    <w:qFormat/>
    <w:uiPriority w:val="0"/>
    <w:pPr>
      <w:ind w:firstLine="420" w:firstLineChars="200"/>
    </w:pPr>
    <w:rPr>
      <w:rFonts w:ascii="Calibri" w:hAnsi="Calibri"/>
      <w:szCs w:val="22"/>
    </w:rPr>
  </w:style>
  <w:style w:type="paragraph" w:customStyle="1" w:styleId="17">
    <w:name w:val="Standard"/>
    <w:qFormat/>
    <w:uiPriority w:val="0"/>
    <w:pPr>
      <w:widowControl w:val="0"/>
      <w:suppressAutoHyphens/>
      <w:autoSpaceDN w:val="0"/>
      <w:jc w:val="both"/>
      <w:textAlignment w:val="baseline"/>
    </w:pPr>
    <w:rPr>
      <w:rFonts w:ascii="Times New Roman" w:hAnsi="Times New Roman" w:eastAsia="宋体, SimSun" w:cs="Times New Roman"/>
      <w:kern w:val="3"/>
      <w:sz w:val="21"/>
      <w:szCs w:val="24"/>
      <w:lang w:val="en-US" w:eastAsia="zh-CN" w:bidi="ar-SA"/>
    </w:rPr>
  </w:style>
  <w:style w:type="paragraph" w:customStyle="1" w:styleId="18">
    <w:name w:val="Preformatted"/>
    <w:basedOn w:val="1"/>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656</Words>
  <Characters>3741</Characters>
  <Lines>31</Lines>
  <Paragraphs>8</Paragraphs>
  <TotalTime>0</TotalTime>
  <ScaleCrop>false</ScaleCrop>
  <LinksUpToDate>false</LinksUpToDate>
  <CharactersWithSpaces>4389</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2012-06-06T01:30:00Z</dcterms:created>
  <dc:creator>BreakPoint</dc:creator>
  <cp:lastModifiedBy>♈️之✨媛</cp:lastModifiedBy>
  <cp:lastPrinted>2023-01-04T06:46:00Z</cp:lastPrinted>
  <dcterms:modified xsi:type="dcterms:W3CDTF">2023-12-29T01:27:52Z</dcterms:modified>
  <dc:title>陕西中医药大学附属医院集成平台与数据中心配套硬件采购项目</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801DA27A24754997A71A91B09E9363AC_13</vt:lpwstr>
  </property>
</Properties>
</file>