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陕西省检察机关公开听证系统和移动检务专网数据交换平台建设项目(二次)</w:t>
      </w:r>
    </w:p>
    <w:p>
      <w:pPr>
        <w:pStyle w:val="null3"/>
        <w:jc w:val="center"/>
        <w:outlineLvl w:val="2"/>
      </w:pPr>
      <w:r>
        <w:rPr>
          <w:b/>
          <w:sz w:val="28"/>
        </w:rPr>
        <w:t>采购项目编号：</w:t>
      </w:r>
      <w:r>
        <w:rPr>
          <w:b/>
          <w:sz w:val="28"/>
        </w:rPr>
        <w:t>KY2023-1-174.</w:t>
      </w:r>
      <w:r>
        <w:br/>
      </w:r>
      <w:r>
        <w:br/>
      </w:r>
      <w:r>
        <w:br/>
      </w:r>
    </w:p>
    <w:p>
      <w:pPr>
        <w:pStyle w:val="null3"/>
        <w:jc w:val="center"/>
        <w:outlineLvl w:val="2"/>
      </w:pPr>
      <w:r>
        <w:rPr>
          <w:b/>
          <w:sz w:val="28"/>
        </w:rPr>
        <w:t>省人民检察院</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2024年01月16日</w:t>
      </w:r>
    </w:p>
    <w:p>
      <w:pPr>
        <w:pStyle w:val="null3"/>
      </w:pPr>
      <w:r>
        <w:rPr/>
        <w:t xml:space="preserve"> </w:t>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省人民检察院</w:t>
      </w:r>
      <w:r>
        <w:rPr/>
        <w:t>委托，拟对</w:t>
      </w:r>
      <w:r>
        <w:rPr/>
        <w:t>陕西省检察机关公开听证系统和移动检务专网数据交换平台建设项目(二次)</w:t>
      </w:r>
      <w:r>
        <w:rPr/>
        <w:t>进行国内公开招标，兹邀请符合本次招标要求的供应商参加投标。</w:t>
      </w:r>
    </w:p>
    <w:p>
      <w:pPr>
        <w:pStyle w:val="null3"/>
        <w:outlineLvl w:val="2"/>
      </w:pPr>
      <w:r>
        <w:rPr>
          <w:b/>
          <w:sz w:val="28"/>
        </w:rPr>
        <w:t>一、采购项目编号：</w:t>
      </w:r>
      <w:r>
        <w:rPr>
          <w:b/>
          <w:sz w:val="28"/>
        </w:rPr>
        <w:t>KY2023-1-174.</w:t>
      </w:r>
    </w:p>
    <w:p>
      <w:pPr>
        <w:pStyle w:val="null3"/>
        <w:outlineLvl w:val="2"/>
      </w:pPr>
      <w:r>
        <w:rPr>
          <w:b/>
          <w:sz w:val="28"/>
        </w:rPr>
        <w:t>二、采购项目名称：</w:t>
      </w:r>
      <w:r>
        <w:rPr>
          <w:b/>
          <w:sz w:val="28"/>
        </w:rPr>
        <w:t>陕西省检察机关公开听证系统和移动检务专网数据交换平台建设项目(二次)</w:t>
      </w:r>
    </w:p>
    <w:p>
      <w:pPr>
        <w:pStyle w:val="null3"/>
        <w:outlineLvl w:val="2"/>
      </w:pPr>
      <w:r>
        <w:rPr>
          <w:b/>
          <w:sz w:val="28"/>
        </w:rPr>
        <w:t>三、招标项目简介</w:t>
      </w:r>
    </w:p>
    <w:p>
      <w:pPr>
        <w:pStyle w:val="null3"/>
        <w:ind w:firstLine="480"/>
      </w:pPr>
      <w:r>
        <w:rPr/>
        <w:t>陕西省检察机关公开听证系统和移动检务专网数据交换平台建设项目（二次），具体内容详见项目需求。</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2022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4、社会保障资金缴纳证明：提供2022年10月至今已缴存的至少一个月的社会保障资金缴存单据或社保机构开具的社会保险参保缴费情况证明，依法不需要缴纳社会保障资金的单位应提供相关证明材料。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6、具有履行合同所必需的设备和专业技术能力的承诺函：提供具有履行合同所必需的设备和专业技术能力的承诺函。</w:t>
      </w:r>
    </w:p>
    <w:p>
      <w:pPr>
        <w:pStyle w:val="null3"/>
      </w:pPr>
      <w:r>
        <w:rPr/>
        <w:t>7、法定代表人授权书：法定代表人授权书及被授权人身份证明。（法定代表人直接投标只须提交其身份证明）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省人民检察院</w:t>
      </w:r>
    </w:p>
    <w:p>
      <w:pPr>
        <w:pStyle w:val="null3"/>
      </w:pPr>
      <w:r>
        <w:rPr/>
        <w:t xml:space="preserve"> 地址： </w:t>
      </w:r>
      <w:r>
        <w:rPr/>
        <w:t>西安市新城区西新街1号</w:t>
      </w:r>
    </w:p>
    <w:p>
      <w:pPr>
        <w:pStyle w:val="null3"/>
      </w:pPr>
      <w:r>
        <w:rPr/>
        <w:t xml:space="preserve"> 邮编： </w:t>
      </w:r>
      <w:r>
        <w:rPr/>
        <w:t>710000</w:t>
      </w:r>
    </w:p>
    <w:p>
      <w:pPr>
        <w:pStyle w:val="null3"/>
      </w:pPr>
      <w:r>
        <w:rPr/>
        <w:t xml:space="preserve"> 联系人： </w:t>
      </w:r>
      <w:r>
        <w:rPr/>
        <w:t>樊老师</w:t>
      </w:r>
    </w:p>
    <w:p>
      <w:pPr>
        <w:pStyle w:val="null3"/>
      </w:pPr>
      <w:r>
        <w:rPr/>
        <w:t xml:space="preserve"> 联系电话： </w:t>
      </w:r>
      <w:r>
        <w:rPr/>
        <w:t>029-87398120</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杭琨、牛佩文、刘金柯、卢韶华</w:t>
      </w:r>
    </w:p>
    <w:p>
      <w:pPr>
        <w:pStyle w:val="null3"/>
      </w:pPr>
      <w:r>
        <w:rPr/>
        <w:t xml:space="preserve"> 联系电话： </w:t>
      </w:r>
      <w:r>
        <w:rPr/>
        <w:t>029-81206622-825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采购包1：810,000.00元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银行账号：86113010750181501002686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代理服务费收费标准：交费金额参照国家计委颁布的《招标代理服务收费管理暂行办法》（计价格[2002]1980号）及发改办价格[2003]857号文件的规定标准收取。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省人民检察院</w:t>
      </w:r>
      <w:r>
        <w:rPr/>
        <w:t>和</w:t>
      </w:r>
      <w:r>
        <w:rPr/>
        <w:t>陕西开源招标有限公司</w:t>
      </w:r>
      <w:r>
        <w:rPr/>
        <w:t>享有。对招标文件中供应商参加本次政府采购活动应当具备的条件，招标项目技术、服务、商务及其他要求，评标细则及标准由</w:t>
      </w:r>
      <w:r>
        <w:rPr/>
        <w:t>省人民检察院</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省人民检察院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根据招标文件要求及合同约定执行。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联系人：杭琨、牛佩文、刘金柯、卢韶华</w:t>
      </w:r>
    </w:p>
    <w:p>
      <w:pPr>
        <w:pStyle w:val="null3"/>
      </w:pPr>
      <w:r>
        <w:rPr/>
        <w:t>联系电话：029-81206622-825</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陕西省检察机关公开听证系统和移动检务专网数据交换平台建设项目（二次），具体内容详见招标文件。</w:t>
      </w:r>
    </w:p>
    <w:p>
      <w:pPr>
        <w:pStyle w:val="null3"/>
        <w:outlineLvl w:val="2"/>
      </w:pPr>
      <w:r>
        <w:rPr>
          <w:b/>
          <w:sz w:val="28"/>
        </w:rPr>
        <w:t>3.2采购内容</w:t>
      </w:r>
    </w:p>
    <w:p>
      <w:pPr>
        <w:pStyle w:val="null3"/>
      </w:pPr>
      <w:r>
        <w:rPr/>
        <w:t>采购包1：</w:t>
      </w:r>
    </w:p>
    <w:p>
      <w:pPr>
        <w:pStyle w:val="null3"/>
      </w:pPr>
      <w:r>
        <w:rPr/>
        <w:t>采购包预算金额（元）: 810,000.00</w:t>
      </w:r>
    </w:p>
    <w:p>
      <w:pPr>
        <w:pStyle w:val="null3"/>
      </w:pPr>
      <w:r>
        <w:rPr/>
        <w:t>采购包最高限价（元）: 810,000.00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移动检务专网数据交换平台</w:t>
            </w:r>
          </w:p>
        </w:tc>
        <w:tc>
          <w:tcPr>
            <w:tcW w:type="dxa" w:w="831"/>
          </w:tcPr>
          <w:p>
            <w:pPr>
              <w:pStyle w:val="null3"/>
              <w:jc w:val="right"/>
            </w:pPr>
            <w:r>
              <w:rPr/>
              <w:t>1.00</w:t>
            </w:r>
          </w:p>
        </w:tc>
        <w:tc>
          <w:tcPr>
            <w:tcW w:type="dxa" w:w="831"/>
          </w:tcPr>
          <w:p>
            <w:pPr>
              <w:pStyle w:val="null3"/>
              <w:jc w:val="right"/>
            </w:pPr>
            <w:r>
              <w:rPr/>
              <w:t>810,000.00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标的名称：移动检务专网数据交换平台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after="120"/>
              <w:jc w:val="left"/>
              <w:outlineLvl w:val="1"/>
            </w:pPr>
            <w:r>
              <w:rPr>
                <w:b/>
                <w:sz w:val="36"/>
              </w:rPr>
              <w:t xml:space="preserve"> </w:t>
            </w:r>
          </w:p>
          <w:p>
            <w:pPr>
              <w:pStyle w:val="null3"/>
              <w:ind w:firstLine="482"/>
              <w:jc w:val="center"/>
            </w:pPr>
            <w:r>
              <w:rPr>
                <w:rFonts w:ascii="宋体" w:hAnsi="宋体" w:cs="宋体" w:eastAsia="宋体"/>
                <w:b/>
                <w:sz w:val="24"/>
              </w:rPr>
              <w:t>陕西省人民检察院移动专网数据交换平台建设及运维</w:t>
            </w:r>
          </w:p>
          <w:p>
            <w:pPr>
              <w:pStyle w:val="null3"/>
              <w:ind w:firstLine="482"/>
              <w:jc w:val="both"/>
            </w:pPr>
            <w:r>
              <w:rPr>
                <w:rFonts w:ascii="宋体" w:hAnsi="宋体" w:cs="宋体" w:eastAsia="宋体"/>
                <w:b/>
                <w:sz w:val="24"/>
              </w:rPr>
              <w:t>一、建设必要性</w:t>
            </w:r>
          </w:p>
          <w:p>
            <w:pPr>
              <w:pStyle w:val="null3"/>
              <w:ind w:firstLine="480"/>
              <w:jc w:val="both"/>
            </w:pPr>
            <w:r>
              <w:rPr>
                <w:rFonts w:ascii="宋体" w:hAnsi="宋体" w:cs="宋体" w:eastAsia="宋体"/>
                <w:color w:val="000000"/>
                <w:sz w:val="24"/>
              </w:rPr>
              <w:t>随着移动检务终端越来越多的使用，管理员对终端设备从注册、使用、到删除的整个设备全生命周期很难管理。为了使移动智能设备终端能够更好的实现移动检务需求，管理员需要对移动终端进行有效的监控、管理。管理员需要看到每个终端设备的工作状态，包括是否激活、是否活跃、是否注销等状态。并且支持对终端设备的统一管理，包括是否安装指定应用、准入检测、权限调用等安全策略。因此建设移动专网数据交换平台很有必要。</w:t>
            </w:r>
          </w:p>
          <w:p>
            <w:pPr>
              <w:pStyle w:val="null3"/>
              <w:ind w:firstLine="621"/>
              <w:jc w:val="both"/>
            </w:pPr>
            <w:r>
              <w:rPr>
                <w:rFonts w:ascii="宋体" w:hAnsi="宋体" w:cs="宋体" w:eastAsia="宋体"/>
                <w:b/>
                <w:sz w:val="24"/>
              </w:rPr>
              <w:t>二、建设目标</w:t>
            </w:r>
          </w:p>
          <w:p>
            <w:pPr>
              <w:pStyle w:val="null3"/>
              <w:ind w:firstLine="621"/>
              <w:jc w:val="both"/>
            </w:pPr>
            <w:r>
              <w:rPr>
                <w:rFonts w:ascii="宋体" w:hAnsi="宋体" w:cs="宋体" w:eastAsia="宋体"/>
                <w:sz w:val="24"/>
              </w:rPr>
              <w:t>以安全、可信、合规为目标，建设移动专网数据安全交换平台，实现接入应用系统和设备的身份可信，保护数据安全共享，抵御网络恶意攻击，满足机密性、完整性和可用性要求，确保跨网数据共享和业务协同的网络安全、主机安全、应用安全和数据安全。</w:t>
            </w:r>
          </w:p>
          <w:p>
            <w:pPr>
              <w:pStyle w:val="null3"/>
              <w:ind w:firstLine="482"/>
              <w:jc w:val="both"/>
            </w:pPr>
            <w:r>
              <w:rPr>
                <w:rFonts w:ascii="宋体" w:hAnsi="宋体" w:cs="宋体" w:eastAsia="宋体"/>
                <w:b/>
                <w:sz w:val="24"/>
              </w:rPr>
              <w:t>三、建设内容</w:t>
            </w:r>
          </w:p>
          <w:p>
            <w:pPr>
              <w:pStyle w:val="null3"/>
              <w:ind w:firstLine="480"/>
              <w:jc w:val="both"/>
            </w:pPr>
            <w:r>
              <w:rPr>
                <w:rFonts w:ascii="宋体" w:hAnsi="宋体" w:cs="宋体" w:eastAsia="宋体"/>
                <w:sz w:val="24"/>
              </w:rPr>
              <w:t>按照最高检《全国检察机关统一业务应用系统2.0省级部署点信创运行环境建设指导方案》，结合陕西省人民检察院检察工作网与其他网络内外数据的安全合规交换场景，建设移动专网数据安全交换平台，解决移动专网和检察工作网之间的数据安全交互问题。</w:t>
            </w:r>
          </w:p>
          <w:p>
            <w:pPr>
              <w:pStyle w:val="null3"/>
              <w:ind w:firstLine="482"/>
              <w:jc w:val="both"/>
            </w:pPr>
            <w:r>
              <w:rPr>
                <w:rFonts w:ascii="宋体" w:hAnsi="宋体" w:cs="宋体" w:eastAsia="宋体"/>
                <w:b/>
                <w:sz w:val="24"/>
              </w:rPr>
              <w:t>四、技术方案</w:t>
            </w:r>
          </w:p>
          <w:p>
            <w:pPr>
              <w:pStyle w:val="null3"/>
            </w:pPr>
            <w:r>
              <w:rPr>
                <w:rFonts w:ascii="宋体" w:hAnsi="宋体" w:cs="宋体" w:eastAsia="宋体"/>
                <w:sz w:val="21"/>
              </w:rPr>
              <w:t>1.</w:t>
            </w:r>
            <w:r>
              <w:rPr>
                <w:rFonts w:ascii="宋体" w:hAnsi="宋体" w:cs="宋体" w:eastAsia="宋体"/>
                <w:sz w:val="21"/>
              </w:rPr>
              <w:t>网络接入安全体系</w:t>
            </w:r>
          </w:p>
          <w:p>
            <w:pPr>
              <w:pStyle w:val="null3"/>
            </w:pPr>
            <w:r>
              <w:drawing>
                <wp:inline distT="0" distR="0" distB="0" distL="0">
                  <wp:extent cx="1621155" cy="77205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72053"/>
                          </a:xfrm>
                          <a:prstGeom prst="rect">
                            <a:avLst/>
                          </a:prstGeom>
                        </pic:spPr>
                      </pic:pic>
                    </a:graphicData>
                  </a:graphic>
                </wp:inline>
              </w:drawing>
            </w:r>
          </w:p>
          <w:p>
            <w:pPr>
              <w:pStyle w:val="null3"/>
            </w:pPr>
            <w:r>
              <w:rPr/>
              <w:t xml:space="preserve"> </w:t>
            </w:r>
          </w:p>
          <w:p>
            <w:pPr>
              <w:pStyle w:val="null3"/>
              <w:jc w:val="both"/>
            </w:pPr>
            <w:r>
              <w:rPr>
                <w:rFonts w:ascii="宋体" w:hAnsi="宋体" w:cs="宋体" w:eastAsia="宋体"/>
                <w:sz w:val="24"/>
              </w:rPr>
              <w:t>2、网络拓扑图</w:t>
            </w:r>
          </w:p>
          <w:p>
            <w:pPr>
              <w:pStyle w:val="null3"/>
              <w:jc w:val="both"/>
            </w:pPr>
            <w:r>
              <w:drawing>
                <wp:inline distT="0" distR="0" distB="0" distL="0">
                  <wp:extent cx="1621155" cy="86917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869173"/>
                          </a:xfrm>
                          <a:prstGeom prst="rect">
                            <a:avLst/>
                          </a:prstGeom>
                        </pic:spPr>
                      </pic:pic>
                    </a:graphicData>
                  </a:graphic>
                </wp:inline>
              </w:drawing>
            </w:r>
          </w:p>
          <w:p>
            <w:pPr>
              <w:pStyle w:val="null3"/>
              <w:ind w:firstLine="482"/>
              <w:jc w:val="both"/>
            </w:pPr>
            <w:r>
              <w:rPr>
                <w:rFonts w:ascii="宋体" w:hAnsi="宋体" w:cs="宋体" w:eastAsia="宋体"/>
                <w:b/>
                <w:sz w:val="24"/>
              </w:rPr>
              <w:t>五、设备清单</w:t>
            </w:r>
          </w:p>
          <w:tbl>
            <w:tblPr>
              <w:tblBorders>
                <w:top w:val="none" w:color="000000" w:sz="4"/>
                <w:left w:val="none" w:color="000000" w:sz="4"/>
                <w:bottom w:val="none" w:color="000000" w:sz="4"/>
                <w:right w:val="none" w:color="000000" w:sz="4"/>
                <w:insideH w:val="none"/>
                <w:insideV w:val="none"/>
              </w:tblBorders>
            </w:tblPr>
            <w:tblGrid>
              <w:gridCol w:w="145"/>
              <w:gridCol w:w="339"/>
              <w:gridCol w:w="1550"/>
              <w:gridCol w:w="145"/>
              <w:gridCol w:w="169"/>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序号</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产品名称</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02"/>
                    <w:jc w:val="center"/>
                  </w:pPr>
                  <w:r>
                    <w:rPr>
                      <w:rFonts w:ascii="宋体" w:hAnsi="宋体" w:cs="宋体" w:eastAsia="宋体"/>
                      <w:b/>
                      <w:sz w:val="21"/>
                    </w:rPr>
                    <w:t>主要功能参数</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sz w:val="21"/>
                    </w:rPr>
                    <w:t>数量</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操作系统</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left"/>
                  </w:pPr>
                  <w:r>
                    <w:rPr>
                      <w:rFonts w:ascii="宋体" w:hAnsi="宋体" w:cs="宋体" w:eastAsia="宋体"/>
                      <w:sz w:val="21"/>
                    </w:rPr>
                    <w:t>银河麒麟V10，服务器操作系统</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国产交换机</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left"/>
                  </w:pPr>
                  <w:r>
                    <w:rPr>
                      <w:rFonts w:ascii="宋体" w:hAnsi="宋体" w:cs="宋体" w:eastAsia="宋体"/>
                      <w:sz w:val="21"/>
                    </w:rPr>
                    <w:t>标准机架式设备，最少配置千兆光口≥24，千兆电口≥8个，万兆光口≥4个；支持4K个VLAN，支持作为SVF Client零配置即插即用，支持静态路由、RIP、RIPng协议。</w:t>
                  </w:r>
                </w:p>
                <w:p>
                  <w:pPr>
                    <w:pStyle w:val="null3"/>
                    <w:spacing w:after="120"/>
                    <w:jc w:val="both"/>
                  </w:pPr>
                  <w:r>
                    <w:rPr>
                      <w:rFonts w:ascii="宋体" w:hAnsi="宋体" w:cs="宋体" w:eastAsia="宋体"/>
                      <w:sz w:val="21"/>
                    </w:rPr>
                    <w:t>包转发率≥51Mpps, 背板带宽≥336Gbps。</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3</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服务器</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jc w:val="left"/>
                  </w:pPr>
                  <w:r>
                    <w:rPr>
                      <w:rFonts w:ascii="宋体" w:hAnsi="宋体" w:cs="宋体" w:eastAsia="宋体"/>
                      <w:sz w:val="21"/>
                    </w:rPr>
                    <w:t>对主机事件进行审计，审计记录包括操作系统日志，网络连接，软硬件配置变更，外围设备使用，文件使用等；提供了按条件查询审计记录，统计分析，潜在危害分析，事件分级和告警响应等功能。</w:t>
                  </w:r>
                </w:p>
                <w:p>
                  <w:pPr>
                    <w:pStyle w:val="null3"/>
                    <w:numPr>
                      <w:ilvl w:val="0"/>
                      <w:numId w:val="1"/>
                    </w:numPr>
                    <w:jc w:val="left"/>
                  </w:pPr>
                  <w:r>
                    <w:rPr>
                      <w:rFonts w:ascii="宋体" w:hAnsi="宋体" w:cs="宋体" w:eastAsia="宋体"/>
                      <w:sz w:val="21"/>
                    </w:rPr>
                    <w:t>国产化CPU操作系统标准机架式设备，内存≥32GB，硬盘≥4TB，网卡：千兆电口≥8个、千兆光口≥8个、万兆光口≥2个，支持日志源监控能力，包括采集器维度及资产维度的监控，资产维度支持展示资产详细信息，支持以NFS网络共享存储扩展的方式进行日志存储扩展。</w:t>
                  </w:r>
                </w:p>
                <w:p>
                  <w:pPr>
                    <w:pStyle w:val="null3"/>
                    <w:numPr>
                      <w:ilvl w:val="0"/>
                      <w:numId w:val="1"/>
                    </w:numPr>
                    <w:jc w:val="left"/>
                  </w:pPr>
                  <w:r>
                    <w:rPr>
                      <w:rFonts w:ascii="宋体" w:hAnsi="宋体" w:cs="宋体" w:eastAsia="宋体"/>
                      <w:sz w:val="21"/>
                    </w:rPr>
                    <w:t>支持基于SM2非对称加密算法、SM3密码杂凑算法等国密算法，对日志进行签名验签操作，以满足日志完整性校验要求。</w:t>
                  </w:r>
                </w:p>
                <w:p>
                  <w:pPr>
                    <w:pStyle w:val="null3"/>
                    <w:numPr>
                      <w:ilvl w:val="0"/>
                      <w:numId w:val="1"/>
                    </w:numPr>
                    <w:jc w:val="left"/>
                  </w:pPr>
                  <w:r>
                    <w:rPr>
                      <w:rFonts w:ascii="宋体" w:hAnsi="宋体" w:cs="宋体" w:eastAsia="宋体"/>
                      <w:sz w:val="21"/>
                    </w:rPr>
                    <w:t>支持IPV6的配置。</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4</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数据防泄漏网关</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left"/>
                  </w:pPr>
                  <w:r>
                    <w:rPr>
                      <w:rFonts w:ascii="宋体" w:hAnsi="宋体" w:cs="宋体" w:eastAsia="宋体"/>
                      <w:sz w:val="21"/>
                    </w:rPr>
                    <w:t>1.</w:t>
                  </w:r>
                  <w:r>
                    <w:rPr>
                      <w:rFonts w:ascii="宋体" w:hAnsi="宋体" w:cs="宋体" w:eastAsia="宋体"/>
                      <w:sz w:val="21"/>
                    </w:rPr>
                    <w:t>国产品牌，支持HTTP/HTTPS 协议解析，并对外发数据实时进行分析、审计与阻断，支持国内各种Web 邮箱，电子邮件、微博、博客、论坛、网盘等；支持标准 HTTP（HTTPGET，HTTPPOST）、EMAIL（SMTP、POP3、IMAP、Exchange）、FTP（SMB1、SMB2）等网络协议内容解析，实现敏感数据检测识别与审计。</w:t>
                  </w:r>
                </w:p>
                <w:p>
                  <w:pPr>
                    <w:pStyle w:val="null3"/>
                    <w:spacing w:after="120"/>
                    <w:jc w:val="left"/>
                  </w:pPr>
                  <w:r>
                    <w:rPr>
                      <w:rFonts w:ascii="宋体" w:hAnsi="宋体" w:cs="宋体" w:eastAsia="宋体"/>
                      <w:sz w:val="21"/>
                    </w:rPr>
                    <w:t>2.</w:t>
                  </w:r>
                  <w:r>
                    <w:rPr>
                      <w:rFonts w:ascii="宋体" w:hAnsi="宋体" w:cs="宋体" w:eastAsia="宋体"/>
                      <w:sz w:val="21"/>
                    </w:rPr>
                    <w:t>标准机架尺寸，含交流冗余双电源，千兆GE接口≥9个，USB接口≥4个，硬盘≥8T*4 SATA、网络流量峰值≥2Gbit/秒、网络流量平均值≥1.5Gbit/秒、入库量≥20000条/秒；</w:t>
                  </w:r>
                </w:p>
                <w:p>
                  <w:pPr>
                    <w:pStyle w:val="null3"/>
                    <w:spacing w:after="120"/>
                    <w:jc w:val="left"/>
                  </w:pPr>
                  <w:r>
                    <w:rPr>
                      <w:rFonts w:ascii="宋体" w:hAnsi="宋体" w:cs="宋体" w:eastAsia="宋体"/>
                      <w:sz w:val="21"/>
                    </w:rPr>
                    <w:t>3.</w:t>
                  </w:r>
                  <w:r>
                    <w:rPr>
                      <w:rFonts w:ascii="宋体" w:hAnsi="宋体" w:cs="宋体" w:eastAsia="宋体"/>
                      <w:sz w:val="21"/>
                    </w:rPr>
                    <w:t>支持为导入的敏感文件建立文件指纹，基于中文分词和语义特征建立文件指纹，并基于相似度进行智能识别，即使文档被修改、删减、嵌入其他文档也能识别，支持可用于检测被保护文档派生文档；</w:t>
                  </w:r>
                </w:p>
                <w:p>
                  <w:pPr>
                    <w:pStyle w:val="null3"/>
                    <w:spacing w:after="120"/>
                    <w:jc w:val="left"/>
                  </w:pPr>
                  <w:r>
                    <w:rPr>
                      <w:rFonts w:ascii="宋体" w:hAnsi="宋体" w:cs="宋体" w:eastAsia="宋体"/>
                      <w:sz w:val="21"/>
                    </w:rPr>
                    <w:t>4.</w:t>
                  </w:r>
                  <w:r>
                    <w:rPr>
                      <w:rFonts w:ascii="宋体" w:hAnsi="宋体" w:cs="宋体" w:eastAsia="宋体"/>
                      <w:sz w:val="21"/>
                    </w:rPr>
                    <w:t>支持策略审计报表、策略阻断报表，报表可按天周月年生成，报表内容自定义统计参数。内容包含有饼状图、柱状图、统计表等，从不同维度展示数据态势；</w:t>
                  </w:r>
                </w:p>
                <w:p>
                  <w:pPr>
                    <w:pStyle w:val="null3"/>
                    <w:spacing w:after="120"/>
                    <w:jc w:val="left"/>
                  </w:pPr>
                  <w:r>
                    <w:rPr>
                      <w:rFonts w:ascii="宋体" w:hAnsi="宋体" w:cs="宋体" w:eastAsia="宋体"/>
                      <w:sz w:val="21"/>
                    </w:rPr>
                    <w:t>5.</w:t>
                  </w:r>
                  <w:r>
                    <w:rPr>
                      <w:rFonts w:ascii="宋体" w:hAnsi="宋体" w:cs="宋体" w:eastAsia="宋体"/>
                      <w:sz w:val="21"/>
                    </w:rPr>
                    <w:t>支持对网络全流量的数据审计查询，可根据网络应用类型，时间，关键词，IP，邮件地址，文件类型等维度查询数据。</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5</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国产化服务器</w:t>
                  </w:r>
                </w:p>
                <w:p>
                  <w:pPr>
                    <w:pStyle w:val="null3"/>
                    <w:jc w:val="center"/>
                  </w:pPr>
                  <w:r>
                    <w:rPr>
                      <w:rFonts w:ascii="宋体" w:hAnsi="宋体" w:cs="宋体" w:eastAsia="宋体"/>
                      <w:b/>
                      <w:sz w:val="21"/>
                    </w:rPr>
                    <w:t>（核心产品）</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after="120"/>
                    <w:jc w:val="left"/>
                  </w:pPr>
                  <w:r>
                    <w:rPr>
                      <w:rFonts w:ascii="宋体" w:hAnsi="宋体" w:cs="宋体" w:eastAsia="宋体"/>
                      <w:sz w:val="21"/>
                    </w:rPr>
                    <w:t>国产品牌，核心数≥64核，主频≥2.2GHz，内存≥128GB，硬盘≥1T，支持Raid0/1/5/10及以上；网络接口≥4个（用于安装终端安全管控平台相关软件）。</w:t>
                  </w:r>
                </w:p>
                <w:p>
                  <w:pPr>
                    <w:pStyle w:val="null3"/>
                    <w:spacing w:after="120"/>
                    <w:jc w:val="left"/>
                  </w:pPr>
                  <w:r>
                    <w:rPr>
                      <w:rFonts w:ascii="宋体" w:hAnsi="宋体" w:cs="宋体" w:eastAsia="宋体"/>
                      <w:sz w:val="21"/>
                    </w:rPr>
                    <w:t>含国产操作系统，外设键盘、鼠标、显示器。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2</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6</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文档在线编辑</w:t>
                  </w:r>
                </w:p>
                <w:p>
                  <w:pPr>
                    <w:pStyle w:val="null3"/>
                    <w:jc w:val="center"/>
                  </w:pPr>
                  <w:r>
                    <w:rPr>
                      <w:rFonts w:ascii="宋体" w:hAnsi="宋体" w:cs="宋体" w:eastAsia="宋体"/>
                      <w:sz w:val="21"/>
                    </w:rPr>
                    <w:t>（包含与办公系统对接）</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文档在线编辑支持1000人数规模使用60个并发数。</w:t>
                  </w:r>
                </w:p>
                <w:p>
                  <w:pPr>
                    <w:pStyle w:val="null3"/>
                    <w:spacing w:after="120"/>
                    <w:jc w:val="left"/>
                  </w:pPr>
                  <w:r>
                    <w:rPr>
                      <w:rFonts w:ascii="宋体" w:hAnsi="宋体" w:cs="宋体" w:eastAsia="宋体"/>
                      <w:sz w:val="21"/>
                    </w:rPr>
                    <w:t>文字处理提供基本编辑功能，包含操作的撤销和恢复，字体调整，字号调整，增大/减小字号，字体加粗，斜体，下划线，删除线，文字属性（上标/下标），字体颜色，首字下沉，突出显示，标题样式，左右对齐方式，分散对齐，行距调整，格式刷，清除格式，增加/减少缩进量，项目符号，编号格式，插入，控制格式符号的显示隐藏，查找替换，段落设置，打印，下载，历史记录；提供插入功能，包含插入表格，图片，形状，签名，水印，分页，书签，公文域，套红，符号，目录；提供页面布局功能，包含页边距，纸张方向，纸张大小，分节符，页眉页脚，行号，文档结构图；提供审阅功能，包含文档批注，修订，修订记录的显示状态，修订记录选项，修订的接受和拒绝，限制编辑操作；提供视图功能，包含护眼模式，缩放级别，最佳显示比例，全屏模式；文字处理提供导出为PDF,OFD文件功能；</w:t>
                  </w:r>
                </w:p>
                <w:p>
                  <w:pPr>
                    <w:pStyle w:val="null3"/>
                    <w:jc w:val="left"/>
                  </w:pPr>
                  <w:r>
                    <w:rPr>
                      <w:rFonts w:ascii="宋体" w:hAnsi="宋体" w:cs="宋体" w:eastAsia="宋体"/>
                      <w:sz w:val="21"/>
                    </w:rPr>
                    <w:t>电子表格提供基本编辑功能，包含操作的撤销和恢复，格式刷，清除格式，字体调整，字号调整，字体加粗，斜体，下划线，删除线，文字属性（上标/下标），字体颜色，突出显示，边框样式，左右对齐方式，上下对齐方式，缩进选项，单元格合并，单元格换行，数字格式，增加/减少小数位数，求和等快捷函数，调整单元格行高列宽，隐藏和取消隐藏，工作表重命名和排序，查找替换转到，填充和自动填充，下载，打印，历史记录；提供插入功能，包含插入单元格，插入行列，列表表格，形状，图片，签名，链接，背景，批注，插入柱形图，折线图，饼图，条形图，面积图，散点图，股价图，雷达图；提供多种数据处理方式，包含可筛选，排序，文本转为数值，条件格式，数据验证，名称管理器，重复项，分列，组合，计算工作簿，底部数据计算；提供常用函数368个，支持财务专业函数、逻辑函数、文本函数，日期与时间函数，查找函数，数学与三角函数，统计函数，工程常用函数，信息相关函数，数据库函数，用户函数等；支持工作表权限管理，有效保障工作表安全。其中支持保护工作表及可编辑区域的设置；支持多样的视图模式，包含编辑视图，阅读视图，冻结窗格，显示比例，网格线，行号列标显示，查阅条，网络状态提示；电子表格提供导出为PDF,OFD文件功能；</w:t>
                  </w:r>
                </w:p>
                <w:p>
                  <w:pPr>
                    <w:pStyle w:val="null3"/>
                    <w:spacing w:after="120"/>
                    <w:ind w:firstLine="420"/>
                    <w:jc w:val="left"/>
                  </w:pPr>
                  <w:r>
                    <w:rPr>
                      <w:rFonts w:ascii="宋体" w:hAnsi="宋体" w:cs="宋体" w:eastAsia="宋体"/>
                      <w:sz w:val="21"/>
                    </w:rPr>
                    <w:t>演示文档支持常规操作，包含撤销/恢复功能，字体调整，字号，增加/减小字号，幻灯片，历史记录，查找/替换/转到，文本样式，段落样式，格式刷；支持主题应用，配色方案，大小设置，背景设置；支持插入功能，包含支持插入图片，形状，文本框，链接，表格，视频，批注，备注以及常规预设版式；支持审阅批注；支持幻灯片切换效果，动画设置；演示文档支持表格拆分/合并单元格，单元格大小，插入/删除行列等功能；支持形状层级设置、旋转、快速样式应用等功能。支持演示播放、激光笔以及快速定位幻灯片功能；演示文档提供导出为PDF,OFD文件，打印，下载等功能；</w:t>
                  </w:r>
                </w:p>
                <w:p>
                  <w:pPr>
                    <w:pStyle w:val="null3"/>
                    <w:ind w:firstLine="420"/>
                    <w:jc w:val="left"/>
                  </w:pPr>
                  <w:r>
                    <w:rPr>
                      <w:rFonts w:ascii="宋体" w:hAnsi="宋体" w:cs="宋体" w:eastAsia="宋体"/>
                      <w:sz w:val="21"/>
                    </w:rPr>
                    <w:t>格式支持。文字处理：eid、docx、dotx、doc、dot、rtf、txt、uot、htm、wps、wpt、eio等，电子表格：eis、xlsx、xltx、xls、xlt、uos、dbf、csv、xml、et、ett、eio等，简报制作：eip、pptx、potx、ppt、pot、ppsx、pps、dps、dpt、uop、eio等，</w:t>
                  </w:r>
                </w:p>
                <w:p>
                  <w:pPr>
                    <w:pStyle w:val="null3"/>
                    <w:spacing w:after="120"/>
                    <w:ind w:firstLine="420"/>
                    <w:jc w:val="left"/>
                  </w:pPr>
                  <w:r>
                    <w:rPr>
                      <w:rFonts w:ascii="宋体" w:hAnsi="宋体" w:cs="宋体" w:eastAsia="宋体"/>
                      <w:sz w:val="21"/>
                    </w:rPr>
                    <w:t>兼容微软office文档：不用转换文档格式，文档原样打开即可编辑；浏览器兼容说明：Chrome55及以上版本 、Firefox50及以上版本、Edge30及以上版本、IE11、Safari11及以上版本。多平台环境支持移动端h5、电脑浏览器网页端。</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1</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项目完工期：自合同签订之日起30日</w:t>
      </w:r>
    </w:p>
    <w:p>
      <w:pPr>
        <w:pStyle w:val="null3"/>
        <w:outlineLvl w:val="3"/>
      </w:pPr>
      <w:r>
        <w:rPr>
          <w:b/>
          <w:sz w:val="24"/>
        </w:rPr>
        <w:t>3.4.2交货地点</w:t>
      </w:r>
    </w:p>
    <w:p>
      <w:pPr>
        <w:pStyle w:val="null3"/>
      </w:pPr>
      <w:r>
        <w:rPr/>
        <w:t>采购包1：</w:t>
      </w:r>
    </w:p>
    <w:p>
      <w:pPr>
        <w:pStyle w:val="null3"/>
      </w:pPr>
      <w:r>
        <w:rPr/>
        <w:t>陕西省人民检察院指定地点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项目完成并验收合格后</w:t>
      </w:r>
      <w:r>
        <w:rPr/>
        <w:t xml:space="preserve"> ，达到付款条件起 </w:t>
      </w:r>
      <w:r>
        <w:rPr/>
        <w:t>7</w:t>
      </w:r>
      <w:r>
        <w:rPr/>
        <w:t xml:space="preserve"> 日内，支付合同总金额的 </w:t>
      </w:r>
      <w:r>
        <w:rPr/>
        <w:t>70.00</w:t>
      </w:r>
      <w:r>
        <w:rPr/>
        <w:t>%。</w:t>
      </w:r>
    </w:p>
    <w:p>
      <w:pPr>
        <w:pStyle w:val="null3"/>
        <w:outlineLvl w:val="3"/>
      </w:pPr>
      <w:r>
        <w:rPr>
          <w:b/>
          <w:sz w:val="24"/>
        </w:rPr>
        <w:t>3.4.5验收标准和方法</w:t>
      </w:r>
    </w:p>
    <w:p>
      <w:pPr>
        <w:pStyle w:val="null3"/>
      </w:pPr>
      <w:r>
        <w:rPr/>
        <w:t>采购包1：</w:t>
      </w:r>
    </w:p>
    <w:p>
      <w:pPr>
        <w:pStyle w:val="null3"/>
      </w:pPr>
      <w:r>
        <w:rPr/>
        <w:t>根据招标文件要求及合同约定执行。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运维期：3年；质保期：3年</w:t>
      </w:r>
    </w:p>
    <w:p>
      <w:pPr>
        <w:pStyle w:val="null3"/>
        <w:outlineLvl w:val="3"/>
      </w:pPr>
      <w:r>
        <w:rPr>
          <w:b/>
          <w:sz w:val="24"/>
        </w:rPr>
        <w:t>3.4.8违约责任与解决争议的方法</w:t>
      </w:r>
    </w:p>
    <w:p>
      <w:pPr>
        <w:pStyle w:val="null3"/>
      </w:pPr>
      <w:r>
        <w:rPr/>
        <w:t>采购包1：</w:t>
      </w:r>
    </w:p>
    <w:p>
      <w:pPr>
        <w:pStyle w:val="null3"/>
      </w:pPr>
      <w:r>
        <w:rPr/>
        <w:t>根据招标文件要求及合同约定执行。</w:t>
      </w:r>
    </w:p>
    <w:p>
      <w:pPr>
        <w:pStyle w:val="null3"/>
        <w:jc w:val="left"/>
        <w:outlineLvl w:val="2"/>
      </w:pPr>
      <w:r>
        <w:rPr>
          <w:b/>
          <w:sz w:val="28"/>
        </w:rPr>
        <w:t>3.5其他要求</w:t>
      </w:r>
    </w:p>
    <w:p>
      <w:pPr>
        <w:pStyle w:val="null3"/>
      </w:pPr>
      <w:r>
        <w:rPr/>
        <w:t>1、供应商需要在线提交所有通过电子化交易平台实施的政府采购项目的响应文件，同时，线下提交纸质响应文件正本壹份、副本贰份、电子版壹份（U盘壹份）。 2、纸质响应文件正副本分别胶装，标明供应商名称密封递交。 3、线下纸质文件递交截止时间：同在线递交电子响应文件截止时间一致；线下纸质文件递交地点：西安市雁展路1111号莱安中心T6-15层 。如需邮寄投标文件，仅接受顺丰速运（联系人：杭琨、联系电话：029-81206622-825）。</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2022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提供2022年10月至今已缴存的至少一个月的社会保障资金缴存单据或社保机构开具的社会保险参保缴费情况证明，依法不需要缴纳社会保障资金的单位应提供相关证明材料。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具有履行合同所必需的设备和专业技术能力的承诺函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法定代表人授权书及被授权人身份证明。（法定代表人直接投标只须提交其身份证明）</w:t>
            </w:r>
          </w:p>
        </w:tc>
        <w:tc>
          <w:tcPr>
            <w:tcW w:type="dxa" w:w="1661"/>
          </w:tcPr>
          <w:p>
            <w:pPr>
              <w:pStyle w:val="null3"/>
            </w:pPr>
            <w:r>
              <w:rPr/>
              <w:t>投标人资格证明文件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保证金交纳凭证保函 投标人承诺书 开标一览表（报价表） 投标人资格证明文件 投标方案说明 商务条款响应说明 产品技术参数表 投标函 残疾人福利性单位声明函 标的清单 投标文件封面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商务条款响应说明 开标一览表 产品技术参数表 分项报价表 投标函 中小企业声明函 标的清单 投标人承诺书 开标一览表（报价表） 投标人资格证明文件 投标方案说明</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产品技术参数表 分项报价表 投标函 中小企业声明函 标的清单 投标人承诺书 开标一览表（报价表） 投标人资格证明文件 投标方案说明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投标人从实际需求出发，对平台建设的必要性、系统建设内容及目标等理解全面、准确，符合本项目服务总体要求，根据响应程度计0-3分。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技术指标响应度</w:t>
            </w:r>
          </w:p>
        </w:tc>
        <w:tc>
          <w:tcPr>
            <w:tcW w:type="dxa" w:w="2492"/>
          </w:tcPr>
          <w:p>
            <w:pPr>
              <w:pStyle w:val="null3"/>
            </w:pPr>
            <w:r>
              <w:rPr/>
              <w:t>根据投标产品技术参数、性能的满足程度赋分： 1、产品选型科学合理、技术先进，技术参数清晰明确，功能描述详细，符合使用要求，数量准确无缺漏项，技术指标和性能优于或完全满足招标文件要求计10.1-15分； 2、产品的技术指标基本满足招标文件但有细微负偏差计5.1-10分； 3、产品的选型不合理、功能配置不完善、响应技术指标有缺漏项等计0-5分。 备注：对应技术参数进行应答，并提供充足的佐证材料，予以证明参数的技术响应性。</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技术方案</w:t>
            </w:r>
          </w:p>
        </w:tc>
        <w:tc>
          <w:tcPr>
            <w:tcW w:type="dxa" w:w="2492"/>
          </w:tcPr>
          <w:p>
            <w:pPr>
              <w:pStyle w:val="null3"/>
            </w:pPr>
            <w:r>
              <w:rPr/>
              <w:t>投标人提供完整的技术方案，方案描述详细、合理、架构清晰，软硬件配置充分满足平台需求，平台成熟稳定，操作性强，能够实现项目整体建设目标及要求。1、方案内容完整，可操作性、规范性、可实现性强，计5.1-7分； 2、方案内容基本完整，可操作性、规范性、可实现性一般，计2.1-5分； 3、方案内容不完整，可操作性、规范性、可实现性较差，计0-2分。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实施方案</w:t>
            </w:r>
          </w:p>
        </w:tc>
        <w:tc>
          <w:tcPr>
            <w:tcW w:type="dxa" w:w="2492"/>
          </w:tcPr>
          <w:p>
            <w:pPr>
              <w:pStyle w:val="null3"/>
            </w:pPr>
            <w:r>
              <w:rPr/>
              <w:t>投标人针对本项目有完整的实施方案，应包括项目组织架构、进度控制措施、项目运作流程、运行测试及验收、质量保证措施等内容。 1、方案科学合理、切实可行、考虑完善，完全满足项目需求，计5.1-7分； 2、方案较全面，基本满足项目需求，计2.1-5分； 3、方案不全面，缺乏可操作性，计0-2分。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运维方案</w:t>
            </w:r>
          </w:p>
        </w:tc>
        <w:tc>
          <w:tcPr>
            <w:tcW w:type="dxa" w:w="2492"/>
          </w:tcPr>
          <w:p>
            <w:pPr>
              <w:pStyle w:val="null3"/>
            </w:pPr>
            <w:r>
              <w:rPr/>
              <w:t>投标人针对本项目制定切实可行的运维方案，包括应急措施和解决方案、维护服务体系、维护范围、服务内容等。 1、方案及措施科学完善，对故障处理工作内容的理解和故障处理措施合理、规范、可操作性强，能保障系统正常运行，计4.1-6分； 2、方案及措施完整，较合理可行，基本满足项目需求，计2.1-4分； 3、方案简单、内容空泛，可行性较差，计0-2分。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人员配备</w:t>
            </w:r>
          </w:p>
        </w:tc>
        <w:tc>
          <w:tcPr>
            <w:tcW w:type="dxa" w:w="2492"/>
          </w:tcPr>
          <w:p>
            <w:pPr>
              <w:pStyle w:val="null3"/>
            </w:pPr>
            <w:r>
              <w:rPr/>
              <w:t>投标人针对本项目制定详细的人员组成方案，人员分工合理、岗位责任明确，能确保项目顺利实施。根据所配备人员的专业素质、技术能力和从业经验等进行综合比较。 1、人员配备合理、专业涵盖全面，计4.1-6分； 2、人员配备较合理、基本满足项目服务所需人员，计2.1-4分； 3、人员配备不合理，不能满足项目服务所需人员，计0-2分。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备品备件</w:t>
            </w:r>
          </w:p>
        </w:tc>
        <w:tc>
          <w:tcPr>
            <w:tcW w:type="dxa" w:w="2492"/>
          </w:tcPr>
          <w:p>
            <w:pPr>
              <w:pStyle w:val="null3"/>
            </w:pPr>
            <w:r>
              <w:rPr/>
              <w:t>投标人根据平台建设所需设施设备的情况，制定备品、备件及消耗品方案，对于服务过程中的设备维修、设备更换，产品质量检测标准符合国际、国内相关标准，备品备件规格齐全、库存量充足，供货渠道来源合法有效，按其响应程度计0-4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企业实力</w:t>
            </w:r>
          </w:p>
        </w:tc>
        <w:tc>
          <w:tcPr>
            <w:tcW w:type="dxa" w:w="2492"/>
          </w:tcPr>
          <w:p>
            <w:pPr>
              <w:pStyle w:val="null3"/>
            </w:pPr>
            <w:r>
              <w:rPr/>
              <w:t>投标人具有涉密信息系统集成资质证书，计3分，未提供不计分。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具有完善的售后服务方案，并有详细、具体、可行的服务措施及承诺，根据售后服务情况、售后服务范围、方式，售后服务响应时间及承诺情况进行赋分。 1、方案完全响应磋商文件且内容详尽，措施合理，可行性强的，计4.1-5分； 2、方案响应磋商文件要求且较为完善，措施较为合理，具有一定可行性的，计2.1-4分； 3、方案不全面，缺乏可操作性，计0-2分。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本地化服务</w:t>
            </w:r>
          </w:p>
        </w:tc>
        <w:tc>
          <w:tcPr>
            <w:tcW w:type="dxa" w:w="2492"/>
          </w:tcPr>
          <w:p>
            <w:pPr>
              <w:pStyle w:val="null3"/>
            </w:pPr>
            <w:r>
              <w:rPr/>
              <w:t>投标人具有本地化服务能力及技术支持（提供相关证明材料），根据响应程度计0-2分。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提供详尽的培训方案及培训计划（包括：培训人数、培训时间、培训内容等），并列出培训的具体内容及方式，确保使用人员能够独立熟练操作、维护和正常使用，并进行简单故障排查处理。根据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提供投标人2020年1月1日至今同类项目的业绩合同，每份计2分，满分8分。（以合同复印件加盖公章为准）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节能环保</w:t>
            </w:r>
          </w:p>
        </w:tc>
        <w:tc>
          <w:tcPr>
            <w:tcW w:type="dxa" w:w="2492"/>
          </w:tcPr>
          <w:p>
            <w:pPr>
              <w:pStyle w:val="null3"/>
            </w:pPr>
            <w:r>
              <w:rPr/>
              <w:t>投标产品为节能产品、环境标志产品，符合招标文件要求的，可优先采购。按其响应程度计0-1分。（以经国家确定的认证机构出具的、处于有效期内的节能产品、环境标志产品认证证书为准。）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详见附件：投标人资格证明文件</w:t>
      </w:r>
    </w:p>
    <w:p>
      <w:pPr>
        <w:pStyle w:val="null3"/>
        <w:ind w:firstLine="960"/>
      </w:pPr>
      <w:r>
        <w:rPr/>
        <w:t>详见附件：投标人承诺书</w:t>
      </w:r>
    </w:p>
    <w:p>
      <w:pPr>
        <w:pStyle w:val="null3"/>
        <w:ind w:firstLine="960"/>
      </w:pPr>
      <w:r>
        <w:rPr/>
        <w:t>详见附件：保证金交纳凭证保函</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详见附件：商务条款响应说明</w:t>
      </w:r>
    </w:p>
    <w:p>
      <w:pPr>
        <w:pStyle w:val="null3"/>
        <w:ind w:firstLine="960"/>
      </w:pPr>
      <w:r>
        <w:rPr/>
        <w:t>详见附件：投标方案说明</w:t>
      </w:r>
    </w:p>
    <w:p>
      <w:pPr>
        <w:pStyle w:val="null3"/>
      </w:pPr>
      <w:r>
        <w:rPr/>
        <w:t xml:space="preserve"> </w:t>
      </w:r>
    </w:p>
    <w:p>
      <w:pPr>
        <w:pStyle w:val="null3"/>
        <w:jc w:val="center"/>
        <w:outlineLvl w:val="1"/>
      </w:pPr>
      <w:r>
        <w:rPr>
          <w:b/>
          <w:sz w:val="36"/>
        </w:rPr>
        <w:t>第七章 拟签订合同文本</w:t>
      </w:r>
    </w:p>
    <w:p>
      <w:pPr>
        <w:pStyle w:val="null3"/>
      </w:pPr>
      <w:r>
        <w:rPr/>
        <w:t>详见附件：合同范本.docx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jpeg" Type="http://schemas.openxmlformats.org/officeDocument/2006/relationships/image"/><Relationship Id="rId8"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