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招 标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省级道路交通安全指挥中心机房硬件及系统运行维护项目</w:t>
      </w:r>
    </w:p>
    <w:p>
      <w:pPr>
        <w:pStyle w:val="null3"/>
        <w:jc w:val="center"/>
        <w:outlineLvl w:val="2"/>
      </w:pPr>
      <w:r>
        <w:rPr>
          <w:b/>
          <w:sz w:val="28"/>
        </w:rPr>
        <w:t>采购项目编号：</w:t>
      </w:r>
      <w:r>
        <w:rPr>
          <w:b/>
          <w:sz w:val="28"/>
        </w:rPr>
        <w:t>SXWZ2024ZB-JJZD-004</w:t>
      </w:r>
      <w:r>
        <w:br/>
      </w:r>
      <w:r>
        <w:br/>
      </w:r>
      <w:r>
        <w:br/>
      </w:r>
    </w:p>
    <w:p>
      <w:pPr>
        <w:pStyle w:val="null3"/>
        <w:jc w:val="center"/>
        <w:outlineLvl w:val="2"/>
      </w:pPr>
      <w:r>
        <w:rPr>
          <w:b/>
          <w:sz w:val="28"/>
        </w:rPr>
        <w:t>陕西省公安厅交通警察总队</w:t>
      </w:r>
    </w:p>
    <w:p>
      <w:pPr>
        <w:pStyle w:val="null3"/>
        <w:jc w:val="center"/>
        <w:outlineLvl w:val="2"/>
      </w:pPr>
      <w:r>
        <w:rPr>
          <w:b/>
          <w:sz w:val="28"/>
        </w:rPr>
        <w:t>陕西万泽招标有限公司</w:t>
      </w:r>
      <w:r>
        <w:rPr>
          <w:b/>
          <w:sz w:val="28"/>
        </w:rPr>
        <w:t>共同编制</w:t>
      </w:r>
    </w:p>
    <w:p>
      <w:pPr>
        <w:pStyle w:val="null3"/>
        <w:jc w:val="center"/>
        <w:outlineLvl w:val="2"/>
      </w:pPr>
      <w:r>
        <w:rPr>
          <w:b/>
          <w:sz w:val="28"/>
        </w:rPr>
        <w:t>2024年01月03日</w:t>
      </w:r>
    </w:p>
    <w:p>
      <w:pPr>
        <w:pStyle w:val="null3"/>
      </w:pPr>
      <w:r>
        <w:rPr/>
        <w:t xml:space="preserve"> </w:t>
      </w:r>
    </w:p>
    <w:p>
      <w:pPr>
        <w:pStyle w:val="null3"/>
        <w:jc w:val="center"/>
        <w:outlineLvl w:val="1"/>
      </w:pPr>
      <w:r>
        <w:rPr>
          <w:b/>
          <w:sz w:val="36"/>
        </w:rPr>
        <w:t>第一章 投标邀请</w:t>
      </w:r>
    </w:p>
    <w:p>
      <w:pPr>
        <w:pStyle w:val="null3"/>
        <w:ind w:firstLine="480"/>
      </w:pPr>
      <w:r>
        <w:rPr/>
        <w:t>陕西万泽招标有限公司</w:t>
      </w:r>
      <w:r>
        <w:rPr/>
        <w:t>（以下简称“代理机构”）受</w:t>
      </w:r>
      <w:r>
        <w:rPr/>
        <w:t>陕西省公安厅交通警察总队</w:t>
      </w:r>
      <w:r>
        <w:rPr/>
        <w:t>委托，拟对</w:t>
      </w:r>
      <w:r>
        <w:rPr/>
        <w:t>省级道路交通安全指挥中心机房硬件及系统运行维护项目</w:t>
      </w:r>
      <w:r>
        <w:rPr/>
        <w:t>进行国内公开招标，兹邀请符合本次招标要求的供应商参加投标。</w:t>
      </w:r>
    </w:p>
    <w:p>
      <w:pPr>
        <w:pStyle w:val="null3"/>
        <w:outlineLvl w:val="2"/>
      </w:pPr>
      <w:r>
        <w:rPr>
          <w:b/>
          <w:sz w:val="28"/>
        </w:rPr>
        <w:t>一、采购项目编号：</w:t>
      </w:r>
      <w:r>
        <w:rPr>
          <w:b/>
          <w:sz w:val="28"/>
        </w:rPr>
        <w:t>SXWZ2024ZB-JJZD-004</w:t>
      </w:r>
    </w:p>
    <w:p>
      <w:pPr>
        <w:pStyle w:val="null3"/>
        <w:outlineLvl w:val="2"/>
      </w:pPr>
      <w:r>
        <w:rPr>
          <w:b/>
          <w:sz w:val="28"/>
        </w:rPr>
        <w:t>二、采购项目名称：</w:t>
      </w:r>
      <w:r>
        <w:rPr>
          <w:b/>
          <w:sz w:val="28"/>
        </w:rPr>
        <w:t>省级道路交通安全指挥中心机房硬件及系统运行维护项目</w:t>
      </w:r>
    </w:p>
    <w:p>
      <w:pPr>
        <w:pStyle w:val="null3"/>
        <w:outlineLvl w:val="2"/>
      </w:pPr>
      <w:r>
        <w:rPr>
          <w:b/>
          <w:sz w:val="28"/>
        </w:rPr>
        <w:t>三、招标项目简介</w:t>
      </w:r>
    </w:p>
    <w:p>
      <w:pPr>
        <w:pStyle w:val="null3"/>
        <w:ind w:firstLine="480"/>
      </w:pPr>
      <w:r>
        <w:rPr/>
        <w:t>项目名称：省级道路交通安全指挥中心机房硬件及系统运行维护项目 采购方式：公开招标 预算金额：1500000.00元 采购需求：详见采购需求附件 合同履行期限：服务期：1年 本项目是否接受联合体投标：不接受联合体投标</w:t>
      </w:r>
    </w:p>
    <w:p>
      <w:pPr>
        <w:pStyle w:val="null3"/>
        <w:outlineLvl w:val="2"/>
      </w:pPr>
      <w:r>
        <w:rPr>
          <w:b/>
          <w:sz w:val="28"/>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1、有效的主体资格证明：提供合格有效的法人或其他组织的营业执照等证明文件，自然人参与的提供其身份证原件；</w:t>
      </w:r>
    </w:p>
    <w:p>
      <w:pPr>
        <w:pStyle w:val="null3"/>
      </w:pPr>
      <w:r>
        <w:rPr/>
        <w:t>2、法人代表委托授权书：非法定代表人参加投标的，须提供法定代表人授权委托书及被授权人身份证原件；法定代表人参加投标时,只须提供法定代表人身份证原件；</w:t>
      </w:r>
    </w:p>
    <w:p>
      <w:pPr>
        <w:pStyle w:val="null3"/>
      </w:pPr>
      <w:r>
        <w:rPr/>
        <w:t>3、无重大违法记录：投标人应出具参加政府采购活动前3年内在经营活动中没有重大违法记录的书面声明；</w:t>
      </w:r>
    </w:p>
    <w:p>
      <w:pPr>
        <w:pStyle w:val="null3"/>
      </w:pPr>
      <w:r>
        <w:rPr/>
        <w:t>4、供应商信誉证明：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w:t>
      </w:r>
    </w:p>
    <w:p>
      <w:pPr>
        <w:pStyle w:val="null3"/>
      </w:pPr>
      <w:r>
        <w:rPr/>
        <w:t>5、财务状况证明：财务状况证明：提供经会计师事务所审计的2022年财务审计报告，或在开标日期前六个月内其基本开户银行出具的资信证明；</w:t>
      </w:r>
    </w:p>
    <w:p>
      <w:pPr>
        <w:pStyle w:val="null3"/>
      </w:pPr>
      <w:r>
        <w:rPr/>
        <w:t>6、社保缴纳证明：社保缴纳证明：提供已缴存的2023年1月1日以来至少一个月的社会保障资金缴存单据或社保机构开具的社会保险参保缴费情况证明。依法不需要缴纳社会保障资金的投标人应提供相关文件证明。</w:t>
      </w:r>
    </w:p>
    <w:p>
      <w:pPr>
        <w:pStyle w:val="null3"/>
      </w:pPr>
      <w:r>
        <w:rPr/>
        <w:t>7、税收缴纳证明：税收缴纳证明：提供已缴纳的2023年1月1日以来至少一个月的纳税证明或完税证明（提供增值税、企业所得税至少一种），纳税证明或完税证明上应有代收机构或税务机关的公章或业务专用章。依法免税的投标人应提供相关文件证明。</w:t>
      </w:r>
    </w:p>
    <w:p>
      <w:pPr>
        <w:pStyle w:val="null3"/>
        <w:outlineLvl w:val="2"/>
      </w:pPr>
      <w:r>
        <w:rPr>
          <w:b/>
          <w:sz w:val="28"/>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b/>
          <w:sz w:val="28"/>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b/>
          <w:sz w:val="28"/>
        </w:rPr>
        <w:t>八、本投标邀请在陕西省政府采购网以公告形式发布</w:t>
      </w:r>
    </w:p>
    <w:p>
      <w:pPr>
        <w:pStyle w:val="null3"/>
        <w:outlineLvl w:val="2"/>
      </w:pPr>
      <w:r>
        <w:rPr>
          <w:b/>
          <w:sz w:val="28"/>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十、联系方式</w:t>
      </w:r>
    </w:p>
    <w:p>
      <w:pPr>
        <w:pStyle w:val="null3"/>
        <w:outlineLvl w:val="2"/>
      </w:pPr>
      <w:r>
        <w:rPr>
          <w:b/>
          <w:sz w:val="28"/>
        </w:rPr>
        <w:t xml:space="preserve">采购人： </w:t>
      </w:r>
      <w:r>
        <w:rPr>
          <w:b/>
          <w:sz w:val="28"/>
        </w:rPr>
        <w:t>陕西省公安厅交通警察总队</w:t>
      </w:r>
    </w:p>
    <w:p>
      <w:pPr>
        <w:pStyle w:val="null3"/>
      </w:pPr>
      <w:r>
        <w:rPr/>
        <w:t xml:space="preserve"> 地址： </w:t>
      </w:r>
      <w:r>
        <w:rPr/>
        <w:t>西安市雁塔区长安南路123号</w:t>
      </w:r>
    </w:p>
    <w:p>
      <w:pPr>
        <w:pStyle w:val="null3"/>
      </w:pPr>
      <w:r>
        <w:rPr/>
        <w:t xml:space="preserve"> 邮编： </w:t>
      </w:r>
      <w:r>
        <w:rPr/>
        <w:t>710000</w:t>
      </w:r>
    </w:p>
    <w:p>
      <w:pPr>
        <w:pStyle w:val="null3"/>
      </w:pPr>
      <w:r>
        <w:rPr/>
        <w:t xml:space="preserve"> 联系人： </w:t>
      </w:r>
      <w:r>
        <w:rPr/>
        <w:t>陕西省公安厅交通警察总队</w:t>
      </w:r>
    </w:p>
    <w:p>
      <w:pPr>
        <w:pStyle w:val="null3"/>
      </w:pPr>
      <w:r>
        <w:rPr/>
        <w:t xml:space="preserve"> 联系电话： </w:t>
      </w:r>
      <w:r>
        <w:rPr/>
        <w:t>029-87680153</w:t>
      </w:r>
    </w:p>
    <w:p>
      <w:pPr>
        <w:pStyle w:val="null3"/>
        <w:outlineLvl w:val="2"/>
      </w:pPr>
      <w:r>
        <w:rPr>
          <w:b/>
          <w:sz w:val="28"/>
        </w:rPr>
        <w:t>代理机构：</w:t>
      </w:r>
      <w:r>
        <w:rPr>
          <w:b/>
          <w:sz w:val="28"/>
        </w:rPr>
        <w:t>陕西万泽招标有限公司</w:t>
      </w:r>
    </w:p>
    <w:p>
      <w:pPr>
        <w:pStyle w:val="null3"/>
      </w:pPr>
      <w:r>
        <w:rPr/>
        <w:t xml:space="preserve"> 地址： </w:t>
      </w:r>
      <w:r>
        <w:rPr/>
        <w:t>西安市莲湖区西关正街英达大厦1507</w:t>
      </w:r>
    </w:p>
    <w:p>
      <w:pPr>
        <w:pStyle w:val="null3"/>
      </w:pPr>
      <w:r>
        <w:rPr/>
        <w:t xml:space="preserve"> 邮编： </w:t>
      </w:r>
      <w:r>
        <w:rPr/>
        <w:t>710000</w:t>
      </w:r>
    </w:p>
    <w:p>
      <w:pPr>
        <w:pStyle w:val="null3"/>
      </w:pPr>
      <w:r>
        <w:rPr/>
        <w:t xml:space="preserve"> 联系人： </w:t>
      </w:r>
      <w:r>
        <w:rPr/>
        <w:t>黄工 丁工 陈工 邱工</w:t>
      </w:r>
    </w:p>
    <w:p>
      <w:pPr>
        <w:pStyle w:val="null3"/>
      </w:pPr>
      <w:r>
        <w:rPr/>
        <w:t xml:space="preserve"> 联系电话： </w:t>
      </w:r>
      <w:r>
        <w:rPr/>
        <w:t>029-88319689-803；邮箱：sxwzzb04@163.com</w:t>
      </w:r>
    </w:p>
    <w:p>
      <w:pPr>
        <w:pStyle w:val="null3"/>
        <w:outlineLvl w:val="2"/>
      </w:pPr>
      <w:r>
        <w:rPr>
          <w:b/>
          <w:sz w:val="28"/>
        </w:rPr>
        <w:t>采购监督机构：</w:t>
      </w:r>
      <w:r>
        <w:rPr>
          <w:b/>
          <w:sz w:val="28"/>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r>
    </w:p>
    <w:p>
      <w:pPr>
        <w:pStyle w:val="null3"/>
        <w:jc w:val="center"/>
        <w:outlineLvl w:val="1"/>
      </w:pPr>
      <w:r>
        <w:rPr>
          <w:b/>
          <w:sz w:val="36"/>
        </w:rPr>
        <w:t>第二章 投标人须知</w:t>
      </w:r>
    </w:p>
    <w:p>
      <w:pPr>
        <w:pStyle w:val="null3"/>
        <w:outlineLvl w:val="2"/>
      </w:pPr>
      <w:r>
        <w:rPr>
          <w:b/>
          <w:sz w:val="28"/>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采购包1：1,500,000.00元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w:t>
            </w:r>
            <w:r>
              <w:rPr/>
              <w:t>有</w:t>
            </w:r>
            <w:r>
              <w:rPr/>
              <w:t>产品属于节能产品政府采购品目清单中应优先采购的产品范围，本项目采购</w:t>
            </w:r>
            <w:r>
              <w:rPr/>
              <w:t>有</w:t>
            </w:r>
            <w:r>
              <w:rPr/>
              <w:t>产品属于环境标志产品政府采购品目清单中应优先采购的产品范围，评审得分/响应报价相同的，按供应商提供的优先采购产品认证证书数量由多到少顺序排列。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采购包1保证金金额：30,000.00元</w:t>
            </w:r>
          </w:p>
          <w:p>
            <w:pPr>
              <w:pStyle w:val="null3"/>
            </w:pPr>
            <w:r>
              <w:rPr/>
              <w:t>缴交渠道：转账、支票、汇票等（需通过实体账户、户名及开户行信息）,电子保函</w:t>
            </w:r>
          </w:p>
          <w:p>
            <w:pPr>
              <w:pStyle w:val="null3"/>
            </w:pPr>
            <w:r>
              <w:rPr/>
              <w:t>开户名称：陕西万泽招标有限公司</w:t>
            </w:r>
          </w:p>
          <w:p>
            <w:pPr>
              <w:pStyle w:val="null3"/>
            </w:pPr>
            <w:r>
              <w:rPr/>
              <w:t>开户银行：西安银行朝阳门支行</w:t>
            </w:r>
          </w:p>
          <w:p>
            <w:pPr>
              <w:pStyle w:val="null3"/>
            </w:pPr>
            <w:r>
              <w:rPr/>
              <w:t>银行账号：211011580000015489</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代理服务费收费标准：参照国家计委关于印发《招标代理服务收费管理暂行办法的通知》（计价格[2002]1980号）的规定收取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是否组织潜在投标人现场考察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b/>
          <w:sz w:val="28"/>
        </w:rPr>
        <w:t>2.2总则</w:t>
      </w:r>
    </w:p>
    <w:p>
      <w:pPr>
        <w:pStyle w:val="null3"/>
        <w:outlineLvl w:val="3"/>
      </w:pPr>
      <w:r>
        <w:rPr>
          <w:b/>
          <w:sz w:val="24"/>
        </w:rPr>
        <w:t>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陕西省公安厅交通警察总队</w:t>
      </w:r>
      <w:r>
        <w:rPr/>
        <w:t>和</w:t>
      </w:r>
      <w:r>
        <w:rPr/>
        <w:t>陕西万泽招标有限公司</w:t>
      </w:r>
      <w:r>
        <w:rPr/>
        <w:t>享有。对招标文件中供应商参加本次政府采购活动应当具备的条件，招标项目技术、服务、商务及其他要求，评标细则及标准由</w:t>
      </w:r>
      <w:r>
        <w:rPr/>
        <w:t>陕西省公安厅交通警察总队</w:t>
      </w:r>
      <w:r>
        <w:rPr/>
        <w:t>负责解释。除上述招标文件内容，其他内容由</w:t>
      </w:r>
      <w:r>
        <w:rPr/>
        <w:t>陕西万泽招标有限公司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一、“采购人”是指依法进行政府采购的各级国家机关、事业单位、团体组织。本次招标的采购人是</w:t>
      </w:r>
      <w:r>
        <w:rPr/>
        <w:t>陕西省公安厅交通警察总队</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陕西万泽招标有限公司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b/>
          <w:sz w:val="28"/>
        </w:rPr>
        <w:t>2.3招标文件</w:t>
      </w:r>
    </w:p>
    <w:p>
      <w:pPr>
        <w:pStyle w:val="null3"/>
        <w:outlineLvl w:val="3"/>
      </w:pPr>
      <w:r>
        <w:rPr>
          <w:b/>
          <w:sz w:val="24"/>
        </w:rPr>
        <w:t>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b/>
          <w:sz w:val="24"/>
        </w:rPr>
        <w:t>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b/>
          <w:sz w:val="28"/>
        </w:rPr>
        <w:t>2.4投标文件</w:t>
      </w:r>
    </w:p>
    <w:p>
      <w:pPr>
        <w:pStyle w:val="null3"/>
        <w:outlineLvl w:val="3"/>
      </w:pPr>
      <w:r>
        <w:rPr>
          <w:b/>
          <w:sz w:val="24"/>
        </w:rPr>
        <w:t>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b/>
          <w:sz w:val="24"/>
        </w:rPr>
        <w:t>2.4.2计量单位</w:t>
      </w:r>
    </w:p>
    <w:p>
      <w:pPr>
        <w:pStyle w:val="null3"/>
        <w:ind w:firstLine="480"/>
      </w:pPr>
      <w:r>
        <w:rPr/>
        <w:t>除招标文件中另有规定外，本项目均采用国家法定的计量单位。</w:t>
      </w:r>
    </w:p>
    <w:p>
      <w:pPr>
        <w:pStyle w:val="null3"/>
        <w:outlineLvl w:val="3"/>
      </w:pPr>
      <w:r>
        <w:rPr>
          <w:b/>
          <w:sz w:val="24"/>
        </w:rPr>
        <w:t>2.4.3投标货币</w:t>
      </w:r>
    </w:p>
    <w:p>
      <w:pPr>
        <w:pStyle w:val="null3"/>
        <w:ind w:firstLine="480"/>
      </w:pPr>
      <w:r>
        <w:rPr/>
        <w:t>本次项目均以人民币报价。</w:t>
      </w:r>
    </w:p>
    <w:p>
      <w:pPr>
        <w:pStyle w:val="null3"/>
        <w:outlineLvl w:val="3"/>
      </w:pPr>
      <w:r>
        <w:rPr>
          <w:b/>
          <w:sz w:val="24"/>
        </w:rPr>
        <w:t>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b/>
          <w:sz w:val="24"/>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b/>
          <w:sz w:val="24"/>
        </w:rPr>
        <w:t>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b/>
          <w:sz w:val="24"/>
        </w:rPr>
        <w:t>2.4.7投标报价（实质性要求）</w:t>
      </w:r>
    </w:p>
    <w:p>
      <w:pPr>
        <w:pStyle w:val="null3"/>
        <w:ind w:firstLine="480"/>
      </w:pPr>
      <w:r>
        <w:rPr/>
        <w:t>一、投标人的报价是投标人响应招标项目要求的全部工作内容的价格体现，包括投标人完成本项目所需的一切费用。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b/>
          <w:sz w:val="24"/>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b/>
          <w:sz w:val="24"/>
        </w:rPr>
        <w:t>2.4.9投标文件的制作、签章和加密（实质性要求）</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b/>
          <w:sz w:val="24"/>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b/>
          <w:sz w:val="24"/>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b/>
          <w:sz w:val="28"/>
        </w:rPr>
        <w:t>2.5开标、资格审查、评标和中标</w:t>
      </w:r>
    </w:p>
    <w:p>
      <w:pPr>
        <w:pStyle w:val="null3"/>
        <w:outlineLvl w:val="3"/>
      </w:pPr>
      <w:r>
        <w:rPr>
          <w:b/>
          <w:sz w:val="24"/>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t xml:space="preserve"> 投标文件提交截止时间前30分钟，投标人登录项目电子化交易系统-“开标/开启大厅”参与开标。</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b/>
          <w:sz w:val="24"/>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详见招标文件第四章。</w:t>
      </w:r>
    </w:p>
    <w:p>
      <w:pPr>
        <w:pStyle w:val="null3"/>
        <w:outlineLvl w:val="3"/>
      </w:pPr>
      <w:r>
        <w:rPr>
          <w:b/>
          <w:sz w:val="24"/>
        </w:rPr>
        <w:t>2.5.4评标</w:t>
      </w:r>
    </w:p>
    <w:p>
      <w:pPr>
        <w:pStyle w:val="null3"/>
        <w:ind w:firstLine="480"/>
      </w:pPr>
      <w:r>
        <w:rPr/>
        <w:t>详见招标文件第五章。</w:t>
      </w:r>
    </w:p>
    <w:p>
      <w:pPr>
        <w:pStyle w:val="null3"/>
        <w:outlineLvl w:val="3"/>
      </w:pPr>
      <w:r>
        <w:rPr>
          <w:b/>
          <w:sz w:val="24"/>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b/>
          <w:sz w:val="28"/>
        </w:rPr>
        <w:t>2.6签订及履行合同和验收</w:t>
      </w:r>
    </w:p>
    <w:p>
      <w:pPr>
        <w:pStyle w:val="null3"/>
        <w:outlineLvl w:val="3"/>
      </w:pPr>
      <w:r>
        <w:rPr>
          <w:b/>
          <w:sz w:val="24"/>
        </w:rPr>
        <w:t>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一、严禁中标供应商将本项目转包。本项目所称转包，是指将本项目转给他人或者将本项目全部肢解以后以分包的名义分别转给他人的行为。</w:t>
      </w:r>
    </w:p>
    <w:p>
      <w:pPr>
        <w:pStyle w:val="null3"/>
        <w:ind w:firstLine="480"/>
      </w:pPr>
      <w:r>
        <w:rPr/>
        <w:t>二、中标供应商转包的，视同拒绝履行政府采购合同，将依法追究法律责任。</w:t>
      </w:r>
    </w:p>
    <w:p>
      <w:pPr>
        <w:pStyle w:val="null3"/>
        <w:outlineLvl w:val="3"/>
      </w:pPr>
      <w:r>
        <w:rPr>
          <w:b/>
          <w:sz w:val="24"/>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b/>
          <w:sz w:val="24"/>
        </w:rPr>
        <w:t>2.6.4履行合同</w:t>
      </w:r>
    </w:p>
    <w:p>
      <w:pPr>
        <w:pStyle w:val="null3"/>
        <w:ind w:firstLine="480"/>
      </w:pPr>
      <w:r>
        <w:rPr/>
        <w:t>一、合同一经签订，双方应严格履行合同规定的义务。</w:t>
      </w:r>
    </w:p>
    <w:p>
      <w:pPr>
        <w:pStyle w:val="null3"/>
        <w:ind w:firstLine="480"/>
      </w:pPr>
      <w:r>
        <w:rPr/>
        <w:t>二、在合同履行过程中，如发生合同纠纷，合同双方应按照《中华人民共和国民法典》规定及合同条款约定进行处理。</w:t>
      </w:r>
    </w:p>
    <w:p>
      <w:pPr>
        <w:pStyle w:val="null3"/>
        <w:outlineLvl w:val="3"/>
      </w:pPr>
      <w:r>
        <w:rPr>
          <w:b/>
          <w:sz w:val="24"/>
        </w:rPr>
        <w:t>2.6.5履约验收方案</w:t>
      </w:r>
    </w:p>
    <w:p>
      <w:pPr>
        <w:pStyle w:val="null3"/>
      </w:pPr>
      <w:r>
        <w:rPr/>
        <w:t>采购包1：</w:t>
      </w:r>
    </w:p>
    <w:p>
      <w:pPr>
        <w:pStyle w:val="null3"/>
      </w:pPr>
      <w:r>
        <w:rPr/>
        <w:t>考核验收 由采购人和中标人共同对项目进行整体验收。其内容包括是否按照采购人要求进行服务、是否在规定时间内服务完毕。 验收依据： 1、招标文件、投标文件、澄清表（如有）； 2、本合同及附件文本； 3、国家相应的标准、规范。 验收标准： 1、《信息技术服务 运行维护》（GB/T 28827.1~6） 2、《财政部财政信息化建设管理办法》 3、《财政部信息化建设项目验收管理办法》</w:t>
      </w:r>
    </w:p>
    <w:p>
      <w:pPr>
        <w:pStyle w:val="null3"/>
        <w:outlineLvl w:val="3"/>
      </w:pPr>
      <w:r>
        <w:rPr>
          <w:b/>
          <w:sz w:val="24"/>
        </w:rPr>
        <w:t>2.6.6资金支付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t>对各投标人的商业秘密，评标委员会成员应予以保密，不得泄露给其他投标人。</w:t>
      </w:r>
    </w:p>
    <w:p>
      <w:pPr>
        <w:pStyle w:val="null3"/>
        <w:outlineLvl w:val="3"/>
      </w:pPr>
      <w:r>
        <w:rPr>
          <w:b/>
          <w:sz w:val="24"/>
        </w:rPr>
        <w:t>2.7.2投标人不得具有的情形（实质性要求）</w:t>
      </w:r>
    </w:p>
    <w:p>
      <w:pPr>
        <w:pStyle w:val="null3"/>
        <w:ind w:firstLine="480"/>
      </w:pPr>
      <w:r>
        <w:rPr/>
        <w:t>投标人参加投标不得有下列情形：</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八、未按照招标文件确定的事项签订政府采购合同；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投标人有上述情形的，按照规定追究法律责任，具有前述一至十三条情形之一的，其投标文件无效，或取消被确认为中标供应商的资格或认定中标无效。</w:t>
      </w:r>
    </w:p>
    <w:p>
      <w:pPr>
        <w:pStyle w:val="null3"/>
        <w:outlineLvl w:val="3"/>
      </w:pPr>
      <w:r>
        <w:rPr>
          <w:b/>
          <w:sz w:val="24"/>
        </w:rPr>
        <w:t>2.7.3采购人员及相关人员回避要求</w:t>
      </w:r>
    </w:p>
    <w:p>
      <w:pPr>
        <w:pStyle w:val="null3"/>
        <w:ind w:firstLine="480"/>
      </w:pPr>
      <w:r>
        <w:rPr/>
        <w:t>政府采购活动中，采购人员及相关人员与投标人有下列利害关系之一的，应当回避：</w:t>
      </w:r>
    </w:p>
    <w:p>
      <w:pPr>
        <w:pStyle w:val="null3"/>
        <w:ind w:firstLine="480"/>
      </w:pPr>
      <w:r>
        <w:rPr/>
        <w:t>（1）参加采购活动前3年内与投标人存在劳动关系；</w:t>
      </w:r>
    </w:p>
    <w:p>
      <w:pPr>
        <w:pStyle w:val="null3"/>
        <w:ind w:firstLine="480"/>
      </w:pPr>
      <w:r>
        <w:rPr/>
        <w:t>（2）参加采购活动前3年内担任投标人的董事、监事；</w:t>
      </w:r>
    </w:p>
    <w:p>
      <w:pPr>
        <w:pStyle w:val="null3"/>
        <w:ind w:firstLine="480"/>
      </w:pPr>
      <w:r>
        <w:rPr/>
        <w:t>（3）参加采购活动前3年内是投标人的控股股东或者实际控制人；</w:t>
      </w:r>
    </w:p>
    <w:p>
      <w:pPr>
        <w:pStyle w:val="null3"/>
        <w:ind w:firstLine="480"/>
      </w:pPr>
      <w:r>
        <w:rPr/>
        <w:t>（4）与投标人的法定代表人或者负责人有夫妻、直系血亲、三代以内旁系血亲或者近姻亲关系；</w:t>
      </w:r>
    </w:p>
    <w:p>
      <w:pPr>
        <w:pStyle w:val="null3"/>
        <w:ind w:firstLine="480"/>
      </w:pPr>
      <w:r>
        <w:rPr/>
        <w:t>（5）与投标人有其他可能影响政府采购活动公平、公正进行的关系。</w:t>
      </w:r>
    </w:p>
    <w:p>
      <w:pPr>
        <w:pStyle w:val="null3"/>
        <w:ind w:firstLine="480"/>
      </w:pPr>
      <w:r>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陕西万泽招标有限公司</w:t>
      </w:r>
      <w:r>
        <w:rPr/>
        <w:t xml:space="preserve"> 负责答复；供应商对除采购需求外的采购文件的询问、质疑由</w:t>
      </w:r>
      <w:r>
        <w:rPr/>
        <w:t>陕西万泽招标有限公司</w:t>
      </w:r>
      <w:r>
        <w:rPr/>
        <w:t xml:space="preserve"> 负责答复；供应商对采购过程、采购结果的询问、质疑由 </w:t>
      </w:r>
      <w:r>
        <w:rPr/>
        <w:t>陕西万泽招标有限公司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（五）针对质疑事项必要的证明材料（针对招标文件提出的质疑，需提交从项目电子化交易系统获取的招标文件回执单）。</w:t>
      </w:r>
    </w:p>
    <w:p>
      <w:pPr>
        <w:pStyle w:val="null3"/>
      </w:pPr>
      <w:r>
        <w:rPr/>
        <w:t>答复主体：代理机构</w:t>
      </w:r>
    </w:p>
    <w:p>
      <w:pPr>
        <w:pStyle w:val="null3"/>
      </w:pPr>
      <w:r>
        <w:rPr/>
        <w:t>联系人：黄工 丁工 陈工 邱工</w:t>
      </w:r>
    </w:p>
    <w:p>
      <w:pPr>
        <w:pStyle w:val="null3"/>
      </w:pPr>
      <w:r>
        <w:rPr/>
        <w:t>联系电话：029-88319689-803</w:t>
      </w:r>
    </w:p>
    <w:p>
      <w:pPr>
        <w:pStyle w:val="null3"/>
      </w:pPr>
      <w:r>
        <w:rPr/>
        <w:t>地址：西安市莲湖区西关正街英达大厦1507室</w:t>
      </w:r>
    </w:p>
    <w:p>
      <w:pPr>
        <w:pStyle w:val="null3"/>
      </w:pPr>
      <w:r>
        <w:rPr/>
        <w:t>邮编：710000</w:t>
      </w:r>
    </w:p>
    <w:p>
      <w:pPr>
        <w:pStyle w:val="null3"/>
        <w:ind w:firstLine="480"/>
      </w:pPr>
      <w:r>
        <w:rPr/>
        <w:t>注：根据《中华人民共和国政府采购法》的规定，供应商质疑不得超出招标文件、采购过程、采购结果的范围。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招标项目技术、服务、商务及其他要求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一、陕西省公安厅省级道路交通安全指挥中心机房硬件及系统运行维护项目</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1,500,000.00</w:t>
      </w:r>
    </w:p>
    <w:p>
      <w:pPr>
        <w:pStyle w:val="null3"/>
      </w:pPr>
      <w:r>
        <w:rPr/>
        <w:t>采购包最高限价（元）: 1,500,000.00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指挥中心机房硬件及系统运行维护</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3"/>
      </w:pPr>
      <w:r>
        <w:rPr>
          <w:b/>
          <w:sz w:val="24"/>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标的名称：指挥中心机房硬件及系统运行维护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t xml:space="preserve"> </w:t>
            </w:r>
          </w:p>
          <w:p>
            <w:pPr>
              <w:pStyle w:val="null3"/>
              <w:jc w:val="both"/>
            </w:pPr>
            <w:r>
              <w:rPr>
                <w:rFonts w:ascii="宋体" w:hAnsi="宋体" w:cs="宋体" w:eastAsia="宋体"/>
                <w:b/>
                <w:sz w:val="24"/>
              </w:rPr>
              <w:t>二、</w:t>
            </w:r>
            <w:r>
              <w:rPr>
                <w:rFonts w:ascii="宋体" w:hAnsi="宋体" w:cs="宋体" w:eastAsia="宋体"/>
                <w:b/>
                <w:sz w:val="24"/>
              </w:rPr>
              <w:t>技术要求</w:t>
            </w:r>
          </w:p>
          <w:p>
            <w:pPr>
              <w:pStyle w:val="null3"/>
              <w:spacing w:before="240" w:after="240"/>
              <w:jc w:val="both"/>
              <w:outlineLvl w:val="1"/>
            </w:pPr>
            <w:r>
              <w:rPr>
                <w:rFonts w:ascii="黑体" w:hAnsi="黑体" w:cs="黑体" w:eastAsia="黑体"/>
                <w:b/>
                <w:sz w:val="24"/>
              </w:rPr>
              <w:t>1.概述</w:t>
            </w:r>
          </w:p>
          <w:p>
            <w:pPr>
              <w:pStyle w:val="null3"/>
              <w:ind w:firstLine="480"/>
              <w:jc w:val="both"/>
            </w:pPr>
            <w:r>
              <w:rPr>
                <w:rFonts w:ascii="宋体" w:hAnsi="宋体" w:cs="宋体" w:eastAsia="宋体"/>
                <w:sz w:val="24"/>
              </w:rPr>
              <w:t>陕西省公安厅交警总队省级道路交通安全指挥中心</w:t>
            </w:r>
            <w:r>
              <w:rPr>
                <w:rFonts w:ascii="宋体" w:hAnsi="宋体" w:cs="宋体" w:eastAsia="宋体"/>
                <w:sz w:val="24"/>
              </w:rPr>
              <w:t>项目于</w:t>
            </w:r>
            <w:r>
              <w:rPr>
                <w:rFonts w:ascii="宋体" w:hAnsi="宋体" w:cs="宋体" w:eastAsia="宋体"/>
                <w:sz w:val="24"/>
              </w:rPr>
              <w:t>2019</w:t>
            </w:r>
            <w:r>
              <w:rPr>
                <w:rFonts w:ascii="宋体" w:hAnsi="宋体" w:cs="宋体" w:eastAsia="宋体"/>
                <w:sz w:val="24"/>
              </w:rPr>
              <w:t>年</w:t>
            </w:r>
            <w:r>
              <w:rPr>
                <w:rFonts w:ascii="宋体" w:hAnsi="宋体" w:cs="宋体" w:eastAsia="宋体"/>
                <w:sz w:val="24"/>
              </w:rPr>
              <w:t>11</w:t>
            </w:r>
            <w:r>
              <w:rPr>
                <w:rFonts w:ascii="宋体" w:hAnsi="宋体" w:cs="宋体" w:eastAsia="宋体"/>
                <w:sz w:val="24"/>
              </w:rPr>
              <w:t>月完成建设任务，随着近三年来的使用，</w:t>
            </w:r>
            <w:r>
              <w:rPr>
                <w:rFonts w:ascii="宋体" w:hAnsi="宋体" w:cs="宋体" w:eastAsia="宋体"/>
                <w:sz w:val="24"/>
              </w:rPr>
              <w:t>指挥中心</w:t>
            </w:r>
            <w:r>
              <w:rPr>
                <w:rFonts w:ascii="宋体" w:hAnsi="宋体" w:cs="宋体" w:eastAsia="宋体"/>
                <w:sz w:val="24"/>
              </w:rPr>
              <w:t>项目各业务系统发挥着重要作用，但随着各业务运行时间的增加，电子元器件的老化，系统故障率的增加，省级道路交通安全指挥中心项目运行维护方案建设项目的运行维护迫在眉睫。</w:t>
            </w:r>
          </w:p>
          <w:p>
            <w:pPr>
              <w:pStyle w:val="null3"/>
              <w:ind w:firstLine="480"/>
              <w:jc w:val="both"/>
            </w:pPr>
            <w:r>
              <w:rPr>
                <w:rFonts w:ascii="宋体" w:hAnsi="宋体" w:cs="宋体" w:eastAsia="宋体"/>
                <w:sz w:val="24"/>
              </w:rPr>
              <w:t>指挥中心的信息化系统运维具有特别的重要性和特殊性</w:t>
            </w:r>
            <w:r>
              <w:rPr>
                <w:rFonts w:ascii="宋体" w:hAnsi="宋体" w:cs="宋体" w:eastAsia="宋体"/>
                <w:sz w:val="24"/>
              </w:rPr>
              <w:t>,</w:t>
            </w:r>
            <w:r>
              <w:rPr>
                <w:rFonts w:ascii="宋体" w:hAnsi="宋体" w:cs="宋体" w:eastAsia="宋体"/>
                <w:sz w:val="24"/>
              </w:rPr>
              <w:t>指挥中心以调度指挥系统为核心</w:t>
            </w:r>
            <w:r>
              <w:rPr>
                <w:rFonts w:ascii="宋体" w:hAnsi="宋体" w:cs="宋体" w:eastAsia="宋体"/>
                <w:sz w:val="24"/>
              </w:rPr>
              <w:t>,</w:t>
            </w:r>
            <w:r>
              <w:rPr>
                <w:rFonts w:ascii="宋体" w:hAnsi="宋体" w:cs="宋体" w:eastAsia="宋体"/>
                <w:sz w:val="24"/>
              </w:rPr>
              <w:t>扩展到相应的关键业务子系统及集成项目</w:t>
            </w:r>
            <w:r>
              <w:rPr>
                <w:rFonts w:ascii="宋体" w:hAnsi="宋体" w:cs="宋体" w:eastAsia="宋体"/>
                <w:sz w:val="24"/>
              </w:rPr>
              <w:t>,</w:t>
            </w:r>
            <w:r>
              <w:rPr>
                <w:rFonts w:ascii="宋体" w:hAnsi="宋体" w:cs="宋体" w:eastAsia="宋体"/>
                <w:sz w:val="24"/>
              </w:rPr>
              <w:t>其运行环境多系统、多数据库、多应用平台、多厂商网络及系统设备</w:t>
            </w:r>
            <w:r>
              <w:rPr>
                <w:rFonts w:ascii="宋体" w:hAnsi="宋体" w:cs="宋体" w:eastAsia="宋体"/>
                <w:sz w:val="24"/>
              </w:rPr>
              <w:t>,</w:t>
            </w:r>
            <w:r>
              <w:rPr>
                <w:rFonts w:ascii="宋体" w:hAnsi="宋体" w:cs="宋体" w:eastAsia="宋体"/>
                <w:sz w:val="24"/>
              </w:rPr>
              <w:t>多业务应用等复杂的管理环境，在此背景下</w:t>
            </w:r>
            <w:r>
              <w:rPr>
                <w:rFonts w:ascii="宋体" w:hAnsi="宋体" w:cs="宋体" w:eastAsia="宋体"/>
                <w:sz w:val="24"/>
              </w:rPr>
              <w:t>,</w:t>
            </w:r>
            <w:r>
              <w:rPr>
                <w:rFonts w:ascii="宋体" w:hAnsi="宋体" w:cs="宋体" w:eastAsia="宋体"/>
                <w:sz w:val="24"/>
              </w:rPr>
              <w:t>指挥中心信息化系统的运行维护和建设对比</w:t>
            </w:r>
            <w:r>
              <w:rPr>
                <w:rFonts w:ascii="宋体" w:hAnsi="宋体" w:cs="宋体" w:eastAsia="宋体"/>
                <w:sz w:val="24"/>
              </w:rPr>
              <w:t>,</w:t>
            </w:r>
            <w:r>
              <w:rPr>
                <w:rFonts w:ascii="宋体" w:hAnsi="宋体" w:cs="宋体" w:eastAsia="宋体"/>
                <w:sz w:val="24"/>
              </w:rPr>
              <w:t>已经变得同等重要</w:t>
            </w:r>
            <w:r>
              <w:rPr>
                <w:rFonts w:ascii="宋体" w:hAnsi="宋体" w:cs="宋体" w:eastAsia="宋体"/>
                <w:sz w:val="24"/>
              </w:rPr>
              <w:t>,</w:t>
            </w:r>
            <w:r>
              <w:rPr>
                <w:rFonts w:ascii="宋体" w:hAnsi="宋体" w:cs="宋体" w:eastAsia="宋体"/>
                <w:sz w:val="24"/>
              </w:rPr>
              <w:t>指挥中心建设后的有效应用更依赖于高质量的运行维护服务</w:t>
            </w:r>
            <w:r>
              <w:rPr>
                <w:rFonts w:ascii="宋体" w:hAnsi="宋体" w:cs="宋体" w:eastAsia="宋体"/>
                <w:sz w:val="24"/>
              </w:rPr>
              <w:t>,</w:t>
            </w:r>
            <w:r>
              <w:rPr>
                <w:rFonts w:ascii="宋体" w:hAnsi="宋体" w:cs="宋体" w:eastAsia="宋体"/>
                <w:sz w:val="24"/>
              </w:rPr>
              <w:t>高质量的运维可以根据应用系统的维护需求</w:t>
            </w:r>
            <w:r>
              <w:rPr>
                <w:rFonts w:ascii="宋体" w:hAnsi="宋体" w:cs="宋体" w:eastAsia="宋体"/>
                <w:sz w:val="24"/>
              </w:rPr>
              <w:t>,</w:t>
            </w:r>
            <w:r>
              <w:rPr>
                <w:rFonts w:ascii="宋体" w:hAnsi="宋体" w:cs="宋体" w:eastAsia="宋体"/>
                <w:sz w:val="24"/>
              </w:rPr>
              <w:t>提高指挥中心系统信息化的可持续应用时间</w:t>
            </w:r>
            <w:r>
              <w:rPr>
                <w:rFonts w:ascii="宋体" w:hAnsi="宋体" w:cs="宋体" w:eastAsia="宋体"/>
                <w:sz w:val="24"/>
              </w:rPr>
              <w:t>,</w:t>
            </w:r>
            <w:r>
              <w:rPr>
                <w:rFonts w:ascii="宋体" w:hAnsi="宋体" w:cs="宋体" w:eastAsia="宋体"/>
                <w:sz w:val="24"/>
              </w:rPr>
              <w:t>从而有效提高业务部门的工作效率。</w:t>
            </w:r>
          </w:p>
          <w:p>
            <w:pPr>
              <w:pStyle w:val="null3"/>
              <w:spacing w:before="240" w:after="240"/>
              <w:jc w:val="both"/>
              <w:outlineLvl w:val="1"/>
            </w:pPr>
            <w:r>
              <w:rPr>
                <w:rFonts w:ascii="黑体" w:hAnsi="黑体" w:cs="黑体" w:eastAsia="黑体"/>
                <w:b/>
                <w:sz w:val="24"/>
              </w:rPr>
              <w:t>2.招标范围</w:t>
            </w:r>
          </w:p>
          <w:p>
            <w:pPr>
              <w:pStyle w:val="null3"/>
              <w:ind w:firstLine="480"/>
              <w:jc w:val="both"/>
            </w:pPr>
            <w:r>
              <w:rPr>
                <w:rFonts w:ascii="宋体" w:hAnsi="宋体" w:cs="宋体" w:eastAsia="宋体"/>
                <w:sz w:val="21"/>
              </w:rPr>
              <w:t>《陕西省公安厅交警总队省级道路交通安全指挥中心项目》的所有建设内容及指挥中心运行所使用的各业务</w:t>
            </w:r>
            <w:r>
              <w:rPr>
                <w:rFonts w:ascii="宋体" w:hAnsi="宋体" w:cs="宋体" w:eastAsia="宋体"/>
                <w:sz w:val="21"/>
              </w:rPr>
              <w:t>平台及</w:t>
            </w:r>
            <w:r>
              <w:rPr>
                <w:rFonts w:ascii="宋体" w:hAnsi="宋体" w:cs="宋体" w:eastAsia="宋体"/>
                <w:sz w:val="21"/>
              </w:rPr>
              <w:t>基础设施的</w:t>
            </w:r>
            <w:r>
              <w:rPr>
                <w:rFonts w:ascii="宋体" w:hAnsi="宋体" w:cs="宋体" w:eastAsia="宋体"/>
                <w:sz w:val="21"/>
              </w:rPr>
              <w:t>运行维护。</w:t>
            </w:r>
          </w:p>
          <w:p>
            <w:pPr>
              <w:pStyle w:val="null3"/>
              <w:ind w:firstLine="480"/>
              <w:jc w:val="both"/>
            </w:pPr>
            <w:r>
              <w:rPr>
                <w:rFonts w:ascii="宋体" w:hAnsi="宋体" w:cs="宋体" w:eastAsia="宋体"/>
                <w:sz w:val="24"/>
              </w:rPr>
              <w:t>包括</w:t>
            </w:r>
            <w:r>
              <w:rPr>
                <w:rFonts w:ascii="宋体" w:hAnsi="宋体" w:cs="宋体" w:eastAsia="宋体"/>
                <w:sz w:val="24"/>
              </w:rPr>
              <w:t>陕西省公安厅交警总队省级道路交通安全指挥中心现有空调新风、动力监控、</w:t>
            </w:r>
            <w:r>
              <w:rPr>
                <w:rFonts w:ascii="calibri" w:hAnsi="calibri" w:cs="calibri" w:eastAsia="calibri"/>
                <w:sz w:val="24"/>
              </w:rPr>
              <w:t>UPS</w:t>
            </w:r>
            <w:r>
              <w:rPr>
                <w:rFonts w:ascii="宋体" w:hAnsi="宋体" w:cs="宋体" w:eastAsia="宋体"/>
                <w:sz w:val="24"/>
              </w:rPr>
              <w:t>、配电消防、综合布线等系统的软硬件基础设施运维，以及指挥中心网络安全定期检查维护，会议系统、大屏显示系统以及办公设备等公共支撑平台的运维，高分可视化、视频监控、应急指挥及、警车</w:t>
            </w:r>
            <w:r>
              <w:rPr>
                <w:rFonts w:ascii="calibri" w:hAnsi="calibri" w:cs="calibri" w:eastAsia="calibri"/>
                <w:sz w:val="24"/>
              </w:rPr>
              <w:t>BD</w:t>
            </w:r>
            <w:r>
              <w:rPr>
                <w:rFonts w:ascii="宋体" w:hAnsi="宋体" w:cs="宋体" w:eastAsia="宋体"/>
                <w:sz w:val="24"/>
              </w:rPr>
              <w:t>定位系统等业务平台进行日常巡检、维护、保养，及故障应急处理。</w:t>
            </w:r>
          </w:p>
          <w:p>
            <w:pPr>
              <w:pStyle w:val="null3"/>
              <w:spacing w:before="240" w:after="240"/>
              <w:jc w:val="both"/>
              <w:outlineLvl w:val="1"/>
            </w:pPr>
            <w:r>
              <w:rPr>
                <w:rFonts w:ascii="黑体" w:hAnsi="黑体" w:cs="黑体" w:eastAsia="黑体"/>
                <w:b/>
                <w:sz w:val="24"/>
              </w:rPr>
              <w:t>3.维保范围及内容</w:t>
            </w:r>
          </w:p>
          <w:p>
            <w:pPr>
              <w:pStyle w:val="null3"/>
              <w:ind w:firstLine="480"/>
              <w:jc w:val="both"/>
            </w:pPr>
            <w:r>
              <w:rPr>
                <w:rFonts w:ascii="宋体" w:hAnsi="宋体" w:cs="宋体" w:eastAsia="宋体"/>
                <w:sz w:val="21"/>
              </w:rPr>
              <w:t>《陕西省公安厅交警总队省级道路交通安全指挥中心项目》的所有建设内容及指挥中心运行所使用的各业务</w:t>
            </w:r>
            <w:r>
              <w:rPr>
                <w:rFonts w:ascii="宋体" w:hAnsi="宋体" w:cs="宋体" w:eastAsia="宋体"/>
                <w:sz w:val="21"/>
              </w:rPr>
              <w:t>平台及</w:t>
            </w:r>
            <w:r>
              <w:rPr>
                <w:rFonts w:ascii="宋体" w:hAnsi="宋体" w:cs="宋体" w:eastAsia="宋体"/>
                <w:sz w:val="21"/>
              </w:rPr>
              <w:t>基础设施的</w:t>
            </w:r>
            <w:r>
              <w:rPr>
                <w:rFonts w:ascii="宋体" w:hAnsi="宋体" w:cs="宋体" w:eastAsia="宋体"/>
                <w:sz w:val="21"/>
              </w:rPr>
              <w:t>运行维护。</w:t>
            </w:r>
          </w:p>
          <w:p>
            <w:pPr>
              <w:pStyle w:val="null3"/>
              <w:jc w:val="both"/>
              <w:outlineLvl w:val="2"/>
            </w:pPr>
            <w:r>
              <w:rPr>
                <w:rFonts w:ascii="黑体" w:hAnsi="黑体" w:cs="黑体" w:eastAsia="黑体"/>
                <w:b/>
                <w:sz w:val="24"/>
              </w:rPr>
              <w:t>3.1维保内容</w:t>
            </w:r>
          </w:p>
          <w:p>
            <w:pPr>
              <w:pStyle w:val="null3"/>
              <w:jc w:val="center"/>
            </w:pPr>
            <w:r>
              <w:rPr>
                <w:rFonts w:ascii="calibri" w:hAnsi="calibri" w:cs="calibri" w:eastAsia="calibri"/>
                <w:sz w:val="21"/>
              </w:rPr>
              <w:t>(</w:t>
            </w:r>
            <w:r>
              <w:rPr>
                <w:rFonts w:ascii="宋体" w:hAnsi="宋体" w:cs="宋体" w:eastAsia="宋体"/>
                <w:sz w:val="21"/>
              </w:rPr>
              <w:t>一</w:t>
            </w:r>
            <w:r>
              <w:rPr>
                <w:rFonts w:ascii="calibri" w:hAnsi="calibri" w:cs="calibri" w:eastAsia="calibri"/>
                <w:sz w:val="21"/>
              </w:rPr>
              <w:t xml:space="preserve">)   </w:t>
            </w:r>
            <w:r>
              <w:rPr>
                <w:rFonts w:ascii="宋体" w:hAnsi="宋体" w:cs="宋体" w:eastAsia="宋体"/>
                <w:sz w:val="21"/>
              </w:rPr>
              <w:t>基础软硬件维保</w:t>
            </w:r>
          </w:p>
          <w:tbl>
            <w:tblPr>
              <w:tblBorders>
                <w:top w:val="none" w:color="000000" w:sz="4"/>
                <w:left w:val="none" w:color="000000" w:sz="4"/>
                <w:bottom w:val="none" w:color="000000" w:sz="4"/>
                <w:right w:val="none" w:color="000000" w:sz="4"/>
                <w:insideH w:val="none"/>
                <w:insideV w:val="none"/>
              </w:tblBorders>
            </w:tblPr>
            <w:tblGrid>
              <w:gridCol w:w="191"/>
              <w:gridCol w:w="524"/>
              <w:gridCol w:w="702"/>
              <w:gridCol w:w="382"/>
              <w:gridCol w:w="186"/>
              <w:gridCol w:w="217"/>
              <w:gridCol w:w="329"/>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序号</w:t>
                  </w: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名称</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型号规格</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品牌</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单位</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数量</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安装地点</w:t>
                  </w:r>
                </w:p>
              </w:tc>
            </w:tr>
            <w:tr>
              <w:tc>
                <w:tcPr>
                  <w:tcW w:type="dxa" w:w="22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1</w:t>
                  </w:r>
                  <w:r>
                    <w:rPr>
                      <w:rFonts w:ascii="宋体" w:hAnsi="宋体" w:cs="宋体" w:eastAsia="宋体"/>
                      <w:b/>
                      <w:sz w:val="22"/>
                    </w:rPr>
                    <w:t>、</w:t>
                  </w:r>
                  <w:r>
                    <w:rPr>
                      <w:rFonts w:ascii="宋体" w:hAnsi="宋体" w:cs="宋体" w:eastAsia="宋体"/>
                      <w:b/>
                      <w:sz w:val="22"/>
                    </w:rPr>
                    <w:t>UPS</w:t>
                  </w:r>
                  <w:r>
                    <w:rPr>
                      <w:rFonts w:ascii="宋体" w:hAnsi="宋体" w:cs="宋体" w:eastAsia="宋体"/>
                      <w:b/>
                      <w:sz w:val="22"/>
                    </w:rPr>
                    <w:t>系统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UPS</w:t>
                  </w:r>
                  <w:r>
                    <w:rPr>
                      <w:rFonts w:ascii="宋体" w:hAnsi="宋体" w:cs="宋体" w:eastAsia="宋体"/>
                      <w:sz w:val="22"/>
                    </w:rPr>
                    <w:t>电源柜</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150KV</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华为</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负一层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蓄电池</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MF12-200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维基</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320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负一层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电池开关柜</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250A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陕西博华</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负一层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UPS</w:t>
                  </w:r>
                  <w:r>
                    <w:rPr>
                      <w:rFonts w:ascii="宋体" w:hAnsi="宋体" w:cs="宋体" w:eastAsia="宋体"/>
                      <w:sz w:val="22"/>
                    </w:rPr>
                    <w:t>电源柜</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UPS5000-E-125kVA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华为</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负一层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蓄电池</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MF12-200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维基</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80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负一层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总配电柜</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630A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陕西博华</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负一层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UPS</w:t>
                  </w:r>
                  <w:r>
                    <w:rPr>
                      <w:rFonts w:ascii="宋体" w:hAnsi="宋体" w:cs="宋体" w:eastAsia="宋体"/>
                      <w:sz w:val="22"/>
                    </w:rPr>
                    <w:t>输入输出配电柜</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250A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陕西博华</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负一层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精密配电柜</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250A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陕西博华</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负一层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精密配电柜</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250A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陕西博华</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负一层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精密配电列头柜</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320A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陕西博华</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负一层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电池开关箱</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250A/3P</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陕西博华</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负一层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安全出口灯</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壁装；</w:t>
                  </w:r>
                </w:p>
                <w:p>
                  <w:pPr>
                    <w:pStyle w:val="null3"/>
                    <w:jc w:val="center"/>
                  </w:pPr>
                  <w:r>
                    <w:rPr>
                      <w:rFonts w:ascii="宋体" w:hAnsi="宋体" w:cs="宋体" w:eastAsia="宋体"/>
                      <w:sz w:val="22"/>
                    </w:rPr>
                    <w:t>含安装</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敏华</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负一层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疏散标志灯</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壁装；</w:t>
                  </w:r>
                </w:p>
                <w:p>
                  <w:pPr>
                    <w:pStyle w:val="null3"/>
                    <w:jc w:val="center"/>
                  </w:pPr>
                  <w:r>
                    <w:rPr>
                      <w:rFonts w:ascii="宋体" w:hAnsi="宋体" w:cs="宋体" w:eastAsia="宋体"/>
                      <w:sz w:val="22"/>
                    </w:rPr>
                    <w:t>含安装</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敏华</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负一层</w:t>
                  </w:r>
                </w:p>
              </w:tc>
            </w:tr>
            <w:tr>
              <w:tc>
                <w:tcPr>
                  <w:tcW w:type="dxa" w:w="22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2</w:t>
                  </w:r>
                  <w:r>
                    <w:rPr>
                      <w:rFonts w:ascii="宋体" w:hAnsi="宋体" w:cs="宋体" w:eastAsia="宋体"/>
                      <w:b/>
                      <w:sz w:val="22"/>
                    </w:rPr>
                    <w:t>、空调系统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中央空调</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KFR-72LW/NhZbB1W</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格力</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直流变频空调室外机（</w:t>
                  </w:r>
                  <w:r>
                    <w:rPr>
                      <w:rFonts w:ascii="宋体" w:hAnsi="宋体" w:cs="宋体" w:eastAsia="宋体"/>
                      <w:sz w:val="22"/>
                    </w:rPr>
                    <w:t>Σ室外机）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RHXYQ38BAH</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含安装或组装、调试</w:t>
                  </w:r>
                </w:p>
                <w:p>
                  <w:pPr>
                    <w:pStyle w:val="null3"/>
                    <w:jc w:val="center"/>
                  </w:pPr>
                  <w:r>
                    <w:rPr>
                      <w:rFonts w:ascii="宋体" w:hAnsi="宋体" w:cs="宋体" w:eastAsia="宋体"/>
                      <w:sz w:val="22"/>
                    </w:rPr>
                    <w:t>2.</w:t>
                  </w:r>
                  <w:r>
                    <w:rPr>
                      <w:rFonts w:ascii="宋体" w:hAnsi="宋体" w:cs="宋体" w:eastAsia="宋体"/>
                      <w:sz w:val="22"/>
                    </w:rPr>
                    <w:t>设备支架制作、安装</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大金</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五楼楼顶</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天花板内置低静压风管（中静压室内机）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FZSP125BAN</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含安装或组装、调试</w:t>
                  </w:r>
                </w:p>
                <w:p>
                  <w:pPr>
                    <w:pStyle w:val="null3"/>
                    <w:jc w:val="center"/>
                  </w:pPr>
                  <w:r>
                    <w:rPr>
                      <w:rFonts w:ascii="宋体" w:hAnsi="宋体" w:cs="宋体" w:eastAsia="宋体"/>
                      <w:sz w:val="22"/>
                    </w:rPr>
                    <w:t>2.</w:t>
                  </w:r>
                  <w:r>
                    <w:rPr>
                      <w:rFonts w:ascii="宋体" w:hAnsi="宋体" w:cs="宋体" w:eastAsia="宋体"/>
                      <w:sz w:val="22"/>
                    </w:rPr>
                    <w:t>设备支架制作、安装</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大金</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室内机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FZSP140BAN</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大金</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室内机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FZSP80BAN</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大金</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室内机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FZSP56BAN</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大金</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SKYair</w:t>
                  </w:r>
                  <w:r>
                    <w:rPr>
                      <w:rFonts w:ascii="宋体" w:hAnsi="宋体" w:cs="宋体" w:eastAsia="宋体"/>
                      <w:sz w:val="22"/>
                    </w:rPr>
                    <w:t>室外机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RSQ200BAY</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大金</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五楼楼顶</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中静压室内机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FSSP100CA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大金</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分体式风管机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FNBQ203</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大金</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列间空调</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NetCol5000-A042H</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华为</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列间空调</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NetCol5000-A025H</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华为</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精密空调</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NetCol8000-A013U40E0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华为</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负一层</w:t>
                  </w:r>
                </w:p>
              </w:tc>
            </w:tr>
            <w:tr>
              <w:tc>
                <w:tcPr>
                  <w:tcW w:type="dxa" w:w="22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3</w:t>
                  </w:r>
                  <w:r>
                    <w:rPr>
                      <w:rFonts w:ascii="宋体" w:hAnsi="宋体" w:cs="宋体" w:eastAsia="宋体"/>
                      <w:b/>
                      <w:sz w:val="22"/>
                    </w:rPr>
                    <w:t>、视频会议系统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高清摄像机</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MOON</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科达</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视频会议终端</w:t>
                  </w:r>
                  <w:r>
                    <w:rPr>
                      <w:rFonts w:ascii="calibri" w:hAnsi="calibri" w:cs="calibri" w:eastAsia="calibri"/>
                      <w:sz w:val="21"/>
                    </w:rPr>
                    <w:t xml:space="preserve">   </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H800-J</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科达</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1080P</w:t>
                  </w:r>
                  <w:r>
                    <w:rPr>
                      <w:rFonts w:ascii="宋体" w:hAnsi="宋体" w:cs="宋体" w:eastAsia="宋体"/>
                      <w:sz w:val="22"/>
                    </w:rPr>
                    <w:t>高清数字录播</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VRS2100-J</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科达</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25"/>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会议管理平台</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JDS-6000J</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科达</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22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3</w:t>
                  </w:r>
                  <w:r>
                    <w:rPr>
                      <w:rFonts w:ascii="宋体" w:hAnsi="宋体" w:cs="宋体" w:eastAsia="宋体"/>
                      <w:b/>
                      <w:sz w:val="22"/>
                    </w:rPr>
                    <w:t>、通风系统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新风机</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XD-5000</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天方沐风</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新风机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XD-1500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天方</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22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4</w:t>
                  </w:r>
                  <w:r>
                    <w:rPr>
                      <w:rFonts w:ascii="宋体" w:hAnsi="宋体" w:cs="宋体" w:eastAsia="宋体"/>
                      <w:b/>
                      <w:sz w:val="22"/>
                    </w:rPr>
                    <w:t>、环境集中监控系统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模块</w:t>
                  </w:r>
                  <w:r>
                    <w:rPr>
                      <w:rFonts w:ascii="宋体" w:hAnsi="宋体" w:cs="宋体" w:eastAsia="宋体"/>
                      <w:sz w:val="22"/>
                    </w:rPr>
                    <w:t>(</w:t>
                  </w:r>
                  <w:r>
                    <w:rPr>
                      <w:rFonts w:ascii="宋体" w:hAnsi="宋体" w:cs="宋体" w:eastAsia="宋体"/>
                      <w:sz w:val="22"/>
                    </w:rPr>
                    <w:t>模块箱）</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电量监测模块</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软件</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电量模块协议转化软件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模块</w:t>
                  </w:r>
                  <w:r>
                    <w:rPr>
                      <w:rFonts w:ascii="宋体" w:hAnsi="宋体" w:cs="宋体" w:eastAsia="宋体"/>
                      <w:sz w:val="22"/>
                    </w:rPr>
                    <w:t>(</w:t>
                  </w:r>
                  <w:r>
                    <w:rPr>
                      <w:rFonts w:ascii="宋体" w:hAnsi="宋体" w:cs="宋体" w:eastAsia="宋体"/>
                      <w:sz w:val="22"/>
                    </w:rPr>
                    <w:t>模块箱）</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智能列头柜监测</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模块</w:t>
                  </w:r>
                  <w:r>
                    <w:rPr>
                      <w:rFonts w:ascii="宋体" w:hAnsi="宋体" w:cs="宋体" w:eastAsia="宋体"/>
                      <w:sz w:val="22"/>
                    </w:rPr>
                    <w:t>(</w:t>
                  </w:r>
                  <w:r>
                    <w:rPr>
                      <w:rFonts w:ascii="宋体" w:hAnsi="宋体" w:cs="宋体" w:eastAsia="宋体"/>
                      <w:sz w:val="22"/>
                    </w:rPr>
                    <w:t>模块箱）</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开关状态转换采集模块</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模块</w:t>
                  </w:r>
                  <w:r>
                    <w:rPr>
                      <w:rFonts w:ascii="宋体" w:hAnsi="宋体" w:cs="宋体" w:eastAsia="宋体"/>
                      <w:sz w:val="22"/>
                    </w:rPr>
                    <w:t>(</w:t>
                  </w:r>
                  <w:r>
                    <w:rPr>
                      <w:rFonts w:ascii="宋体" w:hAnsi="宋体" w:cs="宋体" w:eastAsia="宋体"/>
                      <w:sz w:val="22"/>
                    </w:rPr>
                    <w:t>模块箱）</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防雷状态监测</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电量模块协议转化软件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模块</w:t>
                  </w:r>
                  <w:r>
                    <w:rPr>
                      <w:rFonts w:ascii="宋体" w:hAnsi="宋体" w:cs="宋体" w:eastAsia="宋体"/>
                      <w:sz w:val="22"/>
                    </w:rPr>
                    <w:t>(</w:t>
                  </w:r>
                  <w:r>
                    <w:rPr>
                      <w:rFonts w:ascii="宋体" w:hAnsi="宋体" w:cs="宋体" w:eastAsia="宋体"/>
                      <w:sz w:val="22"/>
                    </w:rPr>
                    <w:t>模块箱）</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电池监测集中收敛器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华塑</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模块</w:t>
                  </w:r>
                  <w:r>
                    <w:rPr>
                      <w:rFonts w:ascii="宋体" w:hAnsi="宋体" w:cs="宋体" w:eastAsia="宋体"/>
                      <w:sz w:val="22"/>
                    </w:rPr>
                    <w:t>(</w:t>
                  </w:r>
                  <w:r>
                    <w:rPr>
                      <w:rFonts w:ascii="宋体" w:hAnsi="宋体" w:cs="宋体" w:eastAsia="宋体"/>
                      <w:sz w:val="22"/>
                    </w:rPr>
                    <w:t>模块箱）</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电池监测模块</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华塑</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模块</w:t>
                  </w:r>
                  <w:r>
                    <w:rPr>
                      <w:rFonts w:ascii="宋体" w:hAnsi="宋体" w:cs="宋体" w:eastAsia="宋体"/>
                      <w:sz w:val="22"/>
                    </w:rPr>
                    <w:t>(</w:t>
                  </w:r>
                  <w:r>
                    <w:rPr>
                      <w:rFonts w:ascii="宋体" w:hAnsi="宋体" w:cs="宋体" w:eastAsia="宋体"/>
                      <w:sz w:val="22"/>
                    </w:rPr>
                    <w:t>模块箱）</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电池监测模块</w:t>
                  </w:r>
                </w:p>
                <w:p>
                  <w:pPr>
                    <w:pStyle w:val="null3"/>
                    <w:jc w:val="center"/>
                  </w:pPr>
                  <w:r>
                    <w:rPr>
                      <w:rFonts w:ascii="宋体" w:hAnsi="宋体" w:cs="宋体" w:eastAsia="宋体"/>
                      <w:sz w:val="22"/>
                    </w:rPr>
                    <w:t>2.</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华塑</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400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软件</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蓄电池监测协议转化软件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电动、电磁阀门</w:t>
                  </w:r>
                  <w:r>
                    <w:rPr>
                      <w:rFonts w:ascii="宋体" w:hAnsi="宋体" w:cs="宋体" w:eastAsia="宋体"/>
                      <w:sz w:val="22"/>
                    </w:rPr>
                    <w:t></w:t>
                  </w:r>
                </w:p>
                <w:p>
                  <w:pPr>
                    <w:pStyle w:val="null3"/>
                    <w:jc w:val="center"/>
                  </w:pPr>
                  <w:r>
                    <w:rPr>
                      <w:rFonts w:ascii="宋体" w:hAnsi="宋体" w:cs="宋体" w:eastAsia="宋体"/>
                      <w:sz w:val="22"/>
                    </w:rPr>
                    <w:t>[</w:t>
                  </w:r>
                  <w:r>
                    <w:rPr>
                      <w:rFonts w:ascii="宋体" w:hAnsi="宋体" w:cs="宋体" w:eastAsia="宋体"/>
                      <w:sz w:val="22"/>
                    </w:rPr>
                    <w:t>项目特征</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微压差开关</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模块</w:t>
                  </w:r>
                  <w:r>
                    <w:rPr>
                      <w:rFonts w:ascii="宋体" w:hAnsi="宋体" w:cs="宋体" w:eastAsia="宋体"/>
                      <w:sz w:val="22"/>
                    </w:rPr>
                    <w:t>(</w:t>
                  </w:r>
                  <w:r>
                    <w:rPr>
                      <w:rFonts w:ascii="宋体" w:hAnsi="宋体" w:cs="宋体" w:eastAsia="宋体"/>
                      <w:sz w:val="22"/>
                    </w:rPr>
                    <w:t>模块箱）</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新风机采控模块</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点型探测器</w:t>
                  </w:r>
                  <w:r>
                    <w:rPr>
                      <w:rFonts w:ascii="宋体" w:hAnsi="宋体" w:cs="宋体" w:eastAsia="宋体"/>
                      <w:sz w:val="22"/>
                    </w:rPr>
                    <w:t></w:t>
                  </w:r>
                </w:p>
                <w:p>
                  <w:pPr>
                    <w:pStyle w:val="null3"/>
                    <w:jc w:val="center"/>
                  </w:pPr>
                  <w:r>
                    <w:rPr>
                      <w:rFonts w:ascii="宋体" w:hAnsi="宋体" w:cs="宋体" w:eastAsia="宋体"/>
                      <w:sz w:val="22"/>
                    </w:rPr>
                    <w:t>[</w:t>
                  </w:r>
                  <w:r>
                    <w:rPr>
                      <w:rFonts w:ascii="宋体" w:hAnsi="宋体" w:cs="宋体" w:eastAsia="宋体"/>
                      <w:sz w:val="22"/>
                    </w:rPr>
                    <w:t>项目特征</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人体移动探测器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豪恩</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模块</w:t>
                  </w:r>
                  <w:r>
                    <w:rPr>
                      <w:rFonts w:ascii="宋体" w:hAnsi="宋体" w:cs="宋体" w:eastAsia="宋体"/>
                      <w:sz w:val="22"/>
                    </w:rPr>
                    <w:t>(</w:t>
                  </w:r>
                  <w:r>
                    <w:rPr>
                      <w:rFonts w:ascii="宋体" w:hAnsi="宋体" w:cs="宋体" w:eastAsia="宋体"/>
                      <w:sz w:val="22"/>
                    </w:rPr>
                    <w:t>模块箱）</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通讯模块</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软件</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精密空调协议转化软件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控制器</w:t>
                  </w:r>
                  <w:r>
                    <w:rPr>
                      <w:rFonts w:ascii="宋体" w:hAnsi="宋体" w:cs="宋体" w:eastAsia="宋体"/>
                      <w:sz w:val="22"/>
                    </w:rPr>
                    <w:t></w:t>
                  </w:r>
                </w:p>
                <w:p>
                  <w:pPr>
                    <w:pStyle w:val="null3"/>
                    <w:jc w:val="center"/>
                  </w:pPr>
                  <w:r>
                    <w:rPr>
                      <w:rFonts w:ascii="宋体" w:hAnsi="宋体" w:cs="宋体" w:eastAsia="宋体"/>
                      <w:sz w:val="22"/>
                    </w:rPr>
                    <w:t>[</w:t>
                  </w:r>
                  <w:r>
                    <w:rPr>
                      <w:rFonts w:ascii="宋体" w:hAnsi="宋体" w:cs="宋体" w:eastAsia="宋体"/>
                      <w:sz w:val="22"/>
                    </w:rPr>
                    <w:t>项目特征</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漏水检测控制器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模块</w:t>
                  </w:r>
                  <w:r>
                    <w:rPr>
                      <w:rFonts w:ascii="宋体" w:hAnsi="宋体" w:cs="宋体" w:eastAsia="宋体"/>
                      <w:sz w:val="22"/>
                    </w:rPr>
                    <w:t>(</w:t>
                  </w:r>
                  <w:r>
                    <w:rPr>
                      <w:rFonts w:ascii="宋体" w:hAnsi="宋体" w:cs="宋体" w:eastAsia="宋体"/>
                      <w:sz w:val="22"/>
                    </w:rPr>
                    <w:t>模块箱）</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漏水监测协议转化模块</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入侵报警控制器</w:t>
                  </w:r>
                  <w:r>
                    <w:rPr>
                      <w:rFonts w:ascii="宋体" w:hAnsi="宋体" w:cs="宋体" w:eastAsia="宋体"/>
                      <w:sz w:val="22"/>
                    </w:rPr>
                    <w:t></w:t>
                  </w:r>
                </w:p>
                <w:p>
                  <w:pPr>
                    <w:pStyle w:val="null3"/>
                    <w:jc w:val="center"/>
                  </w:pPr>
                  <w:r>
                    <w:rPr>
                      <w:rFonts w:ascii="宋体" w:hAnsi="宋体" w:cs="宋体" w:eastAsia="宋体"/>
                      <w:sz w:val="22"/>
                    </w:rPr>
                    <w:t>[</w:t>
                  </w:r>
                  <w:r>
                    <w:rPr>
                      <w:rFonts w:ascii="宋体" w:hAnsi="宋体" w:cs="宋体" w:eastAsia="宋体"/>
                      <w:sz w:val="22"/>
                    </w:rPr>
                    <w:t>项目特征</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二门门禁控制器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软件</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消防检测协议转化软件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模块</w:t>
                  </w:r>
                  <w:r>
                    <w:rPr>
                      <w:rFonts w:ascii="宋体" w:hAnsi="宋体" w:cs="宋体" w:eastAsia="宋体"/>
                      <w:sz w:val="22"/>
                    </w:rPr>
                    <w:t>(</w:t>
                  </w:r>
                  <w:r>
                    <w:rPr>
                      <w:rFonts w:ascii="宋体" w:hAnsi="宋体" w:cs="宋体" w:eastAsia="宋体"/>
                      <w:sz w:val="22"/>
                    </w:rPr>
                    <w:t>模块箱）</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数字量采集模块</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软件</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视频监控软件集成</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控制设备</w:t>
                  </w:r>
                  <w:r>
                    <w:rPr>
                      <w:rFonts w:ascii="宋体" w:hAnsi="宋体" w:cs="宋体" w:eastAsia="宋体"/>
                      <w:sz w:val="22"/>
                    </w:rPr>
                    <w:t></w:t>
                  </w:r>
                </w:p>
                <w:p>
                  <w:pPr>
                    <w:pStyle w:val="null3"/>
                    <w:jc w:val="center"/>
                  </w:pPr>
                  <w:r>
                    <w:rPr>
                      <w:rFonts w:ascii="宋体" w:hAnsi="宋体" w:cs="宋体" w:eastAsia="宋体"/>
                      <w:sz w:val="22"/>
                    </w:rPr>
                    <w:t>[</w:t>
                  </w:r>
                  <w:r>
                    <w:rPr>
                      <w:rFonts w:ascii="宋体" w:hAnsi="宋体" w:cs="宋体" w:eastAsia="宋体"/>
                      <w:sz w:val="22"/>
                    </w:rPr>
                    <w:t>项目特征</w:t>
                  </w:r>
                  <w:r>
                    <w:rPr>
                      <w:rFonts w:ascii="宋体" w:hAnsi="宋体" w:cs="宋体" w:eastAsia="宋体"/>
                      <w:sz w:val="22"/>
                    </w:rPr>
                    <w:t>]</w:t>
                  </w:r>
                </w:p>
                <w:p>
                  <w:pPr>
                    <w:pStyle w:val="null3"/>
                    <w:jc w:val="center"/>
                  </w:pPr>
                  <w:r>
                    <w:rPr>
                      <w:rFonts w:ascii="宋体" w:hAnsi="宋体" w:cs="宋体" w:eastAsia="宋体"/>
                      <w:sz w:val="22"/>
                    </w:rPr>
                    <w:t>1.</w:t>
                  </w:r>
                  <w:r>
                    <w:rPr>
                      <w:rFonts w:ascii="宋体" w:hAnsi="宋体" w:cs="宋体" w:eastAsia="宋体"/>
                      <w:sz w:val="22"/>
                    </w:rPr>
                    <w:t>名称</w:t>
                  </w:r>
                  <w:r>
                    <w:rPr>
                      <w:rFonts w:ascii="宋体" w:hAnsi="宋体" w:cs="宋体" w:eastAsia="宋体"/>
                      <w:sz w:val="22"/>
                    </w:rPr>
                    <w:t>:</w:t>
                  </w:r>
                  <w:r>
                    <w:rPr>
                      <w:rFonts w:ascii="宋体" w:hAnsi="宋体" w:cs="宋体" w:eastAsia="宋体"/>
                      <w:sz w:val="22"/>
                    </w:rPr>
                    <w:t>机房监控主机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信号采集箱</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机房监控系统软件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电话语音报警系统</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BDTK-tel</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短消息报警及查询系统</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BDTK-sms</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现场声光报警系统</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BDTK-alarm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串口服务器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MOXA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摩莎</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信号采集箱</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JXF</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温湿度传感器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TH11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温湿度监测协议转换软件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BDTK-th</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博达通控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项</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22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5</w:t>
                  </w:r>
                  <w:r>
                    <w:rPr>
                      <w:rFonts w:ascii="宋体" w:hAnsi="宋体" w:cs="宋体" w:eastAsia="宋体"/>
                      <w:b/>
                      <w:sz w:val="22"/>
                    </w:rPr>
                    <w:t>、控制台</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控制台</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MT-P-K</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6</w:t>
                  </w:r>
                  <w:r>
                    <w:rPr>
                      <w:rFonts w:ascii="宋体" w:hAnsi="宋体" w:cs="宋体" w:eastAsia="宋体"/>
                      <w:b/>
                      <w:sz w:val="22"/>
                    </w:rPr>
                    <w:t>、门禁系统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读卡器</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TA1200</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中控</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出入口控制设备</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PORIS210NT2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宝瑞</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出入口目标识别设备</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BTG</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出入口控制设备</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DC12V</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视频监控摄像机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DS2CD3320I</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监控摄像设备</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TA1200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出入口控制设备</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PORIS210NT2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宝瑞</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出入口目标识别设备</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BTG</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中控</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出入口控制设备</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DC12V</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中控</w:t>
                  </w:r>
                  <w:r>
                    <w:rPr>
                      <w:rFonts w:ascii="宋体" w:hAnsi="宋体" w:cs="宋体" w:eastAsia="宋体"/>
                      <w:sz w:val="22"/>
                    </w:rPr>
                    <w:t>DC12V</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硬盘录像机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DS7816N</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海康威视</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监控硬盘</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3T</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希捷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视频监控摄像机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DS2CD3320I</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海康威视</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POE</w:t>
                  </w:r>
                  <w:r>
                    <w:rPr>
                      <w:rFonts w:ascii="宋体" w:hAnsi="宋体" w:cs="宋体" w:eastAsia="宋体"/>
                      <w:sz w:val="22"/>
                    </w:rPr>
                    <w:t>交换机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千兆以太网交换机</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锐捷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22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7</w:t>
                  </w:r>
                  <w:r>
                    <w:rPr>
                      <w:rFonts w:ascii="宋体" w:hAnsi="宋体" w:cs="宋体" w:eastAsia="宋体"/>
                      <w:b/>
                      <w:sz w:val="22"/>
                    </w:rPr>
                    <w:t>、消防系统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感温探测器</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JTW-ZCD-G3N</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感烟探测器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JTY-GD-G3T</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声光报警器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按钮</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荧光灯</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联动控制主机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贮存装置</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70L</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磐龙</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灭火药剂</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七氟丙烷药剂</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磐龙</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kg</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柜式七氟丙烷气体灭火装置</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GQQ90/2.5-PAVLN</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磐龙</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七氟丙烷灭火药剂</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HFC227ea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磐龙</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公斤</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360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感温探测器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JTW-ZCD-G3N</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感烟探测器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JTY-GD-G3T</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火灾声光报警器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GST-HX-200B</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气体喷洒指示灯</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GST-LD-8317</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紧急起停按钮</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GST-LD-8318</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气体灭火报警主机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GST-QP01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感温探测器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JTW-ZCD-G3N</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感烟探测器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JTY-GD-G3T</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声光报警器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贮存装置</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灭火器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具</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模块箱</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按钮</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荧光灯</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火灾报警系统控制主机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联动控制主机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海湾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8</w:t>
                  </w:r>
                  <w:r>
                    <w:rPr>
                      <w:rFonts w:ascii="宋体" w:hAnsi="宋体" w:cs="宋体" w:eastAsia="宋体"/>
                      <w:b/>
                      <w:sz w:val="22"/>
                    </w:rPr>
                    <w:t>、综合布线系统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24</w:t>
                  </w:r>
                  <w:r>
                    <w:rPr>
                      <w:rFonts w:ascii="宋体" w:hAnsi="宋体" w:cs="宋体" w:eastAsia="宋体"/>
                      <w:sz w:val="22"/>
                    </w:rPr>
                    <w:t>口非屏蔽</w:t>
                  </w:r>
                  <w:r>
                    <w:rPr>
                      <w:rFonts w:ascii="宋体" w:hAnsi="宋体" w:cs="宋体" w:eastAsia="宋体"/>
                      <w:sz w:val="22"/>
                    </w:rPr>
                    <w:t>6</w:t>
                  </w:r>
                  <w:r>
                    <w:rPr>
                      <w:rFonts w:ascii="宋体" w:hAnsi="宋体" w:cs="宋体" w:eastAsia="宋体"/>
                      <w:sz w:val="22"/>
                    </w:rPr>
                    <w:t>类配线架</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P197-24A</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一舟</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11</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理线器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J606-2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一舟</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r>
                    <w:rPr>
                      <w:rFonts w:ascii="宋体" w:hAnsi="宋体" w:cs="宋体" w:eastAsia="宋体"/>
                      <w:sz w:val="22"/>
                    </w:rPr>
                    <w:t>类非屏蔽数据跳线</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S0200-X</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一舟</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204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24</w:t>
                  </w:r>
                  <w:r>
                    <w:rPr>
                      <w:rFonts w:ascii="宋体" w:hAnsi="宋体" w:cs="宋体" w:eastAsia="宋体"/>
                      <w:sz w:val="22"/>
                    </w:rPr>
                    <w:t>口光线配线架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S952-24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一舟</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万兆多模跳线</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S933</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一舟</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204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万兆多模尾纤</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S817</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一舟</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根</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408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12</w:t>
                  </w:r>
                  <w:r>
                    <w:rPr>
                      <w:rFonts w:ascii="宋体" w:hAnsi="宋体" w:cs="宋体" w:eastAsia="宋体"/>
                      <w:sz w:val="22"/>
                    </w:rPr>
                    <w:t>口非屏蔽</w:t>
                  </w:r>
                  <w:r>
                    <w:rPr>
                      <w:rFonts w:ascii="宋体" w:hAnsi="宋体" w:cs="宋体" w:eastAsia="宋体"/>
                      <w:sz w:val="22"/>
                    </w:rPr>
                    <w:t>6</w:t>
                  </w:r>
                  <w:r>
                    <w:rPr>
                      <w:rFonts w:ascii="宋体" w:hAnsi="宋体" w:cs="宋体" w:eastAsia="宋体"/>
                      <w:sz w:val="22"/>
                    </w:rPr>
                    <w:t>类配线架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P197-24A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一舟</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铜缆理线架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J606-2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一舟</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r>
                    <w:rPr>
                      <w:rFonts w:ascii="宋体" w:hAnsi="宋体" w:cs="宋体" w:eastAsia="宋体"/>
                      <w:sz w:val="22"/>
                    </w:rPr>
                    <w:t>类非屏蔽数据跳线</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S0200-X</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一舟</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204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24</w:t>
                  </w:r>
                  <w:r>
                    <w:rPr>
                      <w:rFonts w:ascii="宋体" w:hAnsi="宋体" w:cs="宋体" w:eastAsia="宋体"/>
                      <w:sz w:val="22"/>
                    </w:rPr>
                    <w:t>口光线配线架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S952-24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一舟</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万兆多模跳线</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S933</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一舟</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204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万兆多模尾纤</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S817</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一舟</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根</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408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r>
                    <w:rPr>
                      <w:rFonts w:ascii="宋体" w:hAnsi="宋体" w:cs="宋体" w:eastAsia="宋体"/>
                      <w:sz w:val="22"/>
                    </w:rPr>
                    <w:t>类</w:t>
                  </w:r>
                  <w:r>
                    <w:rPr>
                      <w:rFonts w:ascii="宋体" w:hAnsi="宋体" w:cs="宋体" w:eastAsia="宋体"/>
                      <w:sz w:val="22"/>
                    </w:rPr>
                    <w:t>8</w:t>
                  </w:r>
                  <w:r>
                    <w:rPr>
                      <w:rFonts w:ascii="宋体" w:hAnsi="宋体" w:cs="宋体" w:eastAsia="宋体"/>
                      <w:sz w:val="22"/>
                    </w:rPr>
                    <w:t>芯双绞线</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D165-G</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一舟</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m</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12</w:t>
                  </w:r>
                  <w:r>
                    <w:rPr>
                      <w:rFonts w:ascii="宋体" w:hAnsi="宋体" w:cs="宋体" w:eastAsia="宋体"/>
                      <w:sz w:val="22"/>
                    </w:rPr>
                    <w:t>芯万兆多模光缆</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D172-12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一舟</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m</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260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22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10</w:t>
                  </w:r>
                  <w:r>
                    <w:rPr>
                      <w:rFonts w:ascii="宋体" w:hAnsi="宋体" w:cs="宋体" w:eastAsia="宋体"/>
                      <w:b/>
                      <w:sz w:val="22"/>
                    </w:rPr>
                    <w:t>、网络设备</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出口防火墙</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千兆防火墙</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锐捷</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以太网交换机主机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24</w:t>
                  </w:r>
                  <w:r>
                    <w:rPr>
                      <w:rFonts w:ascii="宋体" w:hAnsi="宋体" w:cs="宋体" w:eastAsia="宋体"/>
                      <w:sz w:val="22"/>
                    </w:rPr>
                    <w:t>口</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锐捷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专网汇聚交换机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28</w:t>
                  </w:r>
                  <w:r>
                    <w:rPr>
                      <w:rFonts w:ascii="宋体" w:hAnsi="宋体" w:cs="宋体" w:eastAsia="宋体"/>
                      <w:sz w:val="22"/>
                    </w:rPr>
                    <w:t>口</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锐捷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接入交换机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24</w:t>
                  </w:r>
                  <w:r>
                    <w:rPr>
                      <w:rFonts w:ascii="宋体" w:hAnsi="宋体" w:cs="宋体" w:eastAsia="宋体"/>
                      <w:sz w:val="22"/>
                    </w:rPr>
                    <w:t>口</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锐捷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应用控制与审计管理系统</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RG-UAC 6000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锐捷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网络智能管理平台</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SNC</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锐捷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核心交换机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S7808C</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锐捷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核心交换机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EA</w:t>
                  </w:r>
                  <w:r>
                    <w:rPr>
                      <w:rFonts w:ascii="宋体" w:hAnsi="宋体" w:cs="宋体" w:eastAsia="宋体"/>
                      <w:sz w:val="22"/>
                    </w:rPr>
                    <w:t>系列</w:t>
                  </w:r>
                  <w:r>
                    <w:rPr>
                      <w:rFonts w:ascii="宋体" w:hAnsi="宋体" w:cs="宋体" w:eastAsia="宋体"/>
                      <w:sz w:val="22"/>
                    </w:rPr>
                    <w:t>36</w:t>
                  </w:r>
                  <w:r>
                    <w:rPr>
                      <w:rFonts w:ascii="宋体" w:hAnsi="宋体" w:cs="宋体" w:eastAsia="宋体"/>
                      <w:sz w:val="22"/>
                    </w:rPr>
                    <w:t>端口千兆</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锐捷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核心交换机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 xml:space="preserve">10G Base SFP+ </w:t>
                  </w:r>
                  <w:r>
                    <w:rPr>
                      <w:rFonts w:ascii="宋体" w:hAnsi="宋体" w:cs="宋体" w:eastAsia="宋体"/>
                      <w:sz w:val="22"/>
                    </w:rPr>
                    <w:t>光纤线缆</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锐捷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核心交换机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EA</w:t>
                  </w:r>
                  <w:r>
                    <w:rPr>
                      <w:rFonts w:ascii="宋体" w:hAnsi="宋体" w:cs="宋体" w:eastAsia="宋体"/>
                      <w:sz w:val="22"/>
                    </w:rPr>
                    <w:t>系列</w:t>
                  </w:r>
                  <w:r>
                    <w:rPr>
                      <w:rFonts w:ascii="宋体" w:hAnsi="宋体" w:cs="宋体" w:eastAsia="宋体"/>
                      <w:sz w:val="22"/>
                    </w:rPr>
                    <w:t>24</w:t>
                  </w:r>
                  <w:r>
                    <w:rPr>
                      <w:rFonts w:ascii="宋体" w:hAnsi="宋体" w:cs="宋体" w:eastAsia="宋体"/>
                      <w:sz w:val="22"/>
                    </w:rPr>
                    <w:t>端口千兆</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锐捷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标准版平台</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RG-RIIL6.X-WIN-Sta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锐捷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节点资源设备监控软件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RG-RIIL6.X-LIC-100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锐捷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综合管理一体化门户系统</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RG-RIIL6.X-Portal IT</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锐捷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自动巡检管理软件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RG-RIIL6.X-INSP</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锐捷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机房监控软件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RG-RIIL6.X-IFM-Suit</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锐捷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机房接口开发软件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RG-RIIL6.X-IFM-INF</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锐捷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现场实施服务</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RG-RIIL6.X-SRV-IMP</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锐捷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22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（二）应用系统维保</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1</w:t>
                  </w:r>
                  <w:r>
                    <w:rPr>
                      <w:rFonts w:ascii="宋体" w:hAnsi="宋体" w:cs="宋体" w:eastAsia="宋体"/>
                      <w:b/>
                      <w:sz w:val="22"/>
                    </w:rPr>
                    <w:t>、高分可视化系统和视频平台应用系统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集成指挥平台对接</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定制开发</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昱鑫</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六合一平台对接</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定制开发</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昱鑫</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警车定位系统对接</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定制开发</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昱鑫</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中心管理单元</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PVG-YCMS</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东方网力东方网力</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媒体转发单元</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PVG-Yfs</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东方网力东方网力</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录像点播单元</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PVG-Yss</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东方网力东方网力</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车辆资源联网服务单元</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PVG-Yiod</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东方网力东方网力</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基础服务单元</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PVG-Yweb   PVG-Ygb</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东方网力东方网力</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应用服务单元</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PVG-Ygbfs</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东方网力东方网力</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服务器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NF5072M4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浪潮</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服务器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NF5072M4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浪潮</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数据服务器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NF5072M4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浪潮</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控制设备</w:t>
                  </w:r>
                  <w:r>
                    <w:rPr>
                      <w:rFonts w:ascii="宋体" w:hAnsi="宋体" w:cs="宋体" w:eastAsia="宋体"/>
                      <w:sz w:val="22"/>
                    </w:rPr>
                    <w:t></w:t>
                  </w:r>
                </w:p>
                <w:p>
                  <w:pPr>
                    <w:pStyle w:val="null3"/>
                    <w:jc w:val="center"/>
                  </w:pPr>
                  <w:r>
                    <w:rPr>
                      <w:rFonts w:ascii="宋体" w:hAnsi="宋体" w:cs="宋体" w:eastAsia="宋体"/>
                      <w:sz w:val="22"/>
                    </w:rPr>
                    <w:t>（高分工作站）</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威创</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警情时势</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威创</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警情处置</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威创</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警务监管</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威创</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视频监控</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威创</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22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2</w:t>
                  </w:r>
                  <w:r>
                    <w:rPr>
                      <w:rFonts w:ascii="宋体" w:hAnsi="宋体" w:cs="宋体" w:eastAsia="宋体"/>
                      <w:b/>
                      <w:sz w:val="22"/>
                    </w:rPr>
                    <w:t>、应急值守系统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中央管理系统（电话接警系统）</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TM-AGENTs</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恒邮通信</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电子传真系统</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TM-AutoFAXs</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恒邮通信</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电话录音系统</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TM-RECs</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恒邮通信</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警情处置系统</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TM-Dels</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恒邮通信</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排班管理系统</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TM-RECs</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恒邮通信</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警情归档和统计查询系统</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TM-Tots</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恒邮通信</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OM20-</w:t>
                  </w:r>
                  <w:r>
                    <w:rPr>
                      <w:rFonts w:ascii="宋体" w:hAnsi="宋体" w:cs="宋体" w:eastAsia="宋体"/>
                      <w:sz w:val="22"/>
                    </w:rPr>
                    <w:t>融合通信交换机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TM-OM20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备勤室</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短信猫</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SY-4QWT</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IP</w:t>
                  </w:r>
                  <w:r>
                    <w:rPr>
                      <w:rFonts w:ascii="宋体" w:hAnsi="宋体" w:cs="宋体" w:eastAsia="宋体"/>
                      <w:sz w:val="22"/>
                    </w:rPr>
                    <w:t>话机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l</w:t>
                  </w:r>
                  <w:r>
                    <w:rPr>
                      <w:rFonts w:ascii="宋体" w:hAnsi="宋体" w:cs="宋体" w:eastAsia="宋体"/>
                      <w:sz w:val="22"/>
                    </w:rPr>
                    <w:t>GXP-1610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应急业务客户端</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510 Pro</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天逸</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电子传真客户端</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510 Pro</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天逸</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服务器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联想</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联想</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253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3</w:t>
                  </w:r>
                  <w:r>
                    <w:rPr>
                      <w:rFonts w:ascii="宋体" w:hAnsi="宋体" w:cs="宋体" w:eastAsia="宋体"/>
                      <w:b/>
                      <w:sz w:val="22"/>
                    </w:rPr>
                    <w:t>、警车定位系统</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警车定位平台服务器</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配套线路</w:t>
                  </w:r>
                  <w:r>
                    <w:rPr>
                      <w:rFonts w:ascii="宋体" w:hAnsi="宋体" w:cs="宋体" w:eastAsia="宋体"/>
                      <w:sz w:val="22"/>
                    </w:rPr>
                    <w:t>PTN</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路由器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中心机房</w:t>
                  </w:r>
                </w:p>
              </w:tc>
            </w:tr>
            <w:tr>
              <w:tc>
                <w:tcPr>
                  <w:tcW w:type="dxa" w:w="22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（三）</w:t>
                  </w:r>
                  <w:r>
                    <w:rPr>
                      <w:rFonts w:ascii="calibri" w:hAnsi="calibri" w:cs="calibri" w:eastAsia="calibri"/>
                      <w:sz w:val="21"/>
                    </w:rPr>
                    <w:t xml:space="preserve"> </w:t>
                  </w:r>
                  <w:r>
                    <w:rPr>
                      <w:rFonts w:ascii="宋体" w:hAnsi="宋体" w:cs="宋体" w:eastAsia="宋体"/>
                      <w:sz w:val="22"/>
                    </w:rPr>
                    <w:t>公共支撑平台维保</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1</w:t>
                  </w:r>
                  <w:r>
                    <w:rPr>
                      <w:rFonts w:ascii="宋体" w:hAnsi="宋体" w:cs="宋体" w:eastAsia="宋体"/>
                      <w:b/>
                      <w:sz w:val="22"/>
                    </w:rPr>
                    <w:t>、会议系统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智能会议主机</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 xml:space="preserve"> TS-8308</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 xml:space="preserve"> itc</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合同纸化会议系统管理平台</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 xml:space="preserve"> TS-8300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 xml:space="preserve"> 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智能合同纸化会议终端</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TS-8304A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合同纸化电容屏升降器一体机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TS-FE156MT</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UHF</w:t>
                  </w:r>
                  <w:r>
                    <w:rPr>
                      <w:rFonts w:ascii="宋体" w:hAnsi="宋体" w:cs="宋体" w:eastAsia="宋体"/>
                      <w:sz w:val="22"/>
                    </w:rPr>
                    <w:t>段液晶显示可调频真分集合同线咪（含话筒呼叫控制嵌入软件</w:t>
                  </w:r>
                  <w:r>
                    <w:rPr>
                      <w:rFonts w:ascii="宋体" w:hAnsi="宋体" w:cs="宋体" w:eastAsia="宋体"/>
                      <w:sz w:val="22"/>
                    </w:rPr>
                    <w:t>V1.32</w:t>
                  </w:r>
                  <w:r>
                    <w:rPr>
                      <w:rFonts w:ascii="宋体" w:hAnsi="宋体" w:cs="宋体" w:eastAsia="宋体"/>
                      <w:sz w:val="22"/>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2"/>
                    </w:rPr>
                    <w:t>itc ITC TS-9101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全数字会议系统主机（含全数字会议系统音频传输内嵌软件</w:t>
                  </w:r>
                  <w:r>
                    <w:rPr>
                      <w:rFonts w:ascii="宋体" w:hAnsi="宋体" w:cs="宋体" w:eastAsia="宋体"/>
                      <w:sz w:val="22"/>
                    </w:rPr>
                    <w:t>V2.25</w:t>
                  </w:r>
                  <w:r>
                    <w:rPr>
                      <w:rFonts w:ascii="宋体" w:hAnsi="宋体" w:cs="宋体" w:eastAsia="宋体"/>
                      <w:sz w:val="22"/>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 TS-0200M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主席单元</w:t>
                  </w:r>
                  <w:r>
                    <w:rPr>
                      <w:rFonts w:ascii="宋体" w:hAnsi="宋体" w:cs="宋体" w:eastAsia="宋体"/>
                      <w:sz w:val="22"/>
                    </w:rPr>
                    <w:t>(4.3</w:t>
                  </w:r>
                  <w:r>
                    <w:rPr>
                      <w:rFonts w:ascii="宋体" w:hAnsi="宋体" w:cs="宋体" w:eastAsia="宋体"/>
                      <w:sz w:val="22"/>
                    </w:rPr>
                    <w:t>英寸彩屏</w:t>
                  </w:r>
                  <w:r>
                    <w:rPr>
                      <w:rFonts w:ascii="宋体" w:hAnsi="宋体" w:cs="宋体" w:eastAsia="宋体"/>
                      <w:sz w:val="22"/>
                    </w:rPr>
                    <w:t>)</w:t>
                  </w:r>
                  <w:r>
                    <w:rPr>
                      <w:rFonts w:ascii="宋体" w:hAnsi="宋体" w:cs="宋体" w:eastAsia="宋体"/>
                      <w:sz w:val="22"/>
                    </w:rPr>
                    <w:t>（含会议主席控制内嵌软件</w:t>
                  </w:r>
                  <w:r>
                    <w:rPr>
                      <w:rFonts w:ascii="宋体" w:hAnsi="宋体" w:cs="宋体" w:eastAsia="宋体"/>
                      <w:sz w:val="22"/>
                    </w:rPr>
                    <w:t>V1.2</w:t>
                  </w:r>
                  <w:r>
                    <w:rPr>
                      <w:rFonts w:ascii="宋体" w:hAnsi="宋体" w:cs="宋体" w:eastAsia="宋体"/>
                      <w:sz w:val="22"/>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 TS-0205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代表单元</w:t>
                  </w:r>
                  <w:r>
                    <w:rPr>
                      <w:rFonts w:ascii="宋体" w:hAnsi="宋体" w:cs="宋体" w:eastAsia="宋体"/>
                      <w:sz w:val="22"/>
                    </w:rPr>
                    <w:t>(4.3</w:t>
                  </w:r>
                  <w:r>
                    <w:rPr>
                      <w:rFonts w:ascii="宋体" w:hAnsi="宋体" w:cs="宋体" w:eastAsia="宋体"/>
                      <w:sz w:val="22"/>
                    </w:rPr>
                    <w:t>英寸彩屏</w:t>
                  </w:r>
                  <w:r>
                    <w:rPr>
                      <w:rFonts w:ascii="宋体" w:hAnsi="宋体" w:cs="宋体" w:eastAsia="宋体"/>
                      <w:sz w:val="22"/>
                    </w:rPr>
                    <w:t>)</w:t>
                  </w:r>
                  <w:r>
                    <w:rPr>
                      <w:rFonts w:ascii="宋体" w:hAnsi="宋体" w:cs="宋体" w:eastAsia="宋体"/>
                      <w:sz w:val="22"/>
                    </w:rPr>
                    <w:t>（含手拉手会议代表控制内嵌软件</w:t>
                  </w:r>
                  <w:r>
                    <w:rPr>
                      <w:rFonts w:ascii="宋体" w:hAnsi="宋体" w:cs="宋体" w:eastAsia="宋体"/>
                      <w:sz w:val="22"/>
                    </w:rPr>
                    <w:t>V1.0</w:t>
                  </w:r>
                  <w:r>
                    <w:rPr>
                      <w:rFonts w:ascii="宋体" w:hAnsi="宋体" w:cs="宋体" w:eastAsia="宋体"/>
                      <w:sz w:val="22"/>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 TS-0205A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22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2</w:t>
                  </w:r>
                  <w:r>
                    <w:rPr>
                      <w:rFonts w:ascii="宋体" w:hAnsi="宋体" w:cs="宋体" w:eastAsia="宋体"/>
                      <w:b/>
                      <w:sz w:val="22"/>
                    </w:rPr>
                    <w:t>、扩声系统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高清混合矩阵切换器</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TS-9408UHM</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嵌入式控制面板</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TS-9400K</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合同缝高清矩阵控制卡</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TS-9404CON</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HDMI</w:t>
                  </w:r>
                  <w:r>
                    <w:rPr>
                      <w:rFonts w:ascii="宋体" w:hAnsi="宋体" w:cs="宋体" w:eastAsia="宋体"/>
                      <w:sz w:val="22"/>
                    </w:rPr>
                    <w:t>合同缝高清输入卡</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 xml:space="preserve"> TS-9404HI</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SDI</w:t>
                  </w:r>
                  <w:r>
                    <w:rPr>
                      <w:rFonts w:ascii="宋体" w:hAnsi="宋体" w:cs="宋体" w:eastAsia="宋体"/>
                      <w:sz w:val="22"/>
                    </w:rPr>
                    <w:t>合同缝高清输入卡</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TS-9404SI</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HDMI</w:t>
                  </w:r>
                  <w:r>
                    <w:rPr>
                      <w:rFonts w:ascii="宋体" w:hAnsi="宋体" w:cs="宋体" w:eastAsia="宋体"/>
                      <w:sz w:val="22"/>
                    </w:rPr>
                    <w:t>合同缝高清输出卡</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TS-9404HO</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DVI</w:t>
                  </w:r>
                  <w:r>
                    <w:rPr>
                      <w:rFonts w:ascii="宋体" w:hAnsi="宋体" w:cs="宋体" w:eastAsia="宋体"/>
                      <w:sz w:val="22"/>
                    </w:rPr>
                    <w:t>合同缝高清输出卡</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TS-9404DO</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专业音箱</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 xml:space="preserve"> TS-608</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前级功放</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TS-211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主功放</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 xml:space="preserve"> TS-350PI</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8</w:t>
                  </w:r>
                  <w:r>
                    <w:rPr>
                      <w:rFonts w:ascii="宋体" w:hAnsi="宋体" w:cs="宋体" w:eastAsia="宋体"/>
                      <w:sz w:val="22"/>
                    </w:rPr>
                    <w:t>路调音台</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TS-8P</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反馈抑制器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TS-234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电源时序器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 xml:space="preserve"> TS-820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合同线话筒</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T-521UH</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专业功放</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TS-500PI</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高清混合矩阵切换器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TS-9408UHM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嵌入式控制面板</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TS-9400K</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合同缝高清矩阵控制卡</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TS-9404CON</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HDMI</w:t>
                  </w:r>
                  <w:r>
                    <w:rPr>
                      <w:rFonts w:ascii="宋体" w:hAnsi="宋体" w:cs="宋体" w:eastAsia="宋体"/>
                      <w:sz w:val="22"/>
                    </w:rPr>
                    <w:t>合同缝高清输入卡</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TS-9404HI</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SDI</w:t>
                  </w:r>
                  <w:r>
                    <w:rPr>
                      <w:rFonts w:ascii="宋体" w:hAnsi="宋体" w:cs="宋体" w:eastAsia="宋体"/>
                      <w:sz w:val="22"/>
                    </w:rPr>
                    <w:t>合同缝高清输入卡</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TS-9404SI</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HDMI</w:t>
                  </w:r>
                  <w:r>
                    <w:rPr>
                      <w:rFonts w:ascii="宋体" w:hAnsi="宋体" w:cs="宋体" w:eastAsia="宋体"/>
                      <w:sz w:val="22"/>
                    </w:rPr>
                    <w:t>合同缝高清输出卡</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TS-9404HO</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DVI</w:t>
                  </w:r>
                  <w:r>
                    <w:rPr>
                      <w:rFonts w:ascii="宋体" w:hAnsi="宋体" w:cs="宋体" w:eastAsia="宋体"/>
                      <w:sz w:val="22"/>
                    </w:rPr>
                    <w:t>合同缝高清输出卡</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TS-9404DO</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电源控制器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TS-9101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专业功放</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TS-500PI</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POE</w:t>
                  </w:r>
                  <w:r>
                    <w:rPr>
                      <w:rFonts w:ascii="宋体" w:hAnsi="宋体" w:cs="宋体" w:eastAsia="宋体"/>
                      <w:sz w:val="22"/>
                    </w:rPr>
                    <w:t>供电交换机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120W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华为</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线性全频音箱</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 TS-12A03</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专业功放</w:t>
                  </w:r>
                  <w:r>
                    <w:rPr>
                      <w:rFonts w:ascii="宋体" w:hAnsi="宋体" w:cs="宋体" w:eastAsia="宋体"/>
                      <w:sz w:val="22"/>
                    </w:rPr>
                    <w:t>TS-700PI</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TS-700PI</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8</w:t>
                  </w:r>
                  <w:r>
                    <w:rPr>
                      <w:rFonts w:ascii="宋体" w:hAnsi="宋体" w:cs="宋体" w:eastAsia="宋体"/>
                      <w:sz w:val="22"/>
                    </w:rPr>
                    <w:t>路电源控制器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 T-521UH</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对数指向性天线</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 T-522B</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12</w:t>
                  </w:r>
                  <w:r>
                    <w:rPr>
                      <w:rFonts w:ascii="宋体" w:hAnsi="宋体" w:cs="宋体" w:eastAsia="宋体"/>
                      <w:sz w:val="22"/>
                    </w:rPr>
                    <w:t>路数字输出两编组</w:t>
                  </w:r>
                  <w:r>
                    <w:rPr>
                      <w:rFonts w:ascii="宋体" w:hAnsi="宋体" w:cs="宋体" w:eastAsia="宋体"/>
                      <w:sz w:val="22"/>
                    </w:rPr>
                    <w:t>USB</w:t>
                  </w:r>
                  <w:r>
                    <w:rPr>
                      <w:rFonts w:ascii="宋体" w:hAnsi="宋体" w:cs="宋体" w:eastAsia="宋体"/>
                      <w:sz w:val="22"/>
                    </w:rPr>
                    <w:t>录音实况调音台</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 TS-12P-2S</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话筒前级处理器</w:t>
                  </w:r>
                  <w:r>
                    <w:rPr>
                      <w:rFonts w:ascii="宋体" w:hAnsi="宋体" w:cs="宋体" w:eastAsia="宋体"/>
                      <w:sz w:val="22"/>
                    </w:rPr>
                    <w:t>TS-211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 TS-211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8</w:t>
                  </w:r>
                  <w:r>
                    <w:rPr>
                      <w:rFonts w:ascii="宋体" w:hAnsi="宋体" w:cs="宋体" w:eastAsia="宋体"/>
                      <w:sz w:val="22"/>
                    </w:rPr>
                    <w:t>路电源时序器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 TS-820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数字会议反馈抑制器</w:t>
                  </w:r>
                  <w:r>
                    <w:rPr>
                      <w:rFonts w:ascii="宋体" w:hAnsi="宋体" w:cs="宋体" w:eastAsia="宋体"/>
                      <w:sz w:val="22"/>
                    </w:rPr>
                    <w:t>TS-234</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 TS-234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itc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2202"/>
                  <w:gridSpan w:val="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3</w:t>
                  </w:r>
                  <w:r>
                    <w:rPr>
                      <w:rFonts w:ascii="宋体" w:hAnsi="宋体" w:cs="宋体" w:eastAsia="宋体"/>
                      <w:b/>
                      <w:sz w:val="22"/>
                    </w:rPr>
                    <w:t>、智能语音</w:t>
                  </w:r>
                </w:p>
              </w:tc>
              <w:tc>
                <w:tcPr>
                  <w:tcW w:type="dxa" w:w="32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智能会议主机</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讯飞智元</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中文连续语音识别转写引擎</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讯飞智元</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英汉翻译</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讯飞智元</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软件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讯飞智元</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软件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讯飞智元</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22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4</w:t>
                  </w:r>
                  <w:r>
                    <w:rPr>
                      <w:rFonts w:ascii="宋体" w:hAnsi="宋体" w:cs="宋体" w:eastAsia="宋体"/>
                      <w:b/>
                      <w:sz w:val="22"/>
                    </w:rPr>
                    <w:t>、坐席协同系统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网络控制器</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E-CP4C</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魅视</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网络交换机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TP-LINK</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平板电脑控制底层软件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CPIF-SYS11.0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魅视</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音视频控制底层软件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AVC-SYS1.2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魅视</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96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高清输入输出节点</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DSII-HH-V3.05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魅视</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输入输出节点</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DSII-HH-KVM-V3.05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魅视</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合同线可视化终端</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华为</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双频合同线路由器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TP-LINK</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双频合同线吸顶式</w:t>
                  </w:r>
                  <w:r>
                    <w:rPr>
                      <w:rFonts w:ascii="宋体" w:hAnsi="宋体" w:cs="宋体" w:eastAsia="宋体"/>
                      <w:sz w:val="22"/>
                    </w:rPr>
                    <w:t>AP</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TP-LINK</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指挥中心西机房</w:t>
                  </w:r>
                </w:p>
              </w:tc>
            </w:tr>
            <w:tr>
              <w:tc>
                <w:tcPr>
                  <w:tcW w:type="dxa" w:w="22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5</w:t>
                  </w:r>
                  <w:r>
                    <w:rPr>
                      <w:rFonts w:ascii="宋体" w:hAnsi="宋体" w:cs="宋体" w:eastAsia="宋体"/>
                      <w:b/>
                      <w:sz w:val="22"/>
                    </w:rPr>
                    <w:t>、大屏及显示控制系统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大屏</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UHW1.5-SS</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洲明</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6.48</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三楼会议室</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发送卡</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SD600E</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洲明</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三楼小机房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拼接处理器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UVP4000P</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洲明</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三楼小机房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LED</w:t>
                  </w:r>
                  <w:r>
                    <w:rPr>
                      <w:rFonts w:ascii="宋体" w:hAnsi="宋体" w:cs="宋体" w:eastAsia="宋体"/>
                      <w:sz w:val="22"/>
                    </w:rPr>
                    <w:t>屏控制软件</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洲明</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三楼小机房</w:t>
                  </w:r>
                </w:p>
              </w:tc>
            </w:tr>
            <w:tr>
              <w:tc>
                <w:tcPr>
                  <w:tcW w:type="dxa" w:w="22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2"/>
                    </w:rPr>
                    <w:t>6</w:t>
                  </w:r>
                  <w:r>
                    <w:rPr>
                      <w:rFonts w:ascii="宋体" w:hAnsi="宋体" w:cs="宋体" w:eastAsia="宋体"/>
                      <w:b/>
                      <w:sz w:val="22"/>
                    </w:rPr>
                    <w:t>、办公设备</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液晶显示器</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86</w:t>
                  </w:r>
                  <w:r>
                    <w:rPr>
                      <w:rFonts w:ascii="宋体" w:hAnsi="宋体" w:cs="宋体" w:eastAsia="宋体"/>
                      <w:sz w:val="22"/>
                    </w:rPr>
                    <w:t>英寸</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康佳</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液晶显示器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康佳</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电脑</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一机双屏</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联想</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电脑</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一机双屏</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联想</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电脑</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一机双屏</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联想</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培训电脑</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联想</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60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专用激光传真一体机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TOEC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彩色激光喷墨多功能一体打印机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惠普</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指挥中心</w:t>
                  </w:r>
                </w:p>
              </w:tc>
            </w:tr>
            <w:tr>
              <w:tc>
                <w:tcPr>
                  <w:tcW w:type="dxa" w:w="253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w:t>
                  </w:r>
                  <w:r>
                    <w:rPr>
                      <w:rFonts w:ascii="宋体" w:hAnsi="宋体" w:cs="宋体" w:eastAsia="宋体"/>
                      <w:sz w:val="22"/>
                    </w:rPr>
                    <w:t>四</w:t>
                  </w:r>
                  <w:r>
                    <w:rPr>
                      <w:rFonts w:ascii="宋体" w:hAnsi="宋体" w:cs="宋体" w:eastAsia="宋体"/>
                      <w:sz w:val="22"/>
                    </w:rPr>
                    <w:t>)</w:t>
                  </w:r>
                  <w:r>
                    <w:rPr>
                      <w:rFonts w:ascii="宋体" w:hAnsi="宋体" w:cs="宋体" w:eastAsia="宋体"/>
                      <w:sz w:val="22"/>
                    </w:rPr>
                    <w:t>专项服务</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序号</w:t>
                  </w: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服务内容</w:t>
                  </w:r>
                </w:p>
              </w:tc>
              <w:tc>
                <w:tcPr>
                  <w:tcW w:type="dxa" w:w="1816"/>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服务内容</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等保检测</w:t>
                  </w:r>
                </w:p>
              </w:tc>
              <w:tc>
                <w:tcPr>
                  <w:tcW w:type="dxa" w:w="181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请公安部认证的具有资质的测评机构，依据国家信息安全等级保护规范规定，对指挥中心做等级测评，并进行网络安全升级的规划和建议。</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消防检测</w:t>
                  </w:r>
                </w:p>
              </w:tc>
              <w:tc>
                <w:tcPr>
                  <w:tcW w:type="dxa" w:w="181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请公安机关消防机构和具有资质的测评机构，依据消防安全规范规定，对指挥中心的消防设施进行检测。</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UPS</w:t>
                  </w:r>
                  <w:r>
                    <w:rPr>
                      <w:rFonts w:ascii="宋体" w:hAnsi="宋体" w:cs="宋体" w:eastAsia="宋体"/>
                      <w:sz w:val="22"/>
                    </w:rPr>
                    <w:t>检测</w:t>
                  </w:r>
                </w:p>
              </w:tc>
              <w:tc>
                <w:tcPr>
                  <w:tcW w:type="dxa" w:w="181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用离线式电池测试仪对</w:t>
                  </w:r>
                  <w:r>
                    <w:rPr>
                      <w:rFonts w:ascii="宋体" w:hAnsi="宋体" w:cs="宋体" w:eastAsia="宋体"/>
                      <w:sz w:val="22"/>
                    </w:rPr>
                    <w:t>UPS</w:t>
                  </w:r>
                  <w:r>
                    <w:rPr>
                      <w:rFonts w:ascii="宋体" w:hAnsi="宋体" w:cs="宋体" w:eastAsia="宋体"/>
                      <w:sz w:val="22"/>
                    </w:rPr>
                    <w:t>及电池组进行两次蓄电池组离线放电操作。用</w:t>
                  </w:r>
                  <w:r>
                    <w:rPr>
                      <w:rFonts w:ascii="宋体" w:hAnsi="宋体" w:cs="宋体" w:eastAsia="宋体"/>
                      <w:sz w:val="22"/>
                    </w:rPr>
                    <w:t>“全保护智能蓄电池检测仪”或类似仪器对所有</w:t>
                  </w:r>
                  <w:r>
                    <w:rPr>
                      <w:rFonts w:ascii="宋体" w:hAnsi="宋体" w:cs="宋体" w:eastAsia="宋体"/>
                      <w:sz w:val="22"/>
                    </w:rPr>
                    <w:t>UPS</w:t>
                  </w:r>
                  <w:r>
                    <w:rPr>
                      <w:rFonts w:ascii="宋体" w:hAnsi="宋体" w:cs="宋体" w:eastAsia="宋体"/>
                      <w:sz w:val="22"/>
                    </w:rPr>
                    <w:t>电池进行性能检测。</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软件功能优化</w:t>
                  </w:r>
                </w:p>
              </w:tc>
              <w:tc>
                <w:tcPr>
                  <w:tcW w:type="dxa" w:w="181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优化软件功能，建设</w:t>
                  </w:r>
                  <w:r>
                    <w:rPr>
                      <w:rFonts w:ascii="宋体" w:hAnsi="宋体" w:cs="宋体" w:eastAsia="宋体"/>
                      <w:sz w:val="21"/>
                    </w:rPr>
                    <w:t>5个数据融合模型，</w:t>
                  </w:r>
                  <w:r>
                    <w:rPr>
                      <w:rFonts w:ascii="宋体" w:hAnsi="宋体" w:cs="宋体" w:eastAsia="宋体"/>
                      <w:sz w:val="21"/>
                    </w:rPr>
                    <w:t>综合研判各方信息数据，为指挥中心提高辅助指挥效能。</w:t>
                  </w:r>
                </w:p>
              </w:tc>
            </w:tr>
          </w:tbl>
          <w:p>
            <w:pPr>
              <w:pStyle w:val="null3"/>
              <w:ind w:firstLine="480"/>
              <w:jc w:val="both"/>
              <w:outlineLvl w:val="2"/>
            </w:pPr>
            <w:r>
              <w:rPr>
                <w:rFonts w:ascii="黑体" w:hAnsi="黑体" w:cs="黑体" w:eastAsia="黑体"/>
                <w:b/>
                <w:sz w:val="24"/>
              </w:rPr>
              <w:t>3.2服务内容</w:t>
            </w:r>
          </w:p>
          <w:p>
            <w:pPr>
              <w:pStyle w:val="null3"/>
              <w:ind w:firstLine="480"/>
              <w:jc w:val="both"/>
            </w:pPr>
            <w:r>
              <w:rPr>
                <w:rFonts w:ascii="宋体" w:hAnsi="宋体" w:cs="宋体" w:eastAsia="宋体"/>
                <w:sz w:val="24"/>
              </w:rPr>
              <w:t>通过对设备的正确维护和保养，保障机房</w:t>
            </w:r>
            <w:r>
              <w:rPr>
                <w:rFonts w:ascii="宋体" w:hAnsi="宋体" w:cs="宋体" w:eastAsia="宋体"/>
                <w:sz w:val="24"/>
              </w:rPr>
              <w:t>硬件</w:t>
            </w:r>
            <w:r>
              <w:rPr>
                <w:rFonts w:ascii="宋体" w:hAnsi="宋体" w:cs="宋体" w:eastAsia="宋体"/>
                <w:sz w:val="24"/>
              </w:rPr>
              <w:t>设备</w:t>
            </w:r>
            <w:r>
              <w:rPr>
                <w:rFonts w:ascii="宋体" w:hAnsi="宋体" w:cs="宋体" w:eastAsia="宋体"/>
                <w:sz w:val="24"/>
              </w:rPr>
              <w:t>及其它应用系统</w:t>
            </w:r>
            <w:r>
              <w:rPr>
                <w:rFonts w:ascii="宋体" w:hAnsi="宋体" w:cs="宋体" w:eastAsia="宋体"/>
                <w:sz w:val="24"/>
              </w:rPr>
              <w:t>稳定、可靠、节能运行，确保通信设备的运行环境，延长设备的生命周期，降低设备的故障率。</w:t>
            </w:r>
          </w:p>
          <w:p>
            <w:pPr>
              <w:pStyle w:val="null3"/>
              <w:ind w:firstLine="420"/>
            </w:pPr>
            <w:r>
              <w:rPr>
                <w:rFonts w:ascii="宋体" w:hAnsi="宋体" w:cs="宋体" w:eastAsia="宋体"/>
                <w:sz w:val="24"/>
              </w:rPr>
              <w:t>指挥</w:t>
            </w:r>
            <w:r>
              <w:rPr>
                <w:rFonts w:ascii="宋体" w:hAnsi="宋体" w:cs="宋体" w:eastAsia="宋体"/>
                <w:sz w:val="24"/>
              </w:rPr>
              <w:t>中心运维的主要任务：</w:t>
            </w:r>
          </w:p>
          <w:p>
            <w:pPr>
              <w:pStyle w:val="null3"/>
              <w:ind w:firstLine="420"/>
            </w:pPr>
            <w:r>
              <w:rPr>
                <w:rFonts w:ascii="宋体" w:hAnsi="宋体" w:cs="宋体" w:eastAsia="宋体"/>
                <w:sz w:val="24"/>
              </w:rPr>
              <w:t>（</w:t>
            </w:r>
            <w:r>
              <w:rPr>
                <w:rFonts w:ascii="宋体" w:hAnsi="宋体" w:cs="宋体" w:eastAsia="宋体"/>
                <w:sz w:val="24"/>
              </w:rPr>
              <w:t>1</w:t>
            </w:r>
            <w:r>
              <w:rPr>
                <w:rFonts w:ascii="宋体" w:hAnsi="宋体" w:cs="宋体" w:eastAsia="宋体"/>
                <w:sz w:val="24"/>
              </w:rPr>
              <w:t>）</w:t>
            </w:r>
            <w:r>
              <w:rPr>
                <w:rFonts w:ascii="宋体" w:hAnsi="宋体" w:cs="宋体" w:eastAsia="宋体"/>
                <w:sz w:val="24"/>
              </w:rPr>
              <w:t>软硬件基础设施</w:t>
            </w:r>
            <w:r>
              <w:rPr>
                <w:rFonts w:ascii="宋体" w:hAnsi="宋体" w:cs="宋体" w:eastAsia="宋体"/>
                <w:sz w:val="24"/>
              </w:rPr>
              <w:t>设备的维护工作内容：主要负责数据中心机房电气配电系统、空调系统、消防系统、环境集中监控系统等。保证</w:t>
            </w:r>
            <w:r>
              <w:rPr>
                <w:rFonts w:ascii="宋体" w:hAnsi="宋体" w:cs="宋体" w:eastAsia="宋体"/>
                <w:sz w:val="24"/>
              </w:rPr>
              <w:t>机房和指挥中心</w:t>
            </w:r>
            <w:r>
              <w:rPr>
                <w:rFonts w:ascii="宋体" w:hAnsi="宋体" w:cs="宋体" w:eastAsia="宋体"/>
                <w:sz w:val="24"/>
              </w:rPr>
              <w:t>各类运行设备设施的电气性能、机械性能、维护技术指标符合标准。</w:t>
            </w:r>
          </w:p>
          <w:p>
            <w:pPr>
              <w:pStyle w:val="null3"/>
              <w:ind w:firstLine="420"/>
            </w:pPr>
            <w:r>
              <w:rPr>
                <w:rFonts w:ascii="宋体" w:hAnsi="宋体" w:cs="宋体" w:eastAsia="宋体"/>
                <w:sz w:val="24"/>
              </w:rPr>
              <w:t>在基本维护的基础上，对特定设备进行专项服务，包括网络综合系统进行专业机构的等保测评，及消防系统进行专项的消防检测。</w:t>
            </w:r>
          </w:p>
          <w:p>
            <w:pPr>
              <w:pStyle w:val="null3"/>
              <w:ind w:firstLine="480"/>
              <w:jc w:val="both"/>
            </w:pPr>
            <w:r>
              <w:rPr>
                <w:rFonts w:ascii="宋体" w:hAnsi="宋体" w:cs="宋体" w:eastAsia="宋体"/>
                <w:sz w:val="21"/>
              </w:rPr>
              <w:t>（</w:t>
            </w:r>
            <w:r>
              <w:rPr>
                <w:rFonts w:ascii="calibri" w:hAnsi="calibri" w:cs="calibri" w:eastAsia="calibri"/>
                <w:sz w:val="21"/>
              </w:rPr>
              <w:t>2</w:t>
            </w:r>
            <w:r>
              <w:rPr>
                <w:rFonts w:ascii="宋体" w:hAnsi="宋体" w:cs="宋体" w:eastAsia="宋体"/>
                <w:sz w:val="21"/>
              </w:rPr>
              <w:t>）</w:t>
            </w:r>
            <w:r>
              <w:rPr>
                <w:rFonts w:ascii="宋体" w:hAnsi="宋体" w:cs="宋体" w:eastAsia="宋体"/>
                <w:sz w:val="21"/>
              </w:rPr>
              <w:t>公共支撑平台</w:t>
            </w:r>
            <w:r>
              <w:rPr>
                <w:rFonts w:ascii="宋体" w:hAnsi="宋体" w:cs="宋体" w:eastAsia="宋体"/>
                <w:sz w:val="21"/>
              </w:rPr>
              <w:t>运维内容：</w:t>
            </w:r>
            <w:r>
              <w:rPr>
                <w:rFonts w:ascii="宋体" w:hAnsi="宋体" w:cs="宋体" w:eastAsia="宋体"/>
                <w:sz w:val="21"/>
              </w:rPr>
              <w:t>包括会议系统、大屏显示系统及办公设备在内的日常检查查</w:t>
            </w:r>
            <w:r>
              <w:rPr>
                <w:rFonts w:ascii="宋体" w:hAnsi="宋体" w:cs="宋体" w:eastAsia="宋体"/>
                <w:sz w:val="21"/>
              </w:rPr>
              <w:t>和定期</w:t>
            </w:r>
            <w:r>
              <w:rPr>
                <w:rFonts w:ascii="宋体" w:hAnsi="宋体" w:cs="宋体" w:eastAsia="宋体"/>
                <w:sz w:val="21"/>
              </w:rPr>
              <w:t>巡检</w:t>
            </w:r>
            <w:r>
              <w:rPr>
                <w:rFonts w:ascii="宋体" w:hAnsi="宋体" w:cs="宋体" w:eastAsia="宋体"/>
                <w:sz w:val="21"/>
              </w:rPr>
              <w:t>服务。运维公司需提供</w:t>
            </w:r>
            <w:r>
              <w:rPr>
                <w:rFonts w:ascii="宋体" w:hAnsi="宋体" w:cs="宋体" w:eastAsia="宋体"/>
                <w:sz w:val="21"/>
              </w:rPr>
              <w:t>足够的备品备件，以及备份会议平台，以至于在设备及</w:t>
            </w:r>
            <w:r>
              <w:rPr>
                <w:rFonts w:ascii="宋体" w:hAnsi="宋体" w:cs="宋体" w:eastAsia="宋体"/>
                <w:sz w:val="21"/>
              </w:rPr>
              <w:t>系统</w:t>
            </w:r>
            <w:r>
              <w:rPr>
                <w:rFonts w:ascii="宋体" w:hAnsi="宋体" w:cs="宋体" w:eastAsia="宋体"/>
                <w:sz w:val="21"/>
              </w:rPr>
              <w:t>平台突发故障</w:t>
            </w:r>
            <w:r>
              <w:rPr>
                <w:rFonts w:ascii="宋体" w:hAnsi="宋体" w:cs="宋体" w:eastAsia="宋体"/>
                <w:sz w:val="21"/>
              </w:rPr>
              <w:t>，应急情况下可随时调用开会，保障会议和应急</w:t>
            </w:r>
            <w:r>
              <w:rPr>
                <w:rFonts w:ascii="宋体" w:hAnsi="宋体" w:cs="宋体" w:eastAsia="宋体"/>
                <w:sz w:val="21"/>
              </w:rPr>
              <w:t>指挥</w:t>
            </w:r>
            <w:r>
              <w:rPr>
                <w:rFonts w:ascii="宋体" w:hAnsi="宋体" w:cs="宋体" w:eastAsia="宋体"/>
                <w:sz w:val="21"/>
              </w:rPr>
              <w:t>等功能的正常进行。</w:t>
            </w:r>
          </w:p>
          <w:p>
            <w:pPr>
              <w:pStyle w:val="null3"/>
              <w:ind w:left="420"/>
            </w:pPr>
            <w:r>
              <w:rPr>
                <w:rFonts w:ascii="宋体" w:hAnsi="宋体" w:cs="宋体" w:eastAsia="宋体"/>
                <w:sz w:val="24"/>
              </w:rPr>
              <w:t>（</w:t>
            </w:r>
            <w:r>
              <w:rPr>
                <w:rFonts w:ascii="宋体" w:hAnsi="宋体" w:cs="宋体" w:eastAsia="宋体"/>
                <w:sz w:val="24"/>
              </w:rPr>
              <w:t>3</w:t>
            </w:r>
            <w:r>
              <w:rPr>
                <w:rFonts w:ascii="宋体" w:hAnsi="宋体" w:cs="宋体" w:eastAsia="宋体"/>
                <w:sz w:val="24"/>
              </w:rPr>
              <w:t>）</w:t>
            </w:r>
            <w:r>
              <w:rPr>
                <w:rFonts w:ascii="宋体" w:hAnsi="宋体" w:cs="宋体" w:eastAsia="宋体"/>
                <w:sz w:val="24"/>
              </w:rPr>
              <w:t>业务系统运维内容：提供现场各应用系统保障服务，事故灾害、重大</w:t>
            </w:r>
          </w:p>
          <w:p>
            <w:pPr>
              <w:pStyle w:val="null3"/>
            </w:pPr>
            <w:r>
              <w:rPr>
                <w:rFonts w:ascii="宋体" w:hAnsi="宋体" w:cs="宋体" w:eastAsia="宋体"/>
                <w:sz w:val="24"/>
              </w:rPr>
              <w:t>突发情</w:t>
            </w:r>
            <w:r>
              <w:rPr>
                <w:rFonts w:ascii="宋体" w:hAnsi="宋体" w:cs="宋体" w:eastAsia="宋体"/>
                <w:sz w:val="24"/>
              </w:rPr>
              <w:t>况时指挥中心的指挥调度保障</w:t>
            </w:r>
            <w:r>
              <w:rPr>
                <w:rFonts w:ascii="宋体" w:hAnsi="宋体" w:cs="宋体" w:eastAsia="宋体"/>
                <w:sz w:val="24"/>
              </w:rPr>
              <w:t>,</w:t>
            </w:r>
            <w:r>
              <w:rPr>
                <w:rFonts w:ascii="宋体" w:hAnsi="宋体" w:cs="宋体" w:eastAsia="宋体"/>
                <w:sz w:val="24"/>
              </w:rPr>
              <w:t>熟悉突发事件信息收集、报送及处置流程，熟悉应急值守工作规范，遵守值班室日常管理制度。</w:t>
            </w:r>
            <w:r>
              <w:rPr/>
              <w:t xml:space="preserve"> </w:t>
            </w:r>
            <w:r>
              <w:rPr>
                <w:rFonts w:ascii="宋体" w:hAnsi="宋体" w:cs="宋体" w:eastAsia="宋体"/>
                <w:sz w:val="24"/>
              </w:rPr>
              <w:t>对指挥中心各应用系统进行实时监测，开展综合运行保障服务，提供系统优化建议、指挥调度保障等，提供业务数据录入、信息更新服务；对各应用系统状态实时监控；在使用应急值守系统及信息系统过程中，识别信息系统的功能、性能、数据准确性问题或异常，向指挥中心提交系统优化建议等。对现有应急指挥信息系统等应用系统开展日常功能性检查；对现有应急指挥信息系统等应用系统中录入的值班人员信息、突发事件接报信息、人员管理等数据开展核对检查，协助相关业务人员对现有应用相关系统内涉及和汇聚的各项数据展开核对检查，对异常数据进行筛选并核查，保障系统的可用性；并将异常情况记录并如实上报。</w:t>
            </w:r>
          </w:p>
          <w:p>
            <w:pPr>
              <w:pStyle w:val="null3"/>
              <w:ind w:firstLine="420"/>
            </w:pPr>
            <w:r>
              <w:rPr>
                <w:rFonts w:ascii="宋体" w:hAnsi="宋体" w:cs="宋体" w:eastAsia="宋体"/>
                <w:sz w:val="24"/>
              </w:rPr>
              <w:t>运维的主要职责，是做好对基础设施系统和设备的日常维护和管理工作；制定维护作业计划，并根据计划做好例行测试和维护工作。定期巡视，及时排除故障和隐患，保证基础设施系统和设备的正常、稳定运行；严格执行数据中心运维管理制度；发生重大障碍和突发事故，要迅速处理并上报；事后积极分析事故原因，吸取教训，制定防范措施，并切实落实；定期收集汇总动力系统各类相关运行数据，分析系统及设备运行状况，提出改善系统及设备运行质量的对策与措施。</w:t>
            </w:r>
          </w:p>
          <w:p>
            <w:pPr>
              <w:pStyle w:val="null3"/>
              <w:ind w:left="480"/>
              <w:jc w:val="both"/>
              <w:outlineLvl w:val="2"/>
            </w:pPr>
            <w:r>
              <w:rPr>
                <w:rFonts w:ascii="黑体" w:hAnsi="黑体" w:cs="黑体" w:eastAsia="黑体"/>
                <w:b/>
                <w:sz w:val="24"/>
              </w:rPr>
              <w:t>3.3其它运维要求</w:t>
            </w:r>
          </w:p>
          <w:p>
            <w:pPr>
              <w:pStyle w:val="null3"/>
              <w:ind w:firstLine="480"/>
              <w:jc w:val="both"/>
            </w:pPr>
            <w:r>
              <w:rPr>
                <w:rFonts w:ascii="宋体" w:hAnsi="宋体" w:cs="宋体" w:eastAsia="宋体"/>
                <w:sz w:val="21"/>
              </w:rPr>
              <w:t>1</w:t>
            </w:r>
            <w:r>
              <w:rPr>
                <w:rFonts w:ascii="宋体" w:hAnsi="宋体" w:cs="宋体" w:eastAsia="宋体"/>
                <w:sz w:val="21"/>
              </w:rPr>
              <w:t>、服务商须在西安设有常驻服务机构，且规模及技术实力满足本项目要求。在西安设立备品备件库，且品种、数量和质量满足本项目要求。</w:t>
            </w:r>
          </w:p>
          <w:p>
            <w:pPr>
              <w:pStyle w:val="null3"/>
              <w:ind w:firstLine="480"/>
              <w:jc w:val="both"/>
            </w:pPr>
            <w:r>
              <w:rPr>
                <w:rFonts w:ascii="宋体" w:hAnsi="宋体" w:cs="宋体" w:eastAsia="宋体"/>
                <w:sz w:val="21"/>
              </w:rPr>
              <w:t>2</w:t>
            </w:r>
            <w:r>
              <w:rPr>
                <w:rFonts w:ascii="宋体" w:hAnsi="宋体" w:cs="宋体" w:eastAsia="宋体"/>
                <w:sz w:val="21"/>
              </w:rPr>
              <w:t>、针对机房</w:t>
            </w:r>
            <w:r>
              <w:rPr>
                <w:rFonts w:ascii="宋体" w:hAnsi="宋体" w:cs="宋体" w:eastAsia="宋体"/>
                <w:sz w:val="21"/>
              </w:rPr>
              <w:t>供配电系统、机房空调及新风系统、机房动力环境监控系统、机房</w:t>
            </w:r>
            <w:r>
              <w:rPr>
                <w:rFonts w:ascii="宋体" w:hAnsi="宋体" w:cs="宋体" w:eastAsia="宋体"/>
                <w:sz w:val="21"/>
              </w:rPr>
              <w:t>UPS</w:t>
            </w:r>
            <w:r>
              <w:rPr>
                <w:rFonts w:ascii="宋体" w:hAnsi="宋体" w:cs="宋体" w:eastAsia="宋体"/>
                <w:sz w:val="21"/>
              </w:rPr>
              <w:t>不间断电源系统、机房安防系统</w:t>
            </w:r>
            <w:r>
              <w:rPr>
                <w:rFonts w:ascii="宋体" w:hAnsi="宋体" w:cs="宋体" w:eastAsia="宋体"/>
                <w:sz w:val="21"/>
              </w:rPr>
              <w:t>进行定期检测，如发现故障配件，急时使用备件更换，原则上不能出现长时间停机维修。</w:t>
            </w:r>
          </w:p>
          <w:p>
            <w:pPr>
              <w:pStyle w:val="null3"/>
              <w:ind w:firstLine="480"/>
              <w:jc w:val="both"/>
            </w:pPr>
            <w:r>
              <w:rPr>
                <w:rFonts w:ascii="宋体" w:hAnsi="宋体" w:cs="宋体" w:eastAsia="宋体"/>
                <w:sz w:val="21"/>
              </w:rPr>
              <w:t>3</w:t>
            </w:r>
            <w:r>
              <w:rPr>
                <w:rFonts w:ascii="宋体" w:hAnsi="宋体" w:cs="宋体" w:eastAsia="宋体"/>
                <w:sz w:val="21"/>
              </w:rPr>
              <w:t>、指挥中心各应用系统除过</w:t>
            </w:r>
            <w:r>
              <w:rPr>
                <w:rFonts w:ascii="宋体" w:hAnsi="宋体" w:cs="宋体" w:eastAsia="宋体"/>
                <w:sz w:val="21"/>
              </w:rPr>
              <w:t>日常安全监测，</w:t>
            </w:r>
            <w:r>
              <w:rPr>
                <w:rFonts w:ascii="宋体" w:hAnsi="宋体" w:cs="宋体" w:eastAsia="宋体"/>
                <w:sz w:val="21"/>
              </w:rPr>
              <w:t>各种业务系统的扩展融合，升级调试等</w:t>
            </w:r>
            <w:r>
              <w:rPr>
                <w:rFonts w:ascii="宋体" w:hAnsi="宋体" w:cs="宋体" w:eastAsia="宋体"/>
                <w:sz w:val="21"/>
              </w:rPr>
              <w:t>运行维护服</w:t>
            </w:r>
            <w:r>
              <w:rPr>
                <w:rFonts w:ascii="宋体" w:hAnsi="宋体" w:cs="宋体" w:eastAsia="宋体"/>
                <w:sz w:val="21"/>
              </w:rPr>
              <w:t>务内容，还包含有软件界面优化等服务</w:t>
            </w:r>
            <w:r>
              <w:rPr>
                <w:rFonts w:ascii="宋体" w:hAnsi="宋体" w:cs="宋体" w:eastAsia="宋体"/>
                <w:sz w:val="21"/>
              </w:rPr>
              <w:t>。</w:t>
            </w:r>
          </w:p>
          <w:p>
            <w:pPr>
              <w:pStyle w:val="null3"/>
              <w:ind w:firstLine="480"/>
              <w:jc w:val="both"/>
            </w:pPr>
            <w:r>
              <w:rPr>
                <w:rFonts w:ascii="宋体" w:hAnsi="宋体" w:cs="宋体" w:eastAsia="宋体"/>
                <w:sz w:val="21"/>
              </w:rPr>
              <w:t>4</w:t>
            </w:r>
            <w:r>
              <w:rPr>
                <w:rFonts w:ascii="宋体" w:hAnsi="宋体" w:cs="宋体" w:eastAsia="宋体"/>
                <w:sz w:val="21"/>
              </w:rPr>
              <w:t>、指挥中心会议系统、视频监控系统、高分可视化系统等软硬一体化系统，日常监测、保养，预防故障发生，及时发现问题，处理问题。</w:t>
            </w:r>
          </w:p>
          <w:p>
            <w:pPr>
              <w:pStyle w:val="null3"/>
              <w:ind w:firstLine="480"/>
              <w:jc w:val="both"/>
            </w:pPr>
            <w:r>
              <w:rPr>
                <w:rFonts w:ascii="宋体" w:hAnsi="宋体" w:cs="宋体" w:eastAsia="宋体"/>
                <w:sz w:val="21"/>
              </w:rPr>
              <w:t>5</w:t>
            </w:r>
            <w:r>
              <w:rPr>
                <w:rFonts w:ascii="宋体" w:hAnsi="宋体" w:cs="宋体" w:eastAsia="宋体"/>
                <w:sz w:val="21"/>
              </w:rPr>
              <w:t>、备机、备件、易耗品保障服务</w:t>
            </w:r>
            <w:r>
              <w:rPr>
                <w:rFonts w:ascii="calibri" w:hAnsi="calibri" w:cs="calibri" w:eastAsia="calibri"/>
                <w:sz w:val="21"/>
              </w:rPr>
              <w:t xml:space="preserve"> </w:t>
            </w:r>
          </w:p>
          <w:p>
            <w:pPr>
              <w:pStyle w:val="null3"/>
              <w:ind w:firstLine="480"/>
              <w:jc w:val="both"/>
            </w:pPr>
            <w:r>
              <w:rPr>
                <w:rFonts w:ascii="宋体" w:hAnsi="宋体" w:cs="宋体" w:eastAsia="宋体"/>
                <w:sz w:val="21"/>
              </w:rPr>
              <w:t>服务方保证使用纯正原厂备机、配件。服务方工程师应根据被服务方的现场情</w:t>
            </w:r>
            <w:r>
              <w:rPr>
                <w:rFonts w:ascii="calibri" w:hAnsi="calibri" w:cs="calibri" w:eastAsia="calibri"/>
                <w:sz w:val="21"/>
              </w:rPr>
              <w:t xml:space="preserve"> </w:t>
            </w:r>
            <w:r>
              <w:rPr>
                <w:rFonts w:ascii="宋体" w:hAnsi="宋体" w:cs="宋体" w:eastAsia="宋体"/>
                <w:sz w:val="21"/>
              </w:rPr>
              <w:t>况随时更换备机、备件，更换损坏部件的时间一般在</w:t>
            </w:r>
            <w:r>
              <w:rPr>
                <w:rFonts w:ascii="宋体" w:hAnsi="宋体" w:cs="宋体" w:eastAsia="宋体"/>
                <w:sz w:val="21"/>
              </w:rPr>
              <w:t xml:space="preserve"> 30 </w:t>
            </w:r>
            <w:r>
              <w:rPr>
                <w:rFonts w:ascii="宋体" w:hAnsi="宋体" w:cs="宋体" w:eastAsia="宋体"/>
                <w:sz w:val="21"/>
              </w:rPr>
              <w:t>分钟</w:t>
            </w:r>
            <w:r>
              <w:rPr>
                <w:rFonts w:ascii="宋体" w:hAnsi="宋体" w:cs="宋体" w:eastAsia="宋体"/>
                <w:sz w:val="21"/>
              </w:rPr>
              <w:t xml:space="preserve">-2 </w:t>
            </w:r>
            <w:r>
              <w:rPr>
                <w:rFonts w:ascii="宋体" w:hAnsi="宋体" w:cs="宋体" w:eastAsia="宋体"/>
                <w:sz w:val="21"/>
              </w:rPr>
              <w:t>小时内完成。</w:t>
            </w:r>
            <w:r>
              <w:rPr>
                <w:rFonts w:ascii="calibri" w:hAnsi="calibri" w:cs="calibri" w:eastAsia="calibri"/>
                <w:sz w:val="21"/>
              </w:rPr>
              <w:t xml:space="preserve"> </w:t>
            </w:r>
          </w:p>
          <w:p>
            <w:pPr>
              <w:pStyle w:val="null3"/>
              <w:ind w:firstLine="480"/>
              <w:jc w:val="both"/>
            </w:pPr>
            <w:r>
              <w:rPr>
                <w:rFonts w:ascii="宋体" w:hAnsi="宋体" w:cs="宋体" w:eastAsia="宋体"/>
                <w:sz w:val="21"/>
              </w:rPr>
              <w:t>按照被服务方要求，服务方应提供工程师现场值守服务，以确保紧急事件的及时处置。</w:t>
            </w:r>
            <w:r>
              <w:rPr>
                <w:rFonts w:ascii="calibri" w:hAnsi="calibri" w:cs="calibri" w:eastAsia="calibri"/>
                <w:sz w:val="21"/>
              </w:rPr>
              <w:t xml:space="preserve"> </w:t>
            </w:r>
          </w:p>
          <w:p>
            <w:pPr>
              <w:pStyle w:val="null3"/>
              <w:ind w:firstLine="480"/>
              <w:jc w:val="both"/>
            </w:pPr>
            <w:r>
              <w:rPr>
                <w:rFonts w:ascii="宋体" w:hAnsi="宋体" w:cs="宋体" w:eastAsia="宋体"/>
                <w:sz w:val="21"/>
              </w:rPr>
              <w:t>维保期限内，服务内容中涉及设备的所有维修维护费用，包括人工费、备件费、</w:t>
            </w:r>
            <w:r>
              <w:rPr>
                <w:rFonts w:ascii="calibri" w:hAnsi="calibri" w:cs="calibri" w:eastAsia="calibri"/>
                <w:sz w:val="21"/>
              </w:rPr>
              <w:t xml:space="preserve"> </w:t>
            </w:r>
            <w:r>
              <w:rPr>
                <w:rFonts w:ascii="宋体" w:hAnsi="宋体" w:cs="宋体" w:eastAsia="宋体"/>
                <w:sz w:val="21"/>
              </w:rPr>
              <w:t>更换易耗品（如过滤网、线材）的费用、人员培训的费用均由服务方承担。</w:t>
            </w:r>
          </w:p>
          <w:p>
            <w:pPr>
              <w:pStyle w:val="null3"/>
              <w:ind w:firstLine="480"/>
              <w:jc w:val="both"/>
            </w:pPr>
            <w:r>
              <w:rPr>
                <w:rFonts w:ascii="宋体" w:hAnsi="宋体" w:cs="宋体" w:eastAsia="宋体"/>
                <w:sz w:val="21"/>
              </w:rPr>
              <w:t>6</w:t>
            </w:r>
            <w:r>
              <w:rPr>
                <w:rFonts w:ascii="宋体" w:hAnsi="宋体" w:cs="宋体" w:eastAsia="宋体"/>
                <w:sz w:val="21"/>
              </w:rPr>
              <w:t>、升级服务</w:t>
            </w:r>
          </w:p>
          <w:p>
            <w:pPr>
              <w:pStyle w:val="null3"/>
              <w:ind w:firstLine="480"/>
              <w:jc w:val="both"/>
            </w:pPr>
            <w:r>
              <w:rPr>
                <w:rFonts w:ascii="宋体" w:hAnsi="宋体" w:cs="宋体" w:eastAsia="宋体"/>
                <w:sz w:val="21"/>
              </w:rPr>
              <w:t>（</w:t>
            </w:r>
            <w:r>
              <w:rPr>
                <w:rFonts w:ascii="宋体" w:hAnsi="宋体" w:cs="宋体" w:eastAsia="宋体"/>
                <w:sz w:val="21"/>
              </w:rPr>
              <w:t>1</w:t>
            </w:r>
            <w:r>
              <w:rPr>
                <w:rFonts w:ascii="宋体" w:hAnsi="宋体" w:cs="宋体" w:eastAsia="宋体"/>
                <w:sz w:val="21"/>
              </w:rPr>
              <w:t>）提供免费的所维护系统、软件和硬件设备的升级。</w:t>
            </w:r>
            <w:r>
              <w:rPr>
                <w:rFonts w:ascii="calibri" w:hAnsi="calibri" w:cs="calibri" w:eastAsia="calibri"/>
                <w:sz w:val="21"/>
              </w:rPr>
              <w:t xml:space="preserve"> </w:t>
            </w:r>
          </w:p>
          <w:p>
            <w:pPr>
              <w:pStyle w:val="null3"/>
              <w:ind w:firstLine="480"/>
              <w:jc w:val="both"/>
            </w:pPr>
            <w:r>
              <w:rPr>
                <w:rFonts w:ascii="宋体" w:hAnsi="宋体" w:cs="宋体" w:eastAsia="宋体"/>
                <w:sz w:val="21"/>
              </w:rPr>
              <w:t>（</w:t>
            </w:r>
            <w:r>
              <w:rPr>
                <w:rFonts w:ascii="宋体" w:hAnsi="宋体" w:cs="宋体" w:eastAsia="宋体"/>
                <w:sz w:val="21"/>
              </w:rPr>
              <w:t>2</w:t>
            </w:r>
            <w:r>
              <w:rPr>
                <w:rFonts w:ascii="宋体" w:hAnsi="宋体" w:cs="宋体" w:eastAsia="宋体"/>
                <w:sz w:val="21"/>
              </w:rPr>
              <w:t>）提供免费不限次数的所维护系统、软件和硬件设备的迁移。</w:t>
            </w:r>
          </w:p>
          <w:p>
            <w:pPr>
              <w:pStyle w:val="null3"/>
              <w:ind w:firstLine="480"/>
              <w:jc w:val="both"/>
            </w:pPr>
            <w:r>
              <w:rPr>
                <w:rFonts w:ascii="宋体" w:hAnsi="宋体" w:cs="宋体" w:eastAsia="宋体"/>
                <w:sz w:val="21"/>
              </w:rPr>
              <w:t>（</w:t>
            </w:r>
            <w:r>
              <w:rPr>
                <w:rFonts w:ascii="宋体" w:hAnsi="宋体" w:cs="宋体" w:eastAsia="宋体"/>
                <w:sz w:val="21"/>
              </w:rPr>
              <w:t>3</w:t>
            </w:r>
            <w:r>
              <w:rPr>
                <w:rFonts w:ascii="宋体" w:hAnsi="宋体" w:cs="宋体" w:eastAsia="宋体"/>
                <w:sz w:val="21"/>
              </w:rPr>
              <w:t>）对现有超高分可视化平台进行优化提升，对现有数据进行优化提升；对超高分可视化系统展示页面进行调整，满足业务需求，对接警情数据，省厅视频共享平台，六合一数据进行优化确保数据实时展示，视频正常查看。</w:t>
            </w:r>
          </w:p>
          <w:p>
            <w:pPr>
              <w:pStyle w:val="null3"/>
              <w:ind w:firstLine="480"/>
              <w:jc w:val="both"/>
            </w:pPr>
            <w:r>
              <w:rPr>
                <w:rFonts w:ascii="宋体" w:hAnsi="宋体" w:cs="宋体" w:eastAsia="宋体"/>
                <w:sz w:val="21"/>
              </w:rPr>
              <w:t>（</w:t>
            </w:r>
            <w:r>
              <w:rPr>
                <w:rFonts w:ascii="宋体" w:hAnsi="宋体" w:cs="宋体" w:eastAsia="宋体"/>
                <w:sz w:val="21"/>
              </w:rPr>
              <w:t>4</w:t>
            </w:r>
            <w:r>
              <w:rPr>
                <w:rFonts w:ascii="宋体" w:hAnsi="宋体" w:cs="宋体" w:eastAsia="宋体"/>
                <w:sz w:val="21"/>
              </w:rPr>
              <w:t>）在现有超高分可视化平台基础上对接集成指挥平台；对接集成指挥平台实时路况数据，在原有可视化地图基础上可以显示实时路况数据，对接集成指挥平台视频数据增加视频展示功能视频数据量。</w:t>
            </w:r>
          </w:p>
          <w:p>
            <w:pPr>
              <w:pStyle w:val="null3"/>
              <w:ind w:left="420"/>
              <w:jc w:val="both"/>
            </w:pPr>
            <w:r>
              <w:rPr>
                <w:rFonts w:ascii="calibri" w:hAnsi="calibri" w:cs="calibri" w:eastAsia="calibri"/>
                <w:sz w:val="21"/>
              </w:rPr>
              <w:t>7</w:t>
            </w:r>
            <w:r>
              <w:rPr>
                <w:rFonts w:ascii="宋体" w:hAnsi="宋体" w:cs="宋体" w:eastAsia="宋体"/>
                <w:sz w:val="21"/>
              </w:rPr>
              <w:t>、特殊时段</w:t>
            </w:r>
          </w:p>
          <w:p>
            <w:pPr>
              <w:pStyle w:val="null3"/>
              <w:ind w:firstLine="480"/>
              <w:jc w:val="both"/>
            </w:pPr>
            <w:r>
              <w:rPr>
                <w:rFonts w:ascii="宋体" w:hAnsi="宋体" w:cs="宋体" w:eastAsia="宋体"/>
                <w:sz w:val="21"/>
              </w:rPr>
              <w:t>在春节、劳动节、国庆节及业务高峰期等对系统设备稳定运行要求较高的特殊时段，</w:t>
            </w:r>
            <w:r>
              <w:rPr>
                <w:rFonts w:ascii="calibri" w:hAnsi="calibri" w:cs="calibri" w:eastAsia="calibri"/>
                <w:sz w:val="21"/>
              </w:rPr>
              <w:t xml:space="preserve"> </w:t>
            </w:r>
            <w:r>
              <w:rPr>
                <w:rFonts w:ascii="宋体" w:hAnsi="宋体" w:cs="宋体" w:eastAsia="宋体"/>
                <w:sz w:val="21"/>
              </w:rPr>
              <w:t>提供各值班工程师的时间表、联系电话表，根据总队要求安排工程师提供现场值班技术支持服务。</w:t>
            </w:r>
            <w:r>
              <w:rPr>
                <w:rFonts w:ascii="calibri" w:hAnsi="calibri" w:cs="calibri" w:eastAsia="calibri"/>
                <w:sz w:val="21"/>
              </w:rPr>
              <w:t xml:space="preserve"> </w:t>
            </w:r>
          </w:p>
          <w:p>
            <w:pPr>
              <w:pStyle w:val="null3"/>
              <w:ind w:firstLine="480"/>
              <w:jc w:val="both"/>
            </w:pPr>
            <w:r>
              <w:rPr>
                <w:rFonts w:ascii="宋体" w:hAnsi="宋体" w:cs="宋体" w:eastAsia="宋体"/>
                <w:sz w:val="21"/>
              </w:rPr>
              <w:t>在计划实施较重要的项目（如系统安装、升级、联网、数据迁移、业务合并或拓展等）时，在得到总队通知后积极予以响应，并派相关技术工程师到现场服务。</w:t>
            </w:r>
          </w:p>
          <w:p>
            <w:pPr>
              <w:pStyle w:val="null3"/>
              <w:jc w:val="both"/>
            </w:pPr>
            <w:r>
              <w:rPr>
                <w:rFonts w:ascii="黑体" w:hAnsi="黑体" w:cs="黑体" w:eastAsia="黑体"/>
                <w:b/>
                <w:sz w:val="24"/>
              </w:rPr>
              <w:t>4人员要求</w:t>
            </w:r>
          </w:p>
          <w:p>
            <w:pPr>
              <w:pStyle w:val="null3"/>
              <w:ind w:firstLine="480"/>
              <w:jc w:val="both"/>
            </w:pPr>
            <w:r>
              <w:rPr>
                <w:rFonts w:ascii="宋体" w:hAnsi="宋体" w:cs="宋体" w:eastAsia="宋体"/>
                <w:sz w:val="21"/>
              </w:rPr>
              <w:t>向总队派驻不少于六名工程师驻场，完成系统日常的运维工作，保证系统高效稳定的运行。</w:t>
            </w:r>
          </w:p>
          <w:p>
            <w:pPr>
              <w:pStyle w:val="null3"/>
              <w:ind w:firstLine="480"/>
              <w:jc w:val="both"/>
            </w:pPr>
            <w:r>
              <w:rPr>
                <w:rFonts w:ascii="宋体" w:hAnsi="宋体" w:cs="宋体" w:eastAsia="宋体"/>
                <w:sz w:val="21"/>
              </w:rPr>
              <w:t>（</w:t>
            </w:r>
            <w:r>
              <w:rPr>
                <w:rFonts w:ascii="宋体" w:hAnsi="宋体" w:cs="宋体" w:eastAsia="宋体"/>
                <w:sz w:val="21"/>
              </w:rPr>
              <w:t>1</w:t>
            </w:r>
            <w:r>
              <w:rPr>
                <w:rFonts w:ascii="宋体" w:hAnsi="宋体" w:cs="宋体" w:eastAsia="宋体"/>
                <w:sz w:val="21"/>
              </w:rPr>
              <w:t>）业务支撑岗要求（至少派驻</w:t>
            </w:r>
            <w:r>
              <w:rPr>
                <w:rFonts w:ascii="宋体" w:hAnsi="宋体" w:cs="宋体" w:eastAsia="宋体"/>
                <w:sz w:val="21"/>
              </w:rPr>
              <w:t>3</w:t>
            </w:r>
            <w:r>
              <w:rPr>
                <w:rFonts w:ascii="宋体" w:hAnsi="宋体" w:cs="宋体" w:eastAsia="宋体"/>
                <w:sz w:val="21"/>
              </w:rPr>
              <w:t>名）：</w:t>
            </w:r>
          </w:p>
          <w:p>
            <w:pPr>
              <w:pStyle w:val="null3"/>
              <w:ind w:firstLine="480"/>
              <w:jc w:val="both"/>
            </w:pPr>
            <w:r>
              <w:rPr>
                <w:rFonts w:ascii="宋体" w:hAnsi="宋体" w:cs="宋体" w:eastAsia="宋体"/>
                <w:sz w:val="21"/>
              </w:rPr>
              <w:t>1</w:t>
            </w:r>
            <w:r>
              <w:rPr>
                <w:rFonts w:ascii="宋体" w:hAnsi="宋体" w:cs="宋体" w:eastAsia="宋体"/>
                <w:sz w:val="21"/>
              </w:rPr>
              <w:t>、计算机或相关专业</w:t>
            </w:r>
            <w:r>
              <w:rPr>
                <w:rFonts w:ascii="宋体" w:hAnsi="宋体" w:cs="宋体" w:eastAsia="宋体"/>
                <w:sz w:val="21"/>
              </w:rPr>
              <w:t>,</w:t>
            </w:r>
            <w:r>
              <w:rPr>
                <w:rFonts w:ascii="宋体" w:hAnsi="宋体" w:cs="宋体" w:eastAsia="宋体"/>
                <w:sz w:val="21"/>
              </w:rPr>
              <w:t>本科以上学历</w:t>
            </w:r>
            <w:r>
              <w:rPr>
                <w:rFonts w:ascii="宋体" w:hAnsi="宋体" w:cs="宋体" w:eastAsia="宋体"/>
                <w:sz w:val="21"/>
              </w:rPr>
              <w:t>,</w:t>
            </w:r>
            <w:r>
              <w:rPr>
                <w:rFonts w:ascii="宋体" w:hAnsi="宋体" w:cs="宋体" w:eastAsia="宋体"/>
                <w:sz w:val="21"/>
              </w:rPr>
              <w:t>有</w:t>
            </w:r>
            <w:r>
              <w:rPr>
                <w:rFonts w:ascii="宋体" w:hAnsi="宋体" w:cs="宋体" w:eastAsia="宋体"/>
                <w:sz w:val="21"/>
              </w:rPr>
              <w:t>2</w:t>
            </w:r>
            <w:r>
              <w:rPr>
                <w:rFonts w:ascii="宋体" w:hAnsi="宋体" w:cs="宋体" w:eastAsia="宋体"/>
                <w:sz w:val="21"/>
              </w:rPr>
              <w:t>年以上信息化工作经验，提供切实的证明材料（客户盖章的工作说明等）；</w:t>
            </w:r>
          </w:p>
          <w:p>
            <w:pPr>
              <w:pStyle w:val="null3"/>
              <w:ind w:firstLine="480"/>
              <w:jc w:val="both"/>
            </w:pPr>
            <w:r>
              <w:rPr>
                <w:rFonts w:ascii="宋体" w:hAnsi="宋体" w:cs="宋体" w:eastAsia="宋体"/>
                <w:sz w:val="21"/>
              </w:rPr>
              <w:t>2</w:t>
            </w:r>
            <w:r>
              <w:rPr>
                <w:rFonts w:ascii="宋体" w:hAnsi="宋体" w:cs="宋体" w:eastAsia="宋体"/>
                <w:sz w:val="21"/>
              </w:rPr>
              <w:t>、有较好的沟通和协作能力，极强的执行力和沟通能力，具备良好的服务意识。</w:t>
            </w:r>
          </w:p>
          <w:p>
            <w:pPr>
              <w:pStyle w:val="null3"/>
              <w:ind w:firstLine="480"/>
              <w:jc w:val="both"/>
            </w:pPr>
            <w:r>
              <w:rPr>
                <w:rFonts w:ascii="宋体" w:hAnsi="宋体" w:cs="宋体" w:eastAsia="宋体"/>
                <w:sz w:val="21"/>
              </w:rPr>
              <w:t>3</w:t>
            </w:r>
            <w:r>
              <w:rPr>
                <w:rFonts w:ascii="宋体" w:hAnsi="宋体" w:cs="宋体" w:eastAsia="宋体"/>
                <w:sz w:val="21"/>
              </w:rPr>
              <w:t>、熟悉</w:t>
            </w:r>
            <w:r>
              <w:rPr>
                <w:rFonts w:ascii="宋体" w:hAnsi="宋体" w:cs="宋体" w:eastAsia="宋体"/>
                <w:sz w:val="21"/>
              </w:rPr>
              <w:t>PC</w:t>
            </w:r>
            <w:r>
              <w:rPr>
                <w:rFonts w:ascii="宋体" w:hAnsi="宋体" w:cs="宋体" w:eastAsia="宋体"/>
                <w:sz w:val="21"/>
              </w:rPr>
              <w:t>机硬件、服务器、路由器、防火墙等各种网络设备的操作、维护并具备故障诊断和处理能力；</w:t>
            </w:r>
            <w:r>
              <w:rPr>
                <w:rFonts w:ascii="calibri" w:hAnsi="calibri" w:cs="calibri" w:eastAsia="calibri"/>
                <w:sz w:val="21"/>
              </w:rPr>
              <w:t xml:space="preserve"> </w:t>
            </w:r>
          </w:p>
          <w:p>
            <w:pPr>
              <w:pStyle w:val="null3"/>
              <w:ind w:firstLine="480"/>
              <w:jc w:val="both"/>
            </w:pPr>
            <w:r>
              <w:rPr>
                <w:rFonts w:ascii="宋体" w:hAnsi="宋体" w:cs="宋体" w:eastAsia="宋体"/>
                <w:sz w:val="21"/>
              </w:rPr>
              <w:t>4</w:t>
            </w:r>
            <w:r>
              <w:rPr>
                <w:rFonts w:ascii="宋体" w:hAnsi="宋体" w:cs="宋体" w:eastAsia="宋体"/>
                <w:sz w:val="21"/>
              </w:rPr>
              <w:t>、熟悉会议系统及配套系统、交警各业务系统</w:t>
            </w:r>
            <w:r>
              <w:rPr>
                <w:rFonts w:ascii="宋体" w:hAnsi="宋体" w:cs="宋体" w:eastAsia="宋体"/>
                <w:sz w:val="21"/>
              </w:rPr>
              <w:t>。</w:t>
            </w:r>
          </w:p>
          <w:p>
            <w:pPr>
              <w:pStyle w:val="null3"/>
              <w:ind w:firstLine="480"/>
              <w:jc w:val="both"/>
            </w:pPr>
            <w:r>
              <w:rPr>
                <w:rFonts w:ascii="宋体" w:hAnsi="宋体" w:cs="宋体" w:eastAsia="宋体"/>
                <w:sz w:val="21"/>
              </w:rPr>
              <w:t>5</w:t>
            </w:r>
            <w:r>
              <w:rPr>
                <w:rFonts w:ascii="宋体" w:hAnsi="宋体" w:cs="宋体" w:eastAsia="宋体"/>
                <w:sz w:val="21"/>
              </w:rPr>
              <w:t>、处理电脑设备的故障检修、安全防范，提供</w:t>
            </w:r>
            <w:r>
              <w:rPr>
                <w:rFonts w:ascii="宋体" w:hAnsi="宋体" w:cs="宋体" w:eastAsia="宋体"/>
                <w:sz w:val="21"/>
              </w:rPr>
              <w:t>IT</w:t>
            </w:r>
            <w:r>
              <w:rPr>
                <w:rFonts w:ascii="宋体" w:hAnsi="宋体" w:cs="宋体" w:eastAsia="宋体"/>
                <w:sz w:val="21"/>
              </w:rPr>
              <w:t>方面的技术支持。</w:t>
            </w:r>
            <w:r>
              <w:rPr>
                <w:rFonts w:ascii="calibri" w:hAnsi="calibri" w:cs="calibri" w:eastAsia="calibri"/>
                <w:sz w:val="21"/>
              </w:rPr>
              <w:t xml:space="preserve"> </w:t>
            </w:r>
          </w:p>
          <w:p>
            <w:pPr>
              <w:pStyle w:val="null3"/>
              <w:ind w:firstLine="480"/>
              <w:jc w:val="both"/>
            </w:pPr>
            <w:r>
              <w:rPr>
                <w:rFonts w:ascii="宋体" w:hAnsi="宋体" w:cs="宋体" w:eastAsia="宋体"/>
                <w:sz w:val="21"/>
              </w:rPr>
              <w:t>6</w:t>
            </w:r>
            <w:r>
              <w:rPr>
                <w:rFonts w:ascii="宋体" w:hAnsi="宋体" w:cs="宋体" w:eastAsia="宋体"/>
                <w:sz w:val="21"/>
              </w:rPr>
              <w:t>、完成上级领导交给其他临时性工作。</w:t>
            </w:r>
          </w:p>
          <w:p>
            <w:pPr>
              <w:pStyle w:val="null3"/>
              <w:ind w:firstLine="480"/>
              <w:jc w:val="both"/>
            </w:pPr>
            <w:r>
              <w:rPr>
                <w:rFonts w:ascii="宋体" w:hAnsi="宋体" w:cs="宋体" w:eastAsia="宋体"/>
                <w:sz w:val="21"/>
              </w:rPr>
              <w:t>7</w:t>
            </w:r>
            <w:r>
              <w:rPr>
                <w:rFonts w:ascii="宋体" w:hAnsi="宋体" w:cs="宋体" w:eastAsia="宋体"/>
                <w:sz w:val="21"/>
              </w:rPr>
              <w:t>、熟悉服务管理、单元部署、自动扩容等运维系统建设，对成本控制和效能提升有深刻的理解和实践；</w:t>
            </w:r>
          </w:p>
          <w:p>
            <w:pPr>
              <w:pStyle w:val="null3"/>
              <w:ind w:firstLine="480"/>
              <w:jc w:val="both"/>
            </w:pPr>
            <w:r>
              <w:rPr>
                <w:rFonts w:ascii="宋体" w:hAnsi="宋体" w:cs="宋体" w:eastAsia="宋体"/>
                <w:sz w:val="21"/>
              </w:rPr>
              <w:t>8</w:t>
            </w:r>
            <w:r>
              <w:rPr>
                <w:rFonts w:ascii="宋体" w:hAnsi="宋体" w:cs="宋体" w:eastAsia="宋体"/>
                <w:sz w:val="21"/>
              </w:rPr>
              <w:t>、具有良好的团队协作、沟通能力，乐于分享，良好的客户服务意识和一定的文档写作能力；</w:t>
            </w:r>
          </w:p>
          <w:p>
            <w:pPr>
              <w:pStyle w:val="null3"/>
              <w:ind w:firstLine="480"/>
              <w:jc w:val="both"/>
            </w:pPr>
            <w:r>
              <w:rPr>
                <w:rFonts w:ascii="宋体" w:hAnsi="宋体" w:cs="宋体" w:eastAsia="宋体"/>
                <w:sz w:val="21"/>
              </w:rPr>
              <w:t>9</w:t>
            </w:r>
            <w:r>
              <w:rPr>
                <w:rFonts w:ascii="宋体" w:hAnsi="宋体" w:cs="宋体" w:eastAsia="宋体"/>
                <w:sz w:val="21"/>
              </w:rPr>
              <w:t>、负责软件平台的监控、升级、部署、维护、备份、恢复等工作。</w:t>
            </w:r>
          </w:p>
          <w:p>
            <w:pPr>
              <w:pStyle w:val="null3"/>
              <w:ind w:firstLine="480"/>
              <w:jc w:val="both"/>
            </w:pPr>
            <w:r>
              <w:rPr>
                <w:rFonts w:ascii="宋体" w:hAnsi="宋体" w:cs="宋体" w:eastAsia="宋体"/>
                <w:sz w:val="21"/>
              </w:rPr>
              <w:t>10</w:t>
            </w:r>
            <w:r>
              <w:rPr>
                <w:rFonts w:ascii="宋体" w:hAnsi="宋体" w:cs="宋体" w:eastAsia="宋体"/>
                <w:sz w:val="21"/>
              </w:rPr>
              <w:t>、</w:t>
            </w:r>
            <w:r>
              <w:rPr>
                <w:rFonts w:ascii="宋体" w:hAnsi="宋体" w:cs="宋体" w:eastAsia="宋体"/>
                <w:sz w:val="21"/>
              </w:rPr>
              <w:t>3*8</w:t>
            </w:r>
            <w:r>
              <w:rPr>
                <w:rFonts w:ascii="宋体" w:hAnsi="宋体" w:cs="宋体" w:eastAsia="宋体"/>
                <w:sz w:val="21"/>
              </w:rPr>
              <w:t>小时换岗制，</w:t>
            </w:r>
            <w:r>
              <w:rPr>
                <w:rFonts w:ascii="宋体" w:hAnsi="宋体" w:cs="宋体" w:eastAsia="宋体"/>
                <w:sz w:val="21"/>
              </w:rPr>
              <w:t>7*24</w:t>
            </w:r>
            <w:r>
              <w:rPr>
                <w:rFonts w:ascii="宋体" w:hAnsi="宋体" w:cs="宋体" w:eastAsia="宋体"/>
                <w:sz w:val="21"/>
              </w:rPr>
              <w:t>小时服务。</w:t>
            </w:r>
          </w:p>
          <w:p>
            <w:pPr>
              <w:pStyle w:val="null3"/>
              <w:ind w:firstLine="480"/>
              <w:jc w:val="both"/>
            </w:pPr>
            <w:r>
              <w:rPr>
                <w:rFonts w:ascii="宋体" w:hAnsi="宋体" w:cs="宋体" w:eastAsia="宋体"/>
                <w:sz w:val="21"/>
              </w:rPr>
              <w:t>(2)</w:t>
            </w:r>
            <w:r>
              <w:rPr>
                <w:rFonts w:ascii="宋体" w:hAnsi="宋体" w:cs="宋体" w:eastAsia="宋体"/>
                <w:sz w:val="21"/>
              </w:rPr>
              <w:t>信息管理岗要求（至少派驻</w:t>
            </w:r>
            <w:r>
              <w:rPr>
                <w:rFonts w:ascii="宋体" w:hAnsi="宋体" w:cs="宋体" w:eastAsia="宋体"/>
                <w:sz w:val="21"/>
              </w:rPr>
              <w:t>2</w:t>
            </w:r>
            <w:r>
              <w:rPr>
                <w:rFonts w:ascii="宋体" w:hAnsi="宋体" w:cs="宋体" w:eastAsia="宋体"/>
                <w:sz w:val="21"/>
              </w:rPr>
              <w:t>名）：</w:t>
            </w:r>
          </w:p>
          <w:p>
            <w:pPr>
              <w:pStyle w:val="null3"/>
              <w:ind w:firstLine="480"/>
              <w:jc w:val="both"/>
            </w:pPr>
            <w:r>
              <w:rPr>
                <w:rFonts w:ascii="宋体" w:hAnsi="宋体" w:cs="宋体" w:eastAsia="宋体"/>
                <w:sz w:val="21"/>
              </w:rPr>
              <w:t>1</w:t>
            </w:r>
            <w:r>
              <w:rPr>
                <w:rFonts w:ascii="宋体" w:hAnsi="宋体" w:cs="宋体" w:eastAsia="宋体"/>
                <w:sz w:val="21"/>
              </w:rPr>
              <w:t>、计算机或相关专业本科及以上学历，</w:t>
            </w:r>
            <w:r>
              <w:rPr>
                <w:rFonts w:ascii="宋体" w:hAnsi="宋体" w:cs="宋体" w:eastAsia="宋体"/>
                <w:sz w:val="21"/>
              </w:rPr>
              <w:t>3</w:t>
            </w:r>
            <w:r>
              <w:rPr>
                <w:rFonts w:ascii="宋体" w:hAnsi="宋体" w:cs="宋体" w:eastAsia="宋体"/>
                <w:sz w:val="21"/>
              </w:rPr>
              <w:t>年以上相关工作经验；提供切实的证明材料（客户盖章的工作说明等）；</w:t>
            </w:r>
          </w:p>
          <w:p>
            <w:pPr>
              <w:pStyle w:val="null3"/>
              <w:ind w:firstLine="480"/>
              <w:jc w:val="both"/>
            </w:pPr>
            <w:r>
              <w:rPr>
                <w:rFonts w:ascii="宋体" w:hAnsi="宋体" w:cs="宋体" w:eastAsia="宋体"/>
                <w:sz w:val="21"/>
              </w:rPr>
              <w:t>2</w:t>
            </w:r>
            <w:r>
              <w:rPr>
                <w:rFonts w:ascii="宋体" w:hAnsi="宋体" w:cs="宋体" w:eastAsia="宋体"/>
                <w:sz w:val="21"/>
              </w:rPr>
              <w:t>、负责超高分可视化系统、视频联网平台、警车定位系统及数据模型应用现场运维服务；</w:t>
            </w:r>
          </w:p>
          <w:p>
            <w:pPr>
              <w:pStyle w:val="null3"/>
              <w:ind w:firstLine="480"/>
              <w:jc w:val="both"/>
            </w:pPr>
            <w:r>
              <w:rPr>
                <w:rFonts w:ascii="宋体" w:hAnsi="宋体" w:cs="宋体" w:eastAsia="宋体"/>
                <w:sz w:val="21"/>
              </w:rPr>
              <w:t>3</w:t>
            </w:r>
            <w:r>
              <w:rPr>
                <w:rFonts w:ascii="宋体" w:hAnsi="宋体" w:cs="宋体" w:eastAsia="宋体"/>
                <w:sz w:val="21"/>
              </w:rPr>
              <w:t>、熟悉常见</w:t>
            </w:r>
            <w:r>
              <w:rPr>
                <w:rFonts w:ascii="宋体" w:hAnsi="宋体" w:cs="宋体" w:eastAsia="宋体"/>
                <w:sz w:val="21"/>
              </w:rPr>
              <w:t>web</w:t>
            </w:r>
            <w:r>
              <w:rPr>
                <w:rFonts w:ascii="宋体" w:hAnsi="宋体" w:cs="宋体" w:eastAsia="宋体"/>
                <w:sz w:val="21"/>
              </w:rPr>
              <w:t>安全漏洞的产生原理及修复方案，熟悉</w:t>
            </w:r>
            <w:r>
              <w:rPr>
                <w:rFonts w:ascii="宋体" w:hAnsi="宋体" w:cs="宋体" w:eastAsia="宋体"/>
                <w:sz w:val="21"/>
              </w:rPr>
              <w:t>Linux</w:t>
            </w:r>
            <w:r>
              <w:rPr>
                <w:rFonts w:ascii="宋体" w:hAnsi="宋体" w:cs="宋体" w:eastAsia="宋体"/>
                <w:sz w:val="21"/>
              </w:rPr>
              <w:t>系统和</w:t>
            </w:r>
            <w:r>
              <w:rPr>
                <w:rFonts w:ascii="宋体" w:hAnsi="宋体" w:cs="宋体" w:eastAsia="宋体"/>
                <w:sz w:val="21"/>
              </w:rPr>
              <w:t>Windows</w:t>
            </w:r>
            <w:r>
              <w:rPr>
                <w:rFonts w:ascii="宋体" w:hAnsi="宋体" w:cs="宋体" w:eastAsia="宋体"/>
                <w:sz w:val="21"/>
              </w:rPr>
              <w:t>系统及相关服务、系统应用安全特性；</w:t>
            </w:r>
          </w:p>
          <w:p>
            <w:pPr>
              <w:pStyle w:val="null3"/>
              <w:ind w:firstLine="480"/>
              <w:jc w:val="both"/>
            </w:pPr>
            <w:r>
              <w:rPr>
                <w:rFonts w:ascii="宋体" w:hAnsi="宋体" w:cs="宋体" w:eastAsia="宋体"/>
                <w:sz w:val="21"/>
              </w:rPr>
              <w:t>4</w:t>
            </w:r>
            <w:r>
              <w:rPr>
                <w:rFonts w:ascii="宋体" w:hAnsi="宋体" w:cs="宋体" w:eastAsia="宋体"/>
                <w:sz w:val="21"/>
              </w:rPr>
              <w:t>、熟悉各类网络安全设备，如</w:t>
            </w:r>
            <w:r>
              <w:rPr>
                <w:rFonts w:ascii="宋体" w:hAnsi="宋体" w:cs="宋体" w:eastAsia="宋体"/>
                <w:sz w:val="21"/>
              </w:rPr>
              <w:t>IPS</w:t>
            </w:r>
            <w:r>
              <w:rPr>
                <w:rFonts w:ascii="宋体" w:hAnsi="宋体" w:cs="宋体" w:eastAsia="宋体"/>
                <w:sz w:val="21"/>
              </w:rPr>
              <w:t>、</w:t>
            </w:r>
            <w:r>
              <w:rPr>
                <w:rFonts w:ascii="宋体" w:hAnsi="宋体" w:cs="宋体" w:eastAsia="宋体"/>
                <w:sz w:val="21"/>
              </w:rPr>
              <w:t>IDS</w:t>
            </w:r>
            <w:r>
              <w:rPr>
                <w:rFonts w:ascii="宋体" w:hAnsi="宋体" w:cs="宋体" w:eastAsia="宋体"/>
                <w:sz w:val="21"/>
              </w:rPr>
              <w:t>、</w:t>
            </w:r>
            <w:r>
              <w:rPr>
                <w:rFonts w:ascii="宋体" w:hAnsi="宋体" w:cs="宋体" w:eastAsia="宋体"/>
                <w:sz w:val="21"/>
              </w:rPr>
              <w:t>WAF</w:t>
            </w:r>
            <w:r>
              <w:rPr>
                <w:rFonts w:ascii="宋体" w:hAnsi="宋体" w:cs="宋体" w:eastAsia="宋体"/>
                <w:sz w:val="21"/>
              </w:rPr>
              <w:t>、</w:t>
            </w:r>
            <w:r>
              <w:rPr>
                <w:rFonts w:ascii="宋体" w:hAnsi="宋体" w:cs="宋体" w:eastAsia="宋体"/>
                <w:sz w:val="21"/>
              </w:rPr>
              <w:t>SOC</w:t>
            </w:r>
            <w:r>
              <w:rPr>
                <w:rFonts w:ascii="宋体" w:hAnsi="宋体" w:cs="宋体" w:eastAsia="宋体"/>
                <w:sz w:val="21"/>
              </w:rPr>
              <w:t>、防毒墙等；</w:t>
            </w:r>
          </w:p>
          <w:p>
            <w:pPr>
              <w:pStyle w:val="null3"/>
              <w:ind w:firstLine="480"/>
              <w:jc w:val="both"/>
            </w:pPr>
            <w:r>
              <w:rPr>
                <w:rFonts w:ascii="宋体" w:hAnsi="宋体" w:cs="宋体" w:eastAsia="宋体"/>
                <w:sz w:val="21"/>
              </w:rPr>
              <w:t>5</w:t>
            </w:r>
            <w:r>
              <w:rPr>
                <w:rFonts w:ascii="宋体" w:hAnsi="宋体" w:cs="宋体" w:eastAsia="宋体"/>
                <w:sz w:val="21"/>
              </w:rPr>
              <w:t>、熟悉</w:t>
            </w:r>
            <w:r>
              <w:rPr>
                <w:rFonts w:ascii="宋体" w:hAnsi="宋体" w:cs="宋体" w:eastAsia="宋体"/>
                <w:sz w:val="21"/>
              </w:rPr>
              <w:t>shell/python/java/php</w:t>
            </w:r>
            <w:r>
              <w:rPr>
                <w:rFonts w:ascii="宋体" w:hAnsi="宋体" w:cs="宋体" w:eastAsia="宋体"/>
                <w:sz w:val="21"/>
              </w:rPr>
              <w:t>等至少一种语言，具备代码安全审计经验者优先考虑；</w:t>
            </w:r>
          </w:p>
          <w:p>
            <w:pPr>
              <w:pStyle w:val="null3"/>
              <w:ind w:firstLine="480"/>
              <w:jc w:val="both"/>
            </w:pPr>
            <w:r>
              <w:rPr>
                <w:rFonts w:ascii="宋体" w:hAnsi="宋体" w:cs="宋体" w:eastAsia="宋体"/>
                <w:sz w:val="21"/>
              </w:rPr>
              <w:t>6</w:t>
            </w:r>
            <w:r>
              <w:rPr>
                <w:rFonts w:ascii="宋体" w:hAnsi="宋体" w:cs="宋体" w:eastAsia="宋体"/>
                <w:sz w:val="21"/>
              </w:rPr>
              <w:t>、良好的团队协作能力和自我驱动能力；</w:t>
            </w:r>
          </w:p>
          <w:p>
            <w:pPr>
              <w:pStyle w:val="null3"/>
              <w:ind w:firstLine="480"/>
              <w:jc w:val="both"/>
            </w:pPr>
            <w:r>
              <w:rPr>
                <w:rFonts w:ascii="宋体" w:hAnsi="宋体" w:cs="宋体" w:eastAsia="宋体"/>
                <w:sz w:val="21"/>
              </w:rPr>
              <w:t>7</w:t>
            </w:r>
            <w:r>
              <w:rPr>
                <w:rFonts w:ascii="宋体" w:hAnsi="宋体" w:cs="宋体" w:eastAsia="宋体"/>
                <w:sz w:val="21"/>
              </w:rPr>
              <w:t>、有较好的沟通和协作能力，极强的执行力和沟通能力，具备良好的服务意识。</w:t>
            </w:r>
          </w:p>
          <w:p>
            <w:pPr>
              <w:pStyle w:val="null3"/>
              <w:ind w:firstLine="480"/>
              <w:jc w:val="both"/>
            </w:pPr>
            <w:r>
              <w:rPr>
                <w:rFonts w:ascii="宋体" w:hAnsi="宋体" w:cs="宋体" w:eastAsia="宋体"/>
                <w:sz w:val="21"/>
              </w:rPr>
              <w:t>8</w:t>
            </w:r>
            <w:r>
              <w:rPr>
                <w:rFonts w:ascii="宋体" w:hAnsi="宋体" w:cs="宋体" w:eastAsia="宋体"/>
                <w:sz w:val="21"/>
              </w:rPr>
              <w:t>、提供</w:t>
            </w:r>
            <w:r>
              <w:rPr>
                <w:rFonts w:ascii="宋体" w:hAnsi="宋体" w:cs="宋体" w:eastAsia="宋体"/>
                <w:sz w:val="21"/>
              </w:rPr>
              <w:t>5*8</w:t>
            </w:r>
            <w:r>
              <w:rPr>
                <w:rFonts w:ascii="宋体" w:hAnsi="宋体" w:cs="宋体" w:eastAsia="宋体"/>
                <w:sz w:val="21"/>
              </w:rPr>
              <w:t>小时驻守，支持</w:t>
            </w:r>
            <w:r>
              <w:rPr>
                <w:rFonts w:ascii="宋体" w:hAnsi="宋体" w:cs="宋体" w:eastAsia="宋体"/>
                <w:sz w:val="21"/>
              </w:rPr>
              <w:t>7*24</w:t>
            </w:r>
            <w:r>
              <w:rPr>
                <w:rFonts w:ascii="宋体" w:hAnsi="宋体" w:cs="宋体" w:eastAsia="宋体"/>
                <w:sz w:val="21"/>
              </w:rPr>
              <w:t>小时服务。</w:t>
            </w:r>
          </w:p>
          <w:p>
            <w:pPr>
              <w:pStyle w:val="null3"/>
              <w:ind w:firstLine="480"/>
              <w:jc w:val="both"/>
            </w:pPr>
            <w:r>
              <w:rPr>
                <w:rFonts w:ascii="宋体" w:hAnsi="宋体" w:cs="宋体" w:eastAsia="宋体"/>
                <w:sz w:val="21"/>
              </w:rPr>
              <w:t>(3)</w:t>
            </w:r>
            <w:r>
              <w:rPr>
                <w:rFonts w:ascii="宋体" w:hAnsi="宋体" w:cs="宋体" w:eastAsia="宋体"/>
                <w:sz w:val="21"/>
              </w:rPr>
              <w:t>机房运维岗（至少派驻</w:t>
            </w:r>
            <w:r>
              <w:rPr>
                <w:rFonts w:ascii="宋体" w:hAnsi="宋体" w:cs="宋体" w:eastAsia="宋体"/>
                <w:sz w:val="21"/>
              </w:rPr>
              <w:t>1</w:t>
            </w:r>
            <w:r>
              <w:rPr>
                <w:rFonts w:ascii="宋体" w:hAnsi="宋体" w:cs="宋体" w:eastAsia="宋体"/>
                <w:sz w:val="21"/>
              </w:rPr>
              <w:t>名）：</w:t>
            </w:r>
          </w:p>
          <w:p>
            <w:pPr>
              <w:pStyle w:val="null3"/>
              <w:ind w:firstLine="480"/>
              <w:jc w:val="both"/>
            </w:pPr>
            <w:r>
              <w:rPr>
                <w:rFonts w:ascii="宋体" w:hAnsi="宋体" w:cs="宋体" w:eastAsia="宋体"/>
                <w:sz w:val="21"/>
              </w:rPr>
              <w:t>1</w:t>
            </w:r>
            <w:r>
              <w:rPr>
                <w:rFonts w:ascii="宋体" w:hAnsi="宋体" w:cs="宋体" w:eastAsia="宋体"/>
                <w:sz w:val="21"/>
              </w:rPr>
              <w:t>、计算机或相关专业</w:t>
            </w:r>
            <w:r>
              <w:rPr>
                <w:rFonts w:ascii="宋体" w:hAnsi="宋体" w:cs="宋体" w:eastAsia="宋体"/>
                <w:sz w:val="21"/>
              </w:rPr>
              <w:t>,</w:t>
            </w:r>
            <w:r>
              <w:rPr>
                <w:rFonts w:ascii="宋体" w:hAnsi="宋体" w:cs="宋体" w:eastAsia="宋体"/>
                <w:sz w:val="21"/>
              </w:rPr>
              <w:t>本科以上学历</w:t>
            </w:r>
            <w:r>
              <w:rPr>
                <w:rFonts w:ascii="宋体" w:hAnsi="宋体" w:cs="宋体" w:eastAsia="宋体"/>
                <w:sz w:val="21"/>
              </w:rPr>
              <w:t>,</w:t>
            </w:r>
            <w:r>
              <w:rPr>
                <w:rFonts w:ascii="宋体" w:hAnsi="宋体" w:cs="宋体" w:eastAsia="宋体"/>
                <w:sz w:val="21"/>
              </w:rPr>
              <w:t>有两年以上信息机房维护工作经验经验，提供切实的证明材料（客户盖章的工作说明等）；</w:t>
            </w:r>
          </w:p>
          <w:p>
            <w:pPr>
              <w:pStyle w:val="null3"/>
              <w:ind w:firstLine="480"/>
              <w:jc w:val="both"/>
            </w:pPr>
            <w:r>
              <w:rPr>
                <w:rFonts w:ascii="宋体" w:hAnsi="宋体" w:cs="宋体" w:eastAsia="宋体"/>
                <w:sz w:val="21"/>
              </w:rPr>
              <w:t>2</w:t>
            </w:r>
            <w:r>
              <w:rPr>
                <w:rFonts w:ascii="宋体" w:hAnsi="宋体" w:cs="宋体" w:eastAsia="宋体"/>
                <w:sz w:val="21"/>
              </w:rPr>
              <w:t>、熟练</w:t>
            </w:r>
            <w:r>
              <w:rPr>
                <w:rFonts w:ascii="宋体" w:hAnsi="宋体" w:cs="宋体" w:eastAsia="宋体"/>
                <w:sz w:val="21"/>
              </w:rPr>
              <w:t>hp-unix</w:t>
            </w:r>
            <w:r>
              <w:rPr>
                <w:rFonts w:ascii="宋体" w:hAnsi="宋体" w:cs="宋体" w:eastAsia="宋体"/>
                <w:sz w:val="21"/>
              </w:rPr>
              <w:t>、</w:t>
            </w:r>
            <w:r>
              <w:rPr>
                <w:rFonts w:ascii="宋体" w:hAnsi="宋体" w:cs="宋体" w:eastAsia="宋体"/>
                <w:sz w:val="21"/>
              </w:rPr>
              <w:t>linux</w:t>
            </w:r>
            <w:r>
              <w:rPr>
                <w:rFonts w:ascii="宋体" w:hAnsi="宋体" w:cs="宋体" w:eastAsia="宋体"/>
                <w:sz w:val="21"/>
              </w:rPr>
              <w:t>、</w:t>
            </w:r>
            <w:r>
              <w:rPr>
                <w:rFonts w:ascii="宋体" w:hAnsi="宋体" w:cs="宋体" w:eastAsia="宋体"/>
                <w:sz w:val="21"/>
              </w:rPr>
              <w:t>aix</w:t>
            </w:r>
            <w:r>
              <w:rPr>
                <w:rFonts w:ascii="宋体" w:hAnsi="宋体" w:cs="宋体" w:eastAsia="宋体"/>
                <w:sz w:val="21"/>
              </w:rPr>
              <w:t>操作系统的原理和命令</w:t>
            </w:r>
            <w:r>
              <w:rPr>
                <w:rFonts w:ascii="宋体" w:hAnsi="宋体" w:cs="宋体" w:eastAsia="宋体"/>
                <w:sz w:val="21"/>
              </w:rPr>
              <w:t>;</w:t>
            </w:r>
          </w:p>
          <w:p>
            <w:pPr>
              <w:pStyle w:val="null3"/>
              <w:ind w:firstLine="480"/>
              <w:jc w:val="both"/>
            </w:pPr>
            <w:r>
              <w:rPr>
                <w:rFonts w:ascii="宋体" w:hAnsi="宋体" w:cs="宋体" w:eastAsia="宋体"/>
                <w:sz w:val="21"/>
              </w:rPr>
              <w:t>3</w:t>
            </w:r>
            <w:r>
              <w:rPr>
                <w:rFonts w:ascii="宋体" w:hAnsi="宋体" w:cs="宋体" w:eastAsia="宋体"/>
                <w:sz w:val="21"/>
              </w:rPr>
              <w:t>、能够孰练排查目常运维过程中出现的服务器故障、系统故障等</w:t>
            </w:r>
            <w:r>
              <w:rPr>
                <w:rFonts w:ascii="宋体" w:hAnsi="宋体" w:cs="宋体" w:eastAsia="宋体"/>
                <w:sz w:val="21"/>
              </w:rPr>
              <w:t>;</w:t>
            </w:r>
          </w:p>
          <w:p>
            <w:pPr>
              <w:pStyle w:val="null3"/>
              <w:ind w:firstLine="480"/>
              <w:jc w:val="both"/>
            </w:pPr>
            <w:r>
              <w:rPr>
                <w:rFonts w:ascii="宋体" w:hAnsi="宋体" w:cs="宋体" w:eastAsia="宋体"/>
                <w:sz w:val="21"/>
              </w:rPr>
              <w:t>4</w:t>
            </w:r>
            <w:r>
              <w:rPr>
                <w:rFonts w:ascii="宋体" w:hAnsi="宋体" w:cs="宋体" w:eastAsia="宋体"/>
                <w:sz w:val="21"/>
              </w:rPr>
              <w:t>、能更换各类服务器、存储等设备的零部件</w:t>
            </w:r>
            <w:r>
              <w:rPr>
                <w:rFonts w:ascii="宋体" w:hAnsi="宋体" w:cs="宋体" w:eastAsia="宋体"/>
                <w:sz w:val="21"/>
              </w:rPr>
              <w:t>;</w:t>
            </w:r>
          </w:p>
          <w:p>
            <w:pPr>
              <w:pStyle w:val="null3"/>
              <w:ind w:firstLine="480"/>
              <w:jc w:val="both"/>
            </w:pPr>
            <w:r>
              <w:rPr>
                <w:rFonts w:ascii="宋体" w:hAnsi="宋体" w:cs="宋体" w:eastAsia="宋体"/>
                <w:sz w:val="21"/>
              </w:rPr>
              <w:t>5</w:t>
            </w:r>
            <w:r>
              <w:rPr>
                <w:rFonts w:ascii="宋体" w:hAnsi="宋体" w:cs="宋体" w:eastAsia="宋体"/>
                <w:sz w:val="21"/>
              </w:rPr>
              <w:t>、具有主机相关</w:t>
            </w:r>
            <w:r>
              <w:rPr>
                <w:rFonts w:ascii="宋体" w:hAnsi="宋体" w:cs="宋体" w:eastAsia="宋体"/>
                <w:sz w:val="21"/>
              </w:rPr>
              <w:t>it</w:t>
            </w:r>
            <w:r>
              <w:rPr>
                <w:rFonts w:ascii="宋体" w:hAnsi="宋体" w:cs="宋体" w:eastAsia="宋体"/>
                <w:sz w:val="21"/>
              </w:rPr>
              <w:t>有相关证书者，包括但不限于</w:t>
            </w:r>
            <w:r>
              <w:rPr>
                <w:rFonts w:ascii="宋体" w:hAnsi="宋体" w:cs="宋体" w:eastAsia="宋体"/>
                <w:sz w:val="21"/>
              </w:rPr>
              <w:t xml:space="preserve"> cisp</w:t>
            </w:r>
            <w:r>
              <w:rPr>
                <w:rFonts w:ascii="宋体" w:hAnsi="宋体" w:cs="宋体" w:eastAsia="宋体"/>
                <w:sz w:val="21"/>
              </w:rPr>
              <w:t>，</w:t>
            </w:r>
            <w:r>
              <w:rPr>
                <w:rFonts w:ascii="宋体" w:hAnsi="宋体" w:cs="宋体" w:eastAsia="宋体"/>
                <w:sz w:val="21"/>
              </w:rPr>
              <w:t xml:space="preserve"> Cisp- Pte</w:t>
            </w:r>
            <w:r>
              <w:rPr>
                <w:rFonts w:ascii="宋体" w:hAnsi="宋体" w:cs="宋体" w:eastAsia="宋体"/>
                <w:sz w:val="21"/>
              </w:rPr>
              <w:t>，</w:t>
            </w:r>
            <w:r>
              <w:rPr>
                <w:rFonts w:ascii="宋体" w:hAnsi="宋体" w:cs="宋体" w:eastAsia="宋体"/>
                <w:sz w:val="21"/>
              </w:rPr>
              <w:t xml:space="preserve"> Hcia</w:t>
            </w:r>
            <w:r>
              <w:rPr>
                <w:rFonts w:ascii="宋体" w:hAnsi="宋体" w:cs="宋体" w:eastAsia="宋体"/>
                <w:sz w:val="21"/>
              </w:rPr>
              <w:t>等，网络安全管理员等。</w:t>
            </w:r>
          </w:p>
          <w:p>
            <w:pPr>
              <w:pStyle w:val="null3"/>
              <w:ind w:firstLine="480"/>
              <w:jc w:val="both"/>
            </w:pPr>
            <w:r>
              <w:rPr>
                <w:rFonts w:ascii="宋体" w:hAnsi="宋体" w:cs="宋体" w:eastAsia="宋体"/>
                <w:sz w:val="21"/>
              </w:rPr>
              <w:t>6</w:t>
            </w:r>
            <w:r>
              <w:rPr>
                <w:rFonts w:ascii="宋体" w:hAnsi="宋体" w:cs="宋体" w:eastAsia="宋体"/>
                <w:sz w:val="21"/>
              </w:rPr>
              <w:t>、提供</w:t>
            </w:r>
            <w:r>
              <w:rPr>
                <w:rFonts w:ascii="宋体" w:hAnsi="宋体" w:cs="宋体" w:eastAsia="宋体"/>
                <w:sz w:val="21"/>
              </w:rPr>
              <w:t>5*8</w:t>
            </w:r>
            <w:r>
              <w:rPr>
                <w:rFonts w:ascii="宋体" w:hAnsi="宋体" w:cs="宋体" w:eastAsia="宋体"/>
                <w:sz w:val="21"/>
              </w:rPr>
              <w:t>小时驻守，支持</w:t>
            </w:r>
            <w:r>
              <w:rPr>
                <w:rFonts w:ascii="宋体" w:hAnsi="宋体" w:cs="宋体" w:eastAsia="宋体"/>
                <w:sz w:val="21"/>
              </w:rPr>
              <w:t>7*24</w:t>
            </w:r>
            <w:r>
              <w:rPr>
                <w:rFonts w:ascii="宋体" w:hAnsi="宋体" w:cs="宋体" w:eastAsia="宋体"/>
                <w:sz w:val="21"/>
              </w:rPr>
              <w:t>小时响应。</w:t>
            </w:r>
          </w:p>
        </w:tc>
      </w:tr>
    </w:tbl>
    <w:p>
      <w:pPr>
        <w:pStyle w:val="null3"/>
        <w:outlineLvl w:val="3"/>
      </w:pPr>
      <w:r>
        <w:rPr>
          <w:b/>
          <w:sz w:val="24"/>
        </w:rPr>
        <w:t>3.2.3人员配置要求</w:t>
      </w:r>
    </w:p>
    <w:p>
      <w:pPr>
        <w:pStyle w:val="null3"/>
      </w:pPr>
      <w:r>
        <w:rPr/>
        <w:t>采购包1：</w:t>
      </w:r>
    </w:p>
    <w:p>
      <w:pPr>
        <w:pStyle w:val="null3"/>
      </w:pPr>
      <w:r>
        <w:rPr/>
        <w:t>/</w:t>
      </w:r>
    </w:p>
    <w:p>
      <w:pPr>
        <w:pStyle w:val="null3"/>
        <w:outlineLvl w:val="3"/>
      </w:pPr>
      <w:r>
        <w:rPr>
          <w:b/>
          <w:sz w:val="24"/>
        </w:rPr>
        <w:t>3.2.4设施设备配置要求</w:t>
      </w:r>
    </w:p>
    <w:p>
      <w:pPr>
        <w:pStyle w:val="null3"/>
      </w:pPr>
      <w:r>
        <w:rPr/>
        <w:t>采购包1：</w:t>
      </w:r>
    </w:p>
    <w:p>
      <w:pPr>
        <w:pStyle w:val="null3"/>
      </w:pPr>
      <w:r>
        <w:rPr/>
        <w:t>/</w:t>
      </w:r>
    </w:p>
    <w:p>
      <w:pPr>
        <w:pStyle w:val="null3"/>
        <w:outlineLvl w:val="3"/>
      </w:pPr>
      <w:r>
        <w:rPr>
          <w:b/>
          <w:sz w:val="24"/>
        </w:rPr>
        <w:t>3.2.5其他要求</w:t>
      </w:r>
    </w:p>
    <w:p>
      <w:pPr>
        <w:pStyle w:val="null3"/>
      </w:pPr>
      <w:r>
        <w:rPr/>
        <w:t>采购包1：</w:t>
      </w:r>
    </w:p>
    <w:p>
      <w:pPr>
        <w:pStyle w:val="null3"/>
      </w:pPr>
      <w:r>
        <w:rPr/>
        <w:t>/</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1年</w:t>
      </w:r>
    </w:p>
    <w:p>
      <w:pPr>
        <w:pStyle w:val="null3"/>
        <w:outlineLvl w:val="3"/>
      </w:pPr>
      <w:r>
        <w:rPr>
          <w:b/>
          <w:sz w:val="24"/>
        </w:rPr>
        <w:t>3.3.2服务地点</w:t>
      </w:r>
    </w:p>
    <w:p>
      <w:pPr>
        <w:pStyle w:val="null3"/>
      </w:pPr>
      <w:r>
        <w:rPr/>
        <w:t>采购包1：</w:t>
      </w:r>
    </w:p>
    <w:p>
      <w:pPr>
        <w:pStyle w:val="null3"/>
      </w:pPr>
      <w:r>
        <w:rPr/>
        <w:t>采购人指定地点</w:t>
      </w:r>
    </w:p>
    <w:p>
      <w:pPr>
        <w:pStyle w:val="null3"/>
        <w:outlineLvl w:val="3"/>
      </w:pPr>
      <w:r>
        <w:rPr>
          <w:b/>
          <w:sz w:val="24"/>
        </w:rPr>
        <w:t>3.3.3考核（验收）标准和方法</w:t>
      </w:r>
    </w:p>
    <w:p>
      <w:pPr>
        <w:pStyle w:val="null3"/>
      </w:pPr>
      <w:r>
        <w:rPr/>
        <w:t>采购包1：</w:t>
      </w:r>
    </w:p>
    <w:p>
      <w:pPr>
        <w:pStyle w:val="null3"/>
      </w:pPr>
      <w:r>
        <w:rPr/>
        <w:t>由采购人和中标人共同对项目进行整体验收。其内容包括是否按照采购人要求进行服务、是否在规定时间内服务完毕。 验收依据： 1、招标文件、投标文件、澄清表（如有）； 2、本合同及附件文本； 3、国家相应的标准、规范。 验收标准： 1、《信息技术服务 运行维护》（GB/T 28827.1~6） 2、《财政部财政信息化建设管理办法》 3、《财政部信息化建设项目验收管理办法》</w:t>
      </w:r>
    </w:p>
    <w:p>
      <w:pPr>
        <w:pStyle w:val="null3"/>
        <w:outlineLvl w:val="3"/>
      </w:pPr>
      <w:r>
        <w:rPr>
          <w:b/>
          <w:sz w:val="24"/>
        </w:rPr>
        <w:t>3.3.4支付方式</w:t>
      </w:r>
    </w:p>
    <w:p>
      <w:pPr>
        <w:pStyle w:val="null3"/>
      </w:pPr>
      <w:r>
        <w:rPr/>
        <w:t>采购包1：</w:t>
      </w:r>
    </w:p>
    <w:p>
      <w:pPr>
        <w:pStyle w:val="null3"/>
      </w:pPr>
      <w:r>
        <w:rPr/>
        <w:t>分期付款</w:t>
      </w:r>
    </w:p>
    <w:p>
      <w:pPr>
        <w:pStyle w:val="null3"/>
        <w:outlineLvl w:val="3"/>
      </w:pPr>
      <w:r>
        <w:rPr>
          <w:b/>
          <w:sz w:val="24"/>
        </w:rPr>
        <w:t>3.3.5.支付约定</w:t>
      </w:r>
    </w:p>
    <w:p>
      <w:pPr>
        <w:pStyle w:val="null3"/>
      </w:pPr>
      <w:r>
        <w:rPr/>
        <w:t>采购包1：</w:t>
      </w:r>
      <w:r>
        <w:rPr/>
        <w:t xml:space="preserve"> 付款条件说明： </w:t>
      </w:r>
      <w:r>
        <w:rPr/>
        <w:t>合同签订后</w:t>
      </w:r>
      <w:r>
        <w:rPr/>
        <w:t xml:space="preserve"> ，达到付款条件起 </w:t>
      </w:r>
      <w:r>
        <w:rPr/>
        <w:t>10</w:t>
      </w:r>
      <w:r>
        <w:rPr/>
        <w:t xml:space="preserve"> 日内，支付合同总金额的 </w:t>
      </w:r>
      <w:r>
        <w:rPr/>
        <w:t>30.00</w:t>
      </w:r>
      <w:r>
        <w:rPr/>
        <w:t>%。</w:t>
      </w:r>
    </w:p>
    <w:p>
      <w:pPr>
        <w:pStyle w:val="null3"/>
      </w:pPr>
      <w:r>
        <w:rPr/>
        <w:t>采购包1：</w:t>
      </w:r>
      <w:r>
        <w:rPr/>
        <w:t xml:space="preserve"> 付款条件说明： </w:t>
      </w:r>
      <w:r>
        <w:rPr/>
        <w:t>项目竣工初验收合格后</w:t>
      </w:r>
      <w:r>
        <w:rPr/>
        <w:t xml:space="preserve"> ，达到付款条件起 </w:t>
      </w:r>
      <w:r>
        <w:rPr/>
        <w:t>10</w:t>
      </w:r>
      <w:r>
        <w:rPr/>
        <w:t xml:space="preserve"> 日内，支付合同总金额的 </w:t>
      </w:r>
      <w:r>
        <w:rPr/>
        <w:t>65.00</w:t>
      </w:r>
      <w:r>
        <w:rPr/>
        <w:t>%。</w:t>
      </w:r>
    </w:p>
    <w:p>
      <w:pPr>
        <w:pStyle w:val="null3"/>
      </w:pPr>
      <w:r>
        <w:rPr/>
        <w:t>采购包1：</w:t>
      </w:r>
      <w:r>
        <w:rPr/>
        <w:t xml:space="preserve"> 付款条件说明： </w:t>
      </w:r>
      <w:r>
        <w:rPr/>
        <w:t>终验收合格后</w:t>
      </w:r>
      <w:r>
        <w:rPr/>
        <w:t xml:space="preserve"> ，达到付款条件起 </w:t>
      </w:r>
      <w:r>
        <w:rPr/>
        <w:t>10</w:t>
      </w:r>
      <w:r>
        <w:rPr/>
        <w:t xml:space="preserve"> 日内，支付合同总金额的 </w:t>
      </w:r>
      <w:r>
        <w:rPr/>
        <w:t>5.00</w:t>
      </w:r>
      <w:r>
        <w:rPr/>
        <w:t>%。</w:t>
      </w:r>
    </w:p>
    <w:p>
      <w:pPr>
        <w:pStyle w:val="null3"/>
        <w:outlineLvl w:val="3"/>
      </w:pPr>
      <w:r>
        <w:rPr>
          <w:b/>
          <w:sz w:val="24"/>
        </w:rPr>
        <w:t>3.3.6违约责任与解决争议的方法</w:t>
      </w:r>
    </w:p>
    <w:p>
      <w:pPr>
        <w:pStyle w:val="null3"/>
      </w:pPr>
      <w:r>
        <w:rPr/>
        <w:t>采购包1：</w:t>
      </w:r>
    </w:p>
    <w:p>
      <w:pPr>
        <w:pStyle w:val="null3"/>
      </w:pPr>
      <w:r>
        <w:rPr/>
        <w:t>（一）按《政府采购法》、《民法典》及本合同约定的相关条款执行。 （二）乙方未按合同要求提供服务或质量不能满足合同、招标文件、投标文件等的要求，乙方必须无条件按甲方的要求进行整改，否则，甲方有权单方解除终止合同，解除合同书面通知书到达乙方之日视为合同已解除，乙方应当按照合同总额的【10】%向甲方支付违约金，违约金不足以弥补甲方损失的，乙方需另行支付。同时，甲方有权对乙方的违约行为报监管机构进行相应的处罚。 （三）由于乙方技术或其他原因造成甲方设备原有故障之外的其他故障或配件损坏，乙方负责免费修复或更换配件，无法修复的，乙方应赔偿由此给甲方造成的全部损失。 （四）对于本合同约定的需乙方支付的任何费用及合同违约金，甲方均有权利从应支付合同款项中直接扣除。 （五）在合同期限内，乙方不得擅自转包、分包本合同的合同义务，否则甲方有权单方解除本合同并有权要求乙方按照本条第（二）款的规定承担根本违约责任。</w:t>
      </w:r>
    </w:p>
    <w:p>
      <w:pPr>
        <w:pStyle w:val="null3"/>
        <w:jc w:val="left"/>
        <w:outlineLvl w:val="2"/>
      </w:pPr>
      <w:r>
        <w:rPr>
          <w:b/>
          <w:sz w:val="28"/>
        </w:rPr>
        <w:t>3.5其他要求</w:t>
      </w:r>
    </w:p>
    <w:p>
      <w:pPr>
        <w:pStyle w:val="null3"/>
      </w:pPr>
      <w:r>
        <w:rPr/>
        <w:t>1、服务期：1年 2、服务地点：采购人指定地点 3、其他商务要求：详见第六部分合同条款</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b/>
          <w:sz w:val="28"/>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服务响应偏离表 开标一览表 第四部分投标人资质要求 投标函 商务应答表 标的清单 第一部分投标函 投标文件封面</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开标一览表 第四部分投标人资质要求 投标函 标的清单</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服务响应偏离表 第二部分开标一览表 开标一览表 第四部分投标人资质要求 投标函 商务应答表 标的清单 第一部分投标函 投标文件封面</w:t>
            </w:r>
          </w:p>
        </w:tc>
      </w:tr>
    </w:tbl>
    <w:p>
      <w:pPr>
        <w:pStyle w:val="null3"/>
        <w:outlineLvl w:val="2"/>
      </w:pPr>
      <w:r>
        <w:rPr>
          <w:b/>
          <w:sz w:val="28"/>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提供合格有效的法人或其他组织的营业执照等证明文件，自然人参与的提供其身份证原件；</w:t>
            </w:r>
          </w:p>
        </w:tc>
        <w:tc>
          <w:tcPr>
            <w:tcW w:type="dxa" w:w="1661"/>
          </w:tcPr>
          <w:p>
            <w:pPr>
              <w:pStyle w:val="null3"/>
            </w:pPr>
            <w:r>
              <w:rPr/>
              <w:t>第四部分投标人资质要求</w:t>
            </w:r>
          </w:p>
        </w:tc>
      </w:tr>
      <w:tr>
        <w:tc>
          <w:tcPr>
            <w:tcW w:type="dxa" w:w="831"/>
          </w:tcPr>
          <w:p>
            <w:pPr>
              <w:pStyle w:val="null3"/>
            </w:pPr>
            <w:r>
              <w:rPr/>
              <w:t>2</w:t>
            </w:r>
          </w:p>
        </w:tc>
        <w:tc>
          <w:tcPr>
            <w:tcW w:type="dxa" w:w="2492"/>
          </w:tcPr>
          <w:p>
            <w:pPr>
              <w:pStyle w:val="null3"/>
            </w:pPr>
            <w:r>
              <w:rPr/>
              <w:t>法人代表委托授权书</w:t>
            </w:r>
          </w:p>
        </w:tc>
        <w:tc>
          <w:tcPr>
            <w:tcW w:type="dxa" w:w="3322"/>
          </w:tcPr>
          <w:p>
            <w:pPr>
              <w:pStyle w:val="null3"/>
            </w:pPr>
            <w:r>
              <w:rPr/>
              <w:t>非法定代表人参加投标的，须提供法定代表人授权委托书及被授权人身份证原件；法定代表人参加投标时,只须提供法定代表人身份证原件；</w:t>
            </w:r>
          </w:p>
        </w:tc>
        <w:tc>
          <w:tcPr>
            <w:tcW w:type="dxa" w:w="1661"/>
          </w:tcPr>
          <w:p>
            <w:pPr>
              <w:pStyle w:val="null3"/>
            </w:pPr>
            <w:r>
              <w:rPr/>
              <w:t>第四部分投标人资质要求</w:t>
            </w:r>
          </w:p>
        </w:tc>
      </w:tr>
      <w:tr>
        <w:tc>
          <w:tcPr>
            <w:tcW w:type="dxa" w:w="831"/>
          </w:tcPr>
          <w:p>
            <w:pPr>
              <w:pStyle w:val="null3"/>
            </w:pPr>
            <w:r>
              <w:rPr/>
              <w:t>3</w:t>
            </w:r>
          </w:p>
        </w:tc>
        <w:tc>
          <w:tcPr>
            <w:tcW w:type="dxa" w:w="2492"/>
          </w:tcPr>
          <w:p>
            <w:pPr>
              <w:pStyle w:val="null3"/>
            </w:pPr>
            <w:r>
              <w:rPr/>
              <w:t>无重大违法记录</w:t>
            </w:r>
          </w:p>
        </w:tc>
        <w:tc>
          <w:tcPr>
            <w:tcW w:type="dxa" w:w="3322"/>
          </w:tcPr>
          <w:p>
            <w:pPr>
              <w:pStyle w:val="null3"/>
            </w:pPr>
            <w:r>
              <w:rPr/>
              <w:t>投标人应出具参加政府采购活动前3年内在经营活动中没有重大违法记录的书面声明；</w:t>
            </w:r>
          </w:p>
        </w:tc>
        <w:tc>
          <w:tcPr>
            <w:tcW w:type="dxa" w:w="1661"/>
          </w:tcPr>
          <w:p>
            <w:pPr>
              <w:pStyle w:val="null3"/>
            </w:pPr>
            <w:r>
              <w:rPr/>
              <w:t>第四部分投标人资质要求 第十部分投标人承诺书</w:t>
            </w:r>
          </w:p>
        </w:tc>
      </w:tr>
      <w:tr>
        <w:tc>
          <w:tcPr>
            <w:tcW w:type="dxa" w:w="831"/>
          </w:tcPr>
          <w:p>
            <w:pPr>
              <w:pStyle w:val="null3"/>
            </w:pPr>
            <w:r>
              <w:rPr/>
              <w:t>4</w:t>
            </w:r>
          </w:p>
        </w:tc>
        <w:tc>
          <w:tcPr>
            <w:tcW w:type="dxa" w:w="2492"/>
          </w:tcPr>
          <w:p>
            <w:pPr>
              <w:pStyle w:val="null3"/>
            </w:pPr>
            <w:r>
              <w:rPr/>
              <w:t>供应商信誉证明</w:t>
            </w:r>
          </w:p>
        </w:tc>
        <w:tc>
          <w:tcPr>
            <w:tcW w:type="dxa" w:w="3322"/>
          </w:tcPr>
          <w:p>
            <w:pPr>
              <w:pStyle w:val="null3"/>
            </w:pPr>
            <w:r>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w:t>
            </w:r>
          </w:p>
        </w:tc>
        <w:tc>
          <w:tcPr>
            <w:tcW w:type="dxa" w:w="1661"/>
          </w:tcPr>
          <w:p>
            <w:pPr>
              <w:pStyle w:val="null3"/>
            </w:pPr>
            <w:r>
              <w:rPr/>
              <w:t>第四部分投标人资质要求</w:t>
            </w:r>
          </w:p>
        </w:tc>
      </w:tr>
      <w:tr>
        <w:tc>
          <w:tcPr>
            <w:tcW w:type="dxa" w:w="831"/>
          </w:tcPr>
          <w:p>
            <w:pPr>
              <w:pStyle w:val="null3"/>
            </w:pPr>
            <w:r>
              <w:rPr/>
              <w:t>5</w:t>
            </w:r>
          </w:p>
        </w:tc>
        <w:tc>
          <w:tcPr>
            <w:tcW w:type="dxa" w:w="2492"/>
          </w:tcPr>
          <w:p>
            <w:pPr>
              <w:pStyle w:val="null3"/>
            </w:pPr>
            <w:r>
              <w:rPr/>
              <w:t>财务状况证明</w:t>
            </w:r>
          </w:p>
        </w:tc>
        <w:tc>
          <w:tcPr>
            <w:tcW w:type="dxa" w:w="3322"/>
          </w:tcPr>
          <w:p>
            <w:pPr>
              <w:pStyle w:val="null3"/>
            </w:pPr>
            <w:r>
              <w:rPr/>
              <w:t>财务状况证明：提供经会计师事务所审计的2022年财务审计报告，或在开标日期前六个月内其基本开户银行出具的资信证明；</w:t>
            </w:r>
          </w:p>
        </w:tc>
        <w:tc>
          <w:tcPr>
            <w:tcW w:type="dxa" w:w="1661"/>
          </w:tcPr>
          <w:p>
            <w:pPr>
              <w:pStyle w:val="null3"/>
            </w:pPr>
            <w:r>
              <w:rPr/>
              <w:t>第四部分投标人资质要求</w:t>
            </w:r>
          </w:p>
        </w:tc>
      </w:tr>
      <w:tr>
        <w:tc>
          <w:tcPr>
            <w:tcW w:type="dxa" w:w="831"/>
          </w:tcPr>
          <w:p>
            <w:pPr>
              <w:pStyle w:val="null3"/>
            </w:pPr>
            <w:r>
              <w:rPr/>
              <w:t>6</w:t>
            </w:r>
          </w:p>
        </w:tc>
        <w:tc>
          <w:tcPr>
            <w:tcW w:type="dxa" w:w="2492"/>
          </w:tcPr>
          <w:p>
            <w:pPr>
              <w:pStyle w:val="null3"/>
            </w:pPr>
            <w:r>
              <w:rPr/>
              <w:t>社保缴纳证明</w:t>
            </w:r>
          </w:p>
        </w:tc>
        <w:tc>
          <w:tcPr>
            <w:tcW w:type="dxa" w:w="3322"/>
          </w:tcPr>
          <w:p>
            <w:pPr>
              <w:pStyle w:val="null3"/>
            </w:pPr>
            <w:r>
              <w:rPr/>
              <w:t>社保缴纳证明：提供已缴存的2023年1月1日以来至少一个月的社会保障资金缴存单据或社保机构开具的社会保险参保缴费情况证明。依法不需要缴纳社会保障资金的投标人应提供相关文件证明。</w:t>
            </w:r>
          </w:p>
        </w:tc>
        <w:tc>
          <w:tcPr>
            <w:tcW w:type="dxa" w:w="1661"/>
          </w:tcPr>
          <w:p>
            <w:pPr>
              <w:pStyle w:val="null3"/>
            </w:pPr>
            <w:r>
              <w:rPr/>
              <w:t>第四部分投标人资质要求</w:t>
            </w:r>
          </w:p>
        </w:tc>
      </w:tr>
      <w:tr>
        <w:tc>
          <w:tcPr>
            <w:tcW w:type="dxa" w:w="831"/>
          </w:tcPr>
          <w:p>
            <w:pPr>
              <w:pStyle w:val="null3"/>
            </w:pPr>
            <w:r>
              <w:rPr/>
              <w:t>7</w:t>
            </w:r>
          </w:p>
        </w:tc>
        <w:tc>
          <w:tcPr>
            <w:tcW w:type="dxa" w:w="2492"/>
          </w:tcPr>
          <w:p>
            <w:pPr>
              <w:pStyle w:val="null3"/>
            </w:pPr>
            <w:r>
              <w:rPr/>
              <w:t>税收缴纳证明</w:t>
            </w:r>
          </w:p>
        </w:tc>
        <w:tc>
          <w:tcPr>
            <w:tcW w:type="dxa" w:w="3322"/>
          </w:tcPr>
          <w:p>
            <w:pPr>
              <w:pStyle w:val="null3"/>
            </w:pPr>
            <w:r>
              <w:rPr/>
              <w:t>税收缴纳证明：提供已缴纳的2023年1月1日以来至少一个月的纳税证明或完税证明（提供增值税、企业所得税至少一种），纳税证明或完税证明上应有代收机构或税务机关的公章或业务专用章。依法免税的投标人应提供相关文件证明。</w:t>
            </w:r>
          </w:p>
        </w:tc>
        <w:tc>
          <w:tcPr>
            <w:tcW w:type="dxa" w:w="1661"/>
          </w:tcPr>
          <w:p>
            <w:pPr>
              <w:pStyle w:val="null3"/>
            </w:pPr>
            <w:r>
              <w:rPr/>
              <w:t>第四部分投标人资质要求</w:t>
            </w:r>
          </w:p>
        </w:tc>
      </w:tr>
    </w:tbl>
    <w:p>
      <w:pPr>
        <w:pStyle w:val="null3"/>
        <w:outlineLvl w:val="2"/>
      </w:pPr>
      <w:r>
        <w:rPr>
          <w:b/>
          <w:sz w:val="28"/>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r>
    </w:p>
    <w:p>
      <w:pPr>
        <w:pStyle w:val="null3"/>
        <w:jc w:val="center"/>
        <w:outlineLvl w:val="1"/>
      </w:pPr>
      <w:r>
        <w:rPr>
          <w:b/>
          <w:sz w:val="36"/>
        </w:rPr>
        <w:t>第五章 评标办法</w:t>
      </w:r>
    </w:p>
    <w:p>
      <w:pPr>
        <w:pStyle w:val="null3"/>
        <w:outlineLvl w:val="2"/>
      </w:pPr>
      <w:r>
        <w:rPr>
          <w:b/>
          <w:sz w:val="28"/>
        </w:rPr>
        <w:t>5.1 总则</w:t>
      </w:r>
    </w:p>
    <w:p>
      <w:pPr>
        <w:pStyle w:val="null3"/>
        <w:ind w:firstLine="480"/>
      </w:pPr>
      <w:r>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b/>
          <w:sz w:val="28"/>
        </w:rPr>
        <w:t>5.2评标委员会</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（三）根据需要要求采购组织单位对招标文件作出解释；根据需要要求供应商对投标文件有关事项作出 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5.3评标方法</w:t>
      </w:r>
    </w:p>
    <w:p>
      <w:pPr>
        <w:pStyle w:val="null3"/>
      </w:pPr>
      <w:r>
        <w:rPr/>
        <w:t>采购包1：综合评分法</w:t>
      </w:r>
    </w:p>
    <w:p>
      <w:pPr>
        <w:pStyle w:val="null3"/>
        <w:outlineLvl w:val="2"/>
      </w:pPr>
      <w:r>
        <w:rPr>
          <w:b/>
          <w:sz w:val="28"/>
        </w:rPr>
        <w:t>5.4评标程序</w:t>
      </w:r>
    </w:p>
    <w:p>
      <w:pPr>
        <w:pStyle w:val="null3"/>
        <w:outlineLvl w:val="3"/>
      </w:pPr>
      <w:r>
        <w:rPr>
          <w:b/>
          <w:sz w:val="24"/>
        </w:rPr>
        <w:t>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b/>
          <w:sz w:val="24"/>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第二部分开标一览表 开标一览表 第四部分投标人资质要求 商务应答表 第五部分商务响应偏离表 标的清单 第一部分投标函 第三部分投标产品分项报价表</w:t>
            </w:r>
          </w:p>
        </w:tc>
      </w:tr>
      <w:tr>
        <w:tc>
          <w:tcPr>
            <w:tcW w:type="dxa" w:w="831"/>
          </w:tcPr>
          <w:p>
            <w:pPr>
              <w:pStyle w:val="null3"/>
            </w:pPr>
            <w:r>
              <w:rPr/>
              <w:t>2</w:t>
            </w:r>
          </w:p>
        </w:tc>
        <w:tc>
          <w:tcPr>
            <w:tcW w:type="dxa" w:w="2492"/>
          </w:tcPr>
          <w:p>
            <w:pPr>
              <w:pStyle w:val="null3"/>
            </w:pPr>
            <w:r>
              <w:rPr/>
              <w:t>投标报价</w:t>
            </w:r>
          </w:p>
        </w:tc>
        <w:tc>
          <w:tcPr>
            <w:tcW w:type="dxa" w:w="3322"/>
          </w:tcPr>
          <w:p>
            <w:pPr>
              <w:pStyle w:val="null3"/>
            </w:pPr>
            <w:r>
              <w:rPr/>
              <w:t>投标人的投标报价超过采购预算或者最高限价；</w:t>
            </w:r>
          </w:p>
        </w:tc>
        <w:tc>
          <w:tcPr>
            <w:tcW w:type="dxa" w:w="1661"/>
          </w:tcPr>
          <w:p>
            <w:pPr>
              <w:pStyle w:val="null3"/>
            </w:pPr>
            <w:r>
              <w:rPr/>
              <w:t>第二部分开标一览表 开标一览表 投标函 商务应答表 第五部分商务响应偏离表 标的清单 第一部分投标函 第三部分投标产品分项报价表</w:t>
            </w:r>
          </w:p>
        </w:tc>
      </w:tr>
      <w:tr>
        <w:tc>
          <w:tcPr>
            <w:tcW w:type="dxa" w:w="831"/>
          </w:tcPr>
          <w:p>
            <w:pPr>
              <w:pStyle w:val="null3"/>
            </w:pPr>
            <w:r>
              <w:rPr/>
              <w:t>3</w:t>
            </w:r>
          </w:p>
        </w:tc>
        <w:tc>
          <w:tcPr>
            <w:tcW w:type="dxa" w:w="2492"/>
          </w:tcPr>
          <w:p>
            <w:pPr>
              <w:pStyle w:val="null3"/>
            </w:pPr>
            <w:r>
              <w:rPr/>
              <w:t>投标人名称</w:t>
            </w:r>
          </w:p>
        </w:tc>
        <w:tc>
          <w:tcPr>
            <w:tcW w:type="dxa" w:w="3322"/>
          </w:tcPr>
          <w:p>
            <w:pPr>
              <w:pStyle w:val="null3"/>
            </w:pPr>
            <w:r>
              <w:rPr/>
              <w:t>投标人未经过正常渠道购买招标文件，或投标人名称与购买招标文件时登记的投标人名称不符的；</w:t>
            </w:r>
          </w:p>
        </w:tc>
        <w:tc>
          <w:tcPr>
            <w:tcW w:type="dxa" w:w="1661"/>
          </w:tcPr>
          <w:p>
            <w:pPr>
              <w:pStyle w:val="null3"/>
            </w:pPr>
            <w:r>
              <w:rPr/>
              <w:t>服务响应偏离表 第二部分开标一览表 开标一览表 第七部分服务承诺 第四部分投标人资质要求 投标函 商务应答表 第五部分商务响应偏离表 标的清单 第一部分投标函 第十部分投标人承诺书 投标文件封面</w:t>
            </w:r>
          </w:p>
        </w:tc>
      </w:tr>
      <w:tr>
        <w:tc>
          <w:tcPr>
            <w:tcW w:type="dxa" w:w="831"/>
          </w:tcPr>
          <w:p>
            <w:pPr>
              <w:pStyle w:val="null3"/>
            </w:pPr>
            <w:r>
              <w:rPr/>
              <w:t>4</w:t>
            </w:r>
          </w:p>
        </w:tc>
        <w:tc>
          <w:tcPr>
            <w:tcW w:type="dxa" w:w="2492"/>
          </w:tcPr>
          <w:p>
            <w:pPr>
              <w:pStyle w:val="null3"/>
            </w:pPr>
            <w:r>
              <w:rPr/>
              <w:t>投标文件的签署、盖章及投标有效期</w:t>
            </w:r>
          </w:p>
        </w:tc>
        <w:tc>
          <w:tcPr>
            <w:tcW w:type="dxa" w:w="3322"/>
          </w:tcPr>
          <w:p>
            <w:pPr>
              <w:pStyle w:val="null3"/>
            </w:pPr>
            <w:r>
              <w:rPr/>
              <w:t>投标文件的签署、盖章不符合招标文件要求；无投标有效期或有效期达不到招标文件要求的；</w:t>
            </w:r>
          </w:p>
        </w:tc>
        <w:tc>
          <w:tcPr>
            <w:tcW w:type="dxa" w:w="1661"/>
          </w:tcPr>
          <w:p>
            <w:pPr>
              <w:pStyle w:val="null3"/>
            </w:pPr>
            <w:r>
              <w:rPr/>
              <w:t>第七部分服务承诺 第四部分投标人资质要求 投标函 第五部分商务响应偏离表 第九部分投标人认为有必要说明的其他问题 投标文件封面 第六部分服务方案 第八部分投标人业绩一览表 第三部分投标产品分项报价表</w:t>
            </w:r>
          </w:p>
        </w:tc>
      </w:tr>
      <w:tr>
        <w:tc>
          <w:tcPr>
            <w:tcW w:type="dxa" w:w="831"/>
          </w:tcPr>
          <w:p>
            <w:pPr>
              <w:pStyle w:val="null3"/>
            </w:pPr>
            <w:r>
              <w:rPr/>
              <w:t>5</w:t>
            </w:r>
          </w:p>
        </w:tc>
        <w:tc>
          <w:tcPr>
            <w:tcW w:type="dxa" w:w="2492"/>
          </w:tcPr>
          <w:p>
            <w:pPr>
              <w:pStyle w:val="null3"/>
            </w:pPr>
            <w:r>
              <w:rPr/>
              <w:t>选择性报价</w:t>
            </w:r>
          </w:p>
        </w:tc>
        <w:tc>
          <w:tcPr>
            <w:tcW w:type="dxa" w:w="3322"/>
          </w:tcPr>
          <w:p>
            <w:pPr>
              <w:pStyle w:val="null3"/>
            </w:pPr>
            <w:r>
              <w:rPr/>
              <w:t>投标人针对同一项目递交两份或多份内容不同的投标文件，未书面声明哪一份是有效的或出现选择性报价的；</w:t>
            </w:r>
          </w:p>
        </w:tc>
        <w:tc>
          <w:tcPr>
            <w:tcW w:type="dxa" w:w="1661"/>
          </w:tcPr>
          <w:p>
            <w:pPr>
              <w:pStyle w:val="null3"/>
            </w:pPr>
            <w:r>
              <w:rPr/>
              <w:t>服务响应偏离表 第二部分开标一览表 开标一览表 投标函 商务应答表 标的清单 第一部分投标函 投标文件封面 第三部分投标产品分项报价表</w:t>
            </w:r>
          </w:p>
        </w:tc>
      </w:tr>
      <w:tr>
        <w:tc>
          <w:tcPr>
            <w:tcW w:type="dxa" w:w="831"/>
          </w:tcPr>
          <w:p>
            <w:pPr>
              <w:pStyle w:val="null3"/>
            </w:pPr>
            <w:r>
              <w:rPr/>
              <w:t>6</w:t>
            </w:r>
          </w:p>
        </w:tc>
        <w:tc>
          <w:tcPr>
            <w:tcW w:type="dxa" w:w="2492"/>
          </w:tcPr>
          <w:p>
            <w:pPr>
              <w:pStyle w:val="null3"/>
            </w:pPr>
            <w:r>
              <w:rPr/>
              <w:t>技术参数</w:t>
            </w:r>
          </w:p>
        </w:tc>
        <w:tc>
          <w:tcPr>
            <w:tcW w:type="dxa" w:w="3322"/>
          </w:tcPr>
          <w:p>
            <w:pPr>
              <w:pStyle w:val="null3"/>
            </w:pPr>
            <w:r>
              <w:rPr/>
              <w:t>投标人未按招标文件要求提供产品的技术参数及产品供货渠道不明确的；</w:t>
            </w:r>
          </w:p>
        </w:tc>
        <w:tc>
          <w:tcPr>
            <w:tcW w:type="dxa" w:w="1661"/>
          </w:tcPr>
          <w:p>
            <w:pPr>
              <w:pStyle w:val="null3"/>
            </w:pPr>
            <w:r>
              <w:rPr/>
              <w:t>第七部分服务承诺 第四部分投标人资质要求 第五部分商务响应偏离表 第九部分投标人认为有必要说明的其他问题 第十部分投标人承诺书 投标文件封面 第六部分服务方案 第八部分投标人业绩一览表</w:t>
            </w:r>
          </w:p>
        </w:tc>
      </w:tr>
      <w:tr>
        <w:tc>
          <w:tcPr>
            <w:tcW w:type="dxa" w:w="831"/>
          </w:tcPr>
          <w:p>
            <w:pPr>
              <w:pStyle w:val="null3"/>
            </w:pPr>
            <w:r>
              <w:rPr/>
              <w:t>7</w:t>
            </w:r>
          </w:p>
        </w:tc>
        <w:tc>
          <w:tcPr>
            <w:tcW w:type="dxa" w:w="2492"/>
          </w:tcPr>
          <w:p>
            <w:pPr>
              <w:pStyle w:val="null3"/>
            </w:pPr>
            <w:r>
              <w:rPr/>
              <w:t>投标人的报价</w:t>
            </w:r>
          </w:p>
        </w:tc>
        <w:tc>
          <w:tcPr>
            <w:tcW w:type="dxa" w:w="3322"/>
          </w:tcPr>
          <w:p>
            <w:pPr>
              <w:pStyle w:val="null3"/>
            </w:pPr>
            <w:r>
              <w:rPr/>
              <w:t>投标人的报价明显低于其他通过符合性审查投标人的报价，有可能影响货物质量或者不能诚信履约的，不能按照评标委员会要求在评标现场合理的时间内提供书面说明及相关证明材料且证明其报价合理性的；</w:t>
            </w:r>
          </w:p>
        </w:tc>
        <w:tc>
          <w:tcPr>
            <w:tcW w:type="dxa" w:w="1661"/>
          </w:tcPr>
          <w:p>
            <w:pPr>
              <w:pStyle w:val="null3"/>
            </w:pPr>
            <w:r>
              <w:rPr/>
              <w:t>第二部分开标一览表 开标一览表 第四部分投标人资质要求 投标函 商务应答表 第五部分商务响应偏离表 标的清单 第一部分投标函 投标文件封面 第三部分投标产品分项报价表</w:t>
            </w:r>
          </w:p>
        </w:tc>
      </w:tr>
      <w:tr>
        <w:tc>
          <w:tcPr>
            <w:tcW w:type="dxa" w:w="831"/>
          </w:tcPr>
          <w:p>
            <w:pPr>
              <w:pStyle w:val="null3"/>
            </w:pPr>
            <w:r>
              <w:rPr/>
              <w:t>8</w:t>
            </w:r>
          </w:p>
        </w:tc>
        <w:tc>
          <w:tcPr>
            <w:tcW w:type="dxa" w:w="2492"/>
          </w:tcPr>
          <w:p>
            <w:pPr>
              <w:pStyle w:val="null3"/>
            </w:pPr>
            <w:r>
              <w:rPr/>
              <w:t>虚假应标</w:t>
            </w:r>
          </w:p>
        </w:tc>
        <w:tc>
          <w:tcPr>
            <w:tcW w:type="dxa" w:w="3322"/>
          </w:tcPr>
          <w:p>
            <w:pPr>
              <w:pStyle w:val="null3"/>
            </w:pPr>
            <w:r>
              <w:rPr/>
              <w:t>经评标委员会一致认定为虚假应标的；</w:t>
            </w:r>
          </w:p>
        </w:tc>
        <w:tc>
          <w:tcPr>
            <w:tcW w:type="dxa" w:w="1661"/>
          </w:tcPr>
          <w:p>
            <w:pPr>
              <w:pStyle w:val="null3"/>
            </w:pPr>
            <w:r>
              <w:rPr/>
              <w:t>第二部分开标一览表 第五部分商务响应偏离表 第九部分投标人认为有必要说明的其他问题 第一部分投标函 附件五、“节能产品”，“环境标志产品”证明材料docx 第三部分投标产品分项报价表 附件二、中小企业声明函docx 第七部分服务承诺 第十部分投标人承诺书 附件四、监狱企业证明文件docx 标的清单 投标文件封面 第八部分投标人业绩一览表</w:t>
            </w:r>
          </w:p>
        </w:tc>
      </w:tr>
      <w:tr>
        <w:tc>
          <w:tcPr>
            <w:tcW w:type="dxa" w:w="831"/>
          </w:tcPr>
          <w:p>
            <w:pPr>
              <w:pStyle w:val="null3"/>
            </w:pPr>
            <w:r>
              <w:rPr/>
              <w:t>9</w:t>
            </w:r>
          </w:p>
        </w:tc>
        <w:tc>
          <w:tcPr>
            <w:tcW w:type="dxa" w:w="2492"/>
          </w:tcPr>
          <w:p>
            <w:pPr>
              <w:pStyle w:val="null3"/>
            </w:pPr>
            <w:r>
              <w:rPr/>
              <w:t>漏项或货物数量</w:t>
            </w:r>
          </w:p>
        </w:tc>
        <w:tc>
          <w:tcPr>
            <w:tcW w:type="dxa" w:w="3322"/>
          </w:tcPr>
          <w:p>
            <w:pPr>
              <w:pStyle w:val="null3"/>
            </w:pPr>
            <w:r>
              <w:rPr/>
              <w:t>投标报价出现漏项或货物数量与要求不符的；</w:t>
            </w:r>
          </w:p>
        </w:tc>
        <w:tc>
          <w:tcPr>
            <w:tcW w:type="dxa" w:w="1661"/>
          </w:tcPr>
          <w:p>
            <w:pPr>
              <w:pStyle w:val="null3"/>
            </w:pPr>
            <w:r>
              <w:rPr/>
              <w:t>服务响应偏离表 第二部分开标一览表 开标一览表 商务应答表 第五部分商务响应偏离表 标的清单 第一部分投标函 投标文件封面 第六部分服务方案 第三部分投标产品分项报价表</w:t>
            </w:r>
          </w:p>
        </w:tc>
      </w:tr>
      <w:tr>
        <w:tc>
          <w:tcPr>
            <w:tcW w:type="dxa" w:w="831"/>
          </w:tcPr>
          <w:p>
            <w:pPr>
              <w:pStyle w:val="null3"/>
            </w:pPr>
            <w:r>
              <w:rPr/>
              <w:t>10</w:t>
            </w:r>
          </w:p>
        </w:tc>
        <w:tc>
          <w:tcPr>
            <w:tcW w:type="dxa" w:w="2492"/>
          </w:tcPr>
          <w:p>
            <w:pPr>
              <w:pStyle w:val="null3"/>
            </w:pPr>
            <w:r>
              <w:rPr/>
              <w:t>技术参数、性能指标</w:t>
            </w:r>
          </w:p>
        </w:tc>
        <w:tc>
          <w:tcPr>
            <w:tcW w:type="dxa" w:w="3322"/>
          </w:tcPr>
          <w:p>
            <w:pPr>
              <w:pStyle w:val="null3"/>
            </w:pPr>
            <w:r>
              <w:rPr/>
              <w:t>经评标委员会一致认定投标货物的技术参数、性能指标与招标文件要求出现重大负偏差的；或者提供虚假证明（包括第三方的虚假证明），除按无效文件处理外，还将按照政府采购法的有关规定进行处罚；</w:t>
            </w:r>
          </w:p>
        </w:tc>
        <w:tc>
          <w:tcPr>
            <w:tcW w:type="dxa" w:w="1661"/>
          </w:tcPr>
          <w:p>
            <w:pPr>
              <w:pStyle w:val="null3"/>
            </w:pPr>
            <w:r>
              <w:rPr/>
              <w:t>服务响应偏离表 第二部分开标一览表 开标一览表 第四部分投标人资质要求 商务应答表 第五部分商务响应偏离表 第九部分投标人认为有必要说明的其他问题 第一部分投标函 第三部分投标产品分项报价表 第七部分服务承诺 投标函 标的清单 第十部分投标人承诺书 投标文件封面 第六部分服务方案 第八部分投标人业绩一览表</w:t>
            </w:r>
          </w:p>
        </w:tc>
      </w:tr>
      <w:tr>
        <w:tc>
          <w:tcPr>
            <w:tcW w:type="dxa" w:w="831"/>
          </w:tcPr>
          <w:p>
            <w:pPr>
              <w:pStyle w:val="null3"/>
            </w:pPr>
            <w:r>
              <w:rPr/>
              <w:t>11</w:t>
            </w:r>
          </w:p>
        </w:tc>
        <w:tc>
          <w:tcPr>
            <w:tcW w:type="dxa" w:w="2492"/>
          </w:tcPr>
          <w:p>
            <w:pPr>
              <w:pStyle w:val="null3"/>
            </w:pPr>
            <w:r>
              <w:rPr/>
              <w:t>商务响应</w:t>
            </w:r>
          </w:p>
        </w:tc>
        <w:tc>
          <w:tcPr>
            <w:tcW w:type="dxa" w:w="3322"/>
          </w:tcPr>
          <w:p>
            <w:pPr>
              <w:pStyle w:val="null3"/>
            </w:pPr>
            <w:r>
              <w:rPr/>
              <w:t>投标文件在商务响应方面（付款方式、质保期、交货时间、交货地点等）与招标文件不一致或附加了采购人难以接受的条件或条款的；</w:t>
            </w:r>
          </w:p>
        </w:tc>
        <w:tc>
          <w:tcPr>
            <w:tcW w:type="dxa" w:w="1661"/>
          </w:tcPr>
          <w:p>
            <w:pPr>
              <w:pStyle w:val="null3"/>
            </w:pPr>
            <w:r>
              <w:rPr/>
              <w:t>服务响应偏离表 第二部分开标一览表 开标一览表 投标函 商务应答表 第五部分商务响应偏离表 标的清单 第一部分投标函 投标文件封面 第三部分投标产品分项报价表</w:t>
            </w:r>
          </w:p>
        </w:tc>
      </w:tr>
      <w:tr>
        <w:tc>
          <w:tcPr>
            <w:tcW w:type="dxa" w:w="831"/>
          </w:tcPr>
          <w:p>
            <w:pPr>
              <w:pStyle w:val="null3"/>
            </w:pPr>
            <w:r>
              <w:rPr/>
              <w:t>12</w:t>
            </w:r>
          </w:p>
        </w:tc>
        <w:tc>
          <w:tcPr>
            <w:tcW w:type="dxa" w:w="2492"/>
          </w:tcPr>
          <w:p>
            <w:pPr>
              <w:pStyle w:val="null3"/>
            </w:pPr>
            <w:r>
              <w:rPr/>
              <w:t>澄清、补正、说明的内容</w:t>
            </w:r>
          </w:p>
        </w:tc>
        <w:tc>
          <w:tcPr>
            <w:tcW w:type="dxa" w:w="3322"/>
          </w:tcPr>
          <w:p>
            <w:pPr>
              <w:pStyle w:val="null3"/>
            </w:pPr>
            <w:r>
              <w:rPr/>
              <w:t>如澄清、补正、说明的内容与投标文件内容有重大相悖或矛盾，将被认定为无效投标。</w:t>
            </w:r>
          </w:p>
        </w:tc>
        <w:tc>
          <w:tcPr>
            <w:tcW w:type="dxa" w:w="1661"/>
          </w:tcPr>
          <w:p>
            <w:pPr>
              <w:pStyle w:val="null3"/>
            </w:pPr>
            <w:r>
              <w:rPr/>
              <w:t>附件三、残疾人福利性单位声明docx 附件六、质疑函范本docx 附件七、保证金退还账户信息确认表docx 附件一、封袋标识样式 第九部分投标人认为有必要说明的其他问题 第十部分投标人承诺书 附件四、监狱企业证明文件docx 投标文件封面 附件五、“节能产品”，“环境标志产品”证明材料docx 附件二、中小企业声明函docx</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b/>
          <w:sz w:val="24"/>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b/>
          <w:sz w:val="24"/>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b/>
          <w:sz w:val="24"/>
        </w:rPr>
        <w:t>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b/>
          <w:sz w:val="24"/>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b/>
          <w:sz w:val="24"/>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三、评标方法和标准；</w:t>
      </w:r>
    </w:p>
    <w:p>
      <w:pPr>
        <w:pStyle w:val="null3"/>
        <w:ind w:firstLine="480"/>
      </w:pPr>
      <w:r>
        <w:rPr/>
        <w:t>四、开标记录和评标情况及说明，包括投标无效投标人名单及原因；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六、其他需要说明的情况，包括评标过程中投标人根据评标委员会要求进行的澄清、说明或者更正，评标委员会成员的更换等；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b/>
          <w:sz w:val="28"/>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b/>
          <w:sz w:val="28"/>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b/>
          <w:sz w:val="24"/>
        </w:rPr>
        <w:t>5.6.1评分办法</w:t>
      </w:r>
    </w:p>
    <w:p>
      <w:pPr>
        <w:pStyle w:val="null3"/>
        <w:ind w:firstLine="480"/>
      </w:pPr>
      <w:r>
        <w:rPr/>
        <w:t xml:space="preserve"> （综合评分法适用）采用综合评分法的，由评标委员会各成员对通过资格检查和符合性审查的投标人的投标文件进行独立评审。</w:t>
      </w:r>
    </w:p>
    <w:p>
      <w:pPr>
        <w:pStyle w:val="null3"/>
        <w:ind w:firstLine="480"/>
      </w:pPr>
      <w:r>
        <w:rPr/>
        <w:t>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b/>
          <w:sz w:val="24"/>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详细评审100.00分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报价</w:t>
            </w:r>
          </w:p>
        </w:tc>
        <w:tc>
          <w:tcPr>
            <w:tcW w:type="dxa" w:w="2492"/>
          </w:tcPr>
          <w:p>
            <w:pPr>
              <w:pStyle w:val="null3"/>
            </w:pPr>
            <w:r>
              <w:rPr/>
              <w:t>1、经初审合格的投标文件，其单项报价总和为有效价； 2、满足响应文件要求且报价最低的有效报价为评审基准价。 3、报价得分=(评审基准价／投标报价)×30 报价政策性优惠：对于非专门面向中小企业的项目、残疾人福利性单位的项目，对小型和微型企业，监狱企业、残疾人福利性单位产品的价格给予10%的扣除，用扣除后的价格参与评审，残疾人福利性单位属于小型、微型企业的，不重复享受政策；计算小数点保留两位小数，第三位“四舍五入”。</w:t>
            </w:r>
          </w:p>
        </w:tc>
        <w:tc>
          <w:tcPr>
            <w:tcW w:type="dxa" w:w="831"/>
          </w:tcPr>
          <w:p>
            <w:pPr>
              <w:pStyle w:val="null3"/>
              <w:jc w:val="right"/>
            </w:pPr>
            <w:r>
              <w:rPr/>
              <w:t>30.00</w:t>
            </w:r>
          </w:p>
        </w:tc>
        <w:tc>
          <w:tcPr>
            <w:tcW w:type="dxa" w:w="831"/>
          </w:tcPr>
          <w:p>
            <w:pPr>
              <w:pStyle w:val="null3"/>
            </w:pPr>
            <w:r>
              <w:rPr/>
              <w:t>客观</w:t>
            </w:r>
          </w:p>
        </w:tc>
        <w:tc>
          <w:tcPr>
            <w:tcW w:type="dxa" w:w="1661"/>
          </w:tcPr>
          <w:p>
            <w:pPr>
              <w:pStyle w:val="null3"/>
            </w:pPr>
            <w:r>
              <w:rPr/>
              <w:t>投标函</w:t>
            </w:r>
          </w:p>
          <w:p>
            <w:pPr>
              <w:pStyle w:val="null3"/>
            </w:pPr>
            <w:r>
              <w:rPr/>
              <w:t>开标一览表</w:t>
            </w:r>
          </w:p>
          <w:p>
            <w:pPr>
              <w:pStyle w:val="null3"/>
            </w:pPr>
            <w:r>
              <w:rPr/>
              <w:t>标的清单</w:t>
            </w:r>
          </w:p>
          <w:p>
            <w:pPr>
              <w:pStyle w:val="null3"/>
            </w:pPr>
            <w:r>
              <w:rPr/>
              <w:t>第二部分开标一览表</w:t>
            </w:r>
          </w:p>
          <w:p>
            <w:pPr>
              <w:pStyle w:val="null3"/>
            </w:pPr>
            <w:r>
              <w:rPr/>
              <w:t>第三部分投标产品分项报价表</w:t>
            </w:r>
          </w:p>
          <w:p>
            <w:pPr>
              <w:pStyle w:val="null3"/>
            </w:pPr>
            <w:r>
              <w:rPr/>
              <w:t>附件二、中小企业声明函docx</w:t>
            </w:r>
          </w:p>
          <w:p>
            <w:pPr>
              <w:pStyle w:val="null3"/>
            </w:pPr>
            <w:r>
              <w:rPr/>
              <w:t>附件三、残疾人福利性单位声明docx</w:t>
            </w:r>
          </w:p>
          <w:p>
            <w:pPr>
              <w:pStyle w:val="null3"/>
            </w:pPr>
            <w:r>
              <w:rPr/>
              <w:t>附件四、监狱企业证明文件docx</w:t>
            </w:r>
          </w:p>
          <w:p>
            <w:pPr>
              <w:pStyle w:val="null3"/>
            </w:pPr>
            <w:r>
              <w:rPr/>
              <w:t>附件五、“节能产品”，“环境标志产品”证明材料docx</w:t>
            </w:r>
          </w:p>
        </w:tc>
      </w:tr>
      <w:tr>
        <w:tc>
          <w:tcPr>
            <w:tcW w:type="dxa" w:w="831"/>
            <w:vMerge/>
          </w:tcPr>
          <w:p/>
        </w:tc>
        <w:tc>
          <w:tcPr>
            <w:tcW w:type="dxa" w:w="1661"/>
          </w:tcPr>
          <w:p>
            <w:pPr>
              <w:pStyle w:val="null3"/>
            </w:pPr>
            <w:r>
              <w:rPr/>
              <w:t>维护工作内容</w:t>
            </w:r>
          </w:p>
        </w:tc>
        <w:tc>
          <w:tcPr>
            <w:tcW w:type="dxa" w:w="2492"/>
          </w:tcPr>
          <w:p>
            <w:pPr>
              <w:pStyle w:val="null3"/>
            </w:pPr>
            <w:r>
              <w:rPr/>
              <w:t>投标人针对软硬件基础设施设备的维护工作内容，有详细、具体、可行的服务方案。方案思路清晰、切实可行，完全满足采购人需求计6.1-8分；方案合理完善，可实施性较强计3.1-6分；方案简单，内容空泛计0.1-3分，未提供的不计分。</w:t>
            </w:r>
          </w:p>
        </w:tc>
        <w:tc>
          <w:tcPr>
            <w:tcW w:type="dxa" w:w="831"/>
          </w:tcPr>
          <w:p>
            <w:pPr>
              <w:pStyle w:val="null3"/>
              <w:jc w:val="right"/>
            </w:pPr>
            <w:r>
              <w:rPr/>
              <w:t>8.00</w:t>
            </w:r>
          </w:p>
        </w:tc>
        <w:tc>
          <w:tcPr>
            <w:tcW w:type="dxa" w:w="831"/>
          </w:tcPr>
          <w:p>
            <w:pPr>
              <w:pStyle w:val="null3"/>
            </w:pPr>
            <w:r>
              <w:rPr/>
              <w:t>主观</w:t>
            </w:r>
          </w:p>
        </w:tc>
        <w:tc>
          <w:tcPr>
            <w:tcW w:type="dxa" w:w="1661"/>
          </w:tcPr>
          <w:p>
            <w:pPr>
              <w:pStyle w:val="null3"/>
            </w:pPr>
            <w:r>
              <w:rPr/>
              <w:t>服务响应偏离表</w:t>
            </w:r>
          </w:p>
          <w:p>
            <w:pPr>
              <w:pStyle w:val="null3"/>
            </w:pPr>
            <w:r>
              <w:rPr/>
              <w:t>第六部分服务方案</w:t>
            </w:r>
          </w:p>
          <w:p>
            <w:pPr>
              <w:pStyle w:val="null3"/>
            </w:pPr>
            <w:r>
              <w:rPr/>
              <w:t>第七部分服务承诺</w:t>
            </w:r>
          </w:p>
          <w:p>
            <w:pPr>
              <w:pStyle w:val="null3"/>
            </w:pPr>
            <w:r>
              <w:rPr/>
              <w:t>第九部分投标人认为有必要说明的其他问题</w:t>
            </w:r>
          </w:p>
          <w:p>
            <w:pPr>
              <w:pStyle w:val="null3"/>
            </w:pPr>
            <w:r>
              <w:rPr/>
              <w:t>第十部分投标人承诺书</w:t>
            </w:r>
          </w:p>
        </w:tc>
      </w:tr>
      <w:tr>
        <w:tc>
          <w:tcPr>
            <w:tcW w:type="dxa" w:w="831"/>
            <w:vMerge/>
          </w:tcPr>
          <w:p/>
        </w:tc>
        <w:tc>
          <w:tcPr>
            <w:tcW w:type="dxa" w:w="1661"/>
          </w:tcPr>
          <w:p>
            <w:pPr>
              <w:pStyle w:val="null3"/>
            </w:pPr>
            <w:r>
              <w:rPr/>
              <w:t>公共支撑平台运维内容</w:t>
            </w:r>
          </w:p>
        </w:tc>
        <w:tc>
          <w:tcPr>
            <w:tcW w:type="dxa" w:w="2492"/>
          </w:tcPr>
          <w:p>
            <w:pPr>
              <w:pStyle w:val="null3"/>
            </w:pPr>
            <w:r>
              <w:rPr/>
              <w:t>投标人针对公共支撑平台运维内容，有详细、具体、可行的服务方案。方案思路清晰、切实可行，完全满足采购人需求计6.1-8分；方案合理完善，可实施性较强计3.1-6分；方案简单，内容空泛计0.1-3分，未提供的不计分。</w:t>
            </w:r>
          </w:p>
        </w:tc>
        <w:tc>
          <w:tcPr>
            <w:tcW w:type="dxa" w:w="831"/>
          </w:tcPr>
          <w:p>
            <w:pPr>
              <w:pStyle w:val="null3"/>
              <w:jc w:val="right"/>
            </w:pPr>
            <w:r>
              <w:rPr/>
              <w:t>8.00</w:t>
            </w:r>
          </w:p>
        </w:tc>
        <w:tc>
          <w:tcPr>
            <w:tcW w:type="dxa" w:w="831"/>
          </w:tcPr>
          <w:p>
            <w:pPr>
              <w:pStyle w:val="null3"/>
            </w:pPr>
            <w:r>
              <w:rPr/>
              <w:t>主观</w:t>
            </w:r>
          </w:p>
        </w:tc>
        <w:tc>
          <w:tcPr>
            <w:tcW w:type="dxa" w:w="1661"/>
          </w:tcPr>
          <w:p>
            <w:pPr>
              <w:pStyle w:val="null3"/>
            </w:pPr>
            <w:r>
              <w:rPr/>
              <w:t>服务响应偏离表</w:t>
            </w:r>
          </w:p>
          <w:p>
            <w:pPr>
              <w:pStyle w:val="null3"/>
            </w:pPr>
            <w:r>
              <w:rPr/>
              <w:t>第六部分服务方案</w:t>
            </w:r>
          </w:p>
          <w:p>
            <w:pPr>
              <w:pStyle w:val="null3"/>
            </w:pPr>
            <w:r>
              <w:rPr/>
              <w:t>第七部分服务承诺</w:t>
            </w:r>
          </w:p>
          <w:p>
            <w:pPr>
              <w:pStyle w:val="null3"/>
            </w:pPr>
            <w:r>
              <w:rPr/>
              <w:t>第八部分投标人业绩一览表</w:t>
            </w:r>
          </w:p>
          <w:p>
            <w:pPr>
              <w:pStyle w:val="null3"/>
            </w:pPr>
            <w:r>
              <w:rPr/>
              <w:t>第九部分投标人认为有必要说明的其他问题</w:t>
            </w:r>
          </w:p>
          <w:p>
            <w:pPr>
              <w:pStyle w:val="null3"/>
            </w:pPr>
            <w:r>
              <w:rPr/>
              <w:t>第十部分投标人承诺书</w:t>
            </w:r>
          </w:p>
        </w:tc>
      </w:tr>
      <w:tr>
        <w:tc>
          <w:tcPr>
            <w:tcW w:type="dxa" w:w="831"/>
            <w:vMerge/>
          </w:tcPr>
          <w:p/>
        </w:tc>
        <w:tc>
          <w:tcPr>
            <w:tcW w:type="dxa" w:w="1661"/>
          </w:tcPr>
          <w:p>
            <w:pPr>
              <w:pStyle w:val="null3"/>
            </w:pPr>
            <w:r>
              <w:rPr/>
              <w:t>业务系统运维内容</w:t>
            </w:r>
          </w:p>
        </w:tc>
        <w:tc>
          <w:tcPr>
            <w:tcW w:type="dxa" w:w="2492"/>
          </w:tcPr>
          <w:p>
            <w:pPr>
              <w:pStyle w:val="null3"/>
            </w:pPr>
            <w:r>
              <w:rPr/>
              <w:t>投标人针对业务系统运维内容，有详细、具体、可行的服务方案。方案思路清晰、切实可行，完全满足采购人需求计6.1-8分；方案合理完善，可实施性较强计3.1-6分；方案简单，内容空泛计0.1-3分，未提供的不计分。</w:t>
            </w:r>
          </w:p>
        </w:tc>
        <w:tc>
          <w:tcPr>
            <w:tcW w:type="dxa" w:w="831"/>
          </w:tcPr>
          <w:p>
            <w:pPr>
              <w:pStyle w:val="null3"/>
              <w:jc w:val="right"/>
            </w:pPr>
            <w:r>
              <w:rPr/>
              <w:t>8.00</w:t>
            </w:r>
          </w:p>
        </w:tc>
        <w:tc>
          <w:tcPr>
            <w:tcW w:type="dxa" w:w="831"/>
          </w:tcPr>
          <w:p>
            <w:pPr>
              <w:pStyle w:val="null3"/>
            </w:pPr>
            <w:r>
              <w:rPr/>
              <w:t>主观</w:t>
            </w:r>
          </w:p>
        </w:tc>
        <w:tc>
          <w:tcPr>
            <w:tcW w:type="dxa" w:w="1661"/>
          </w:tcPr>
          <w:p>
            <w:pPr>
              <w:pStyle w:val="null3"/>
            </w:pPr>
            <w:r>
              <w:rPr/>
              <w:t>服务响应偏离表</w:t>
            </w:r>
          </w:p>
          <w:p>
            <w:pPr>
              <w:pStyle w:val="null3"/>
            </w:pPr>
            <w:r>
              <w:rPr/>
              <w:t>第六部分服务方案</w:t>
            </w:r>
          </w:p>
          <w:p>
            <w:pPr>
              <w:pStyle w:val="null3"/>
            </w:pPr>
            <w:r>
              <w:rPr/>
              <w:t>第七部分服务承诺</w:t>
            </w:r>
          </w:p>
          <w:p>
            <w:pPr>
              <w:pStyle w:val="null3"/>
            </w:pPr>
            <w:r>
              <w:rPr/>
              <w:t>第八部分投标人业绩一览表</w:t>
            </w:r>
          </w:p>
          <w:p>
            <w:pPr>
              <w:pStyle w:val="null3"/>
            </w:pPr>
            <w:r>
              <w:rPr/>
              <w:t>第九部分投标人认为有必要说明的其他问题</w:t>
            </w:r>
          </w:p>
          <w:p>
            <w:pPr>
              <w:pStyle w:val="null3"/>
            </w:pPr>
            <w:r>
              <w:rPr/>
              <w:t>第十部分投标人承诺书</w:t>
            </w:r>
          </w:p>
        </w:tc>
      </w:tr>
      <w:tr>
        <w:tc>
          <w:tcPr>
            <w:tcW w:type="dxa" w:w="831"/>
            <w:vMerge/>
          </w:tcPr>
          <w:p/>
        </w:tc>
        <w:tc>
          <w:tcPr>
            <w:tcW w:type="dxa" w:w="1661"/>
          </w:tcPr>
          <w:p>
            <w:pPr>
              <w:pStyle w:val="null3"/>
            </w:pPr>
            <w:r>
              <w:rPr/>
              <w:t>专项服务维内容</w:t>
            </w:r>
          </w:p>
        </w:tc>
        <w:tc>
          <w:tcPr>
            <w:tcW w:type="dxa" w:w="2492"/>
          </w:tcPr>
          <w:p>
            <w:pPr>
              <w:pStyle w:val="null3"/>
            </w:pPr>
            <w:r>
              <w:rPr/>
              <w:t>投标人针对本项目专项服务维内容（等保检测、消防检测、UPS检测、软件功能优化）等，有详细、具体、可行的服务方案。方案思路清晰、切实可行，完全满足采购人需求计3.1-6分；方案合理完善，可实施性较强计1.1-3分；方案简单，内容空泛计0.1-1分，未提供的不计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服务响应偏离表</w:t>
            </w:r>
          </w:p>
          <w:p>
            <w:pPr>
              <w:pStyle w:val="null3"/>
            </w:pPr>
            <w:r>
              <w:rPr/>
              <w:t>第六部分服务方案</w:t>
            </w:r>
          </w:p>
          <w:p>
            <w:pPr>
              <w:pStyle w:val="null3"/>
            </w:pPr>
            <w:r>
              <w:rPr/>
              <w:t>第七部分服务承诺</w:t>
            </w:r>
          </w:p>
          <w:p>
            <w:pPr>
              <w:pStyle w:val="null3"/>
            </w:pPr>
            <w:r>
              <w:rPr/>
              <w:t>第八部分投标人业绩一览表</w:t>
            </w:r>
          </w:p>
          <w:p>
            <w:pPr>
              <w:pStyle w:val="null3"/>
            </w:pPr>
            <w:r>
              <w:rPr/>
              <w:t>第九部分投标人认为有必要说明的其他问题</w:t>
            </w:r>
          </w:p>
          <w:p>
            <w:pPr>
              <w:pStyle w:val="null3"/>
            </w:pPr>
            <w:r>
              <w:rPr/>
              <w:t>第十部分投标人承诺书</w:t>
            </w:r>
          </w:p>
        </w:tc>
      </w:tr>
      <w:tr>
        <w:tc>
          <w:tcPr>
            <w:tcW w:type="dxa" w:w="831"/>
            <w:vMerge/>
          </w:tcPr>
          <w:p/>
        </w:tc>
        <w:tc>
          <w:tcPr>
            <w:tcW w:type="dxa" w:w="1661"/>
          </w:tcPr>
          <w:p>
            <w:pPr>
              <w:pStyle w:val="null3"/>
            </w:pPr>
            <w:r>
              <w:rPr/>
              <w:t>备件更换服务方案</w:t>
            </w:r>
          </w:p>
        </w:tc>
        <w:tc>
          <w:tcPr>
            <w:tcW w:type="dxa" w:w="2492"/>
          </w:tcPr>
          <w:p>
            <w:pPr>
              <w:pStyle w:val="null3"/>
            </w:pPr>
            <w:r>
              <w:rPr/>
              <w:t>投标人针对机房供配电系统、机房空调及新风系统、机房动力环境监控系统、机房UPS不间断电源系统、机房安防系统进行定期检测，如发现故障配件，急时使用备件更换，原则上不能出现长时间停机维修，有详细、具体、可行的服务方案。方案思路清晰、切实可行，完全满足采购人需求计3.1-6分；方案合理完善，可实施性较强计1.1-3分；方案简单，内容空泛计0.1-1分，未提供的不计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服务响应偏离表</w:t>
            </w:r>
          </w:p>
          <w:p>
            <w:pPr>
              <w:pStyle w:val="null3"/>
            </w:pPr>
            <w:r>
              <w:rPr/>
              <w:t>第六部分服务方案</w:t>
            </w:r>
          </w:p>
          <w:p>
            <w:pPr>
              <w:pStyle w:val="null3"/>
            </w:pPr>
            <w:r>
              <w:rPr/>
              <w:t>第七部分服务承诺</w:t>
            </w:r>
          </w:p>
          <w:p>
            <w:pPr>
              <w:pStyle w:val="null3"/>
            </w:pPr>
            <w:r>
              <w:rPr/>
              <w:t>第八部分投标人业绩一览表</w:t>
            </w:r>
          </w:p>
          <w:p>
            <w:pPr>
              <w:pStyle w:val="null3"/>
            </w:pPr>
            <w:r>
              <w:rPr/>
              <w:t>第九部分投标人认为有必要说明的其他问题</w:t>
            </w:r>
          </w:p>
          <w:p>
            <w:pPr>
              <w:pStyle w:val="null3"/>
            </w:pPr>
            <w:r>
              <w:rPr/>
              <w:t>第十部分投标人承诺书</w:t>
            </w:r>
          </w:p>
        </w:tc>
      </w:tr>
      <w:tr>
        <w:tc>
          <w:tcPr>
            <w:tcW w:type="dxa" w:w="831"/>
            <w:vMerge/>
          </w:tcPr>
          <w:p/>
        </w:tc>
        <w:tc>
          <w:tcPr>
            <w:tcW w:type="dxa" w:w="1661"/>
          </w:tcPr>
          <w:p>
            <w:pPr>
              <w:pStyle w:val="null3"/>
            </w:pPr>
            <w:r>
              <w:rPr/>
              <w:t>界面优化服务方案</w:t>
            </w:r>
          </w:p>
        </w:tc>
        <w:tc>
          <w:tcPr>
            <w:tcW w:type="dxa" w:w="2492"/>
          </w:tcPr>
          <w:p>
            <w:pPr>
              <w:pStyle w:val="null3"/>
            </w:pPr>
            <w:r>
              <w:rPr/>
              <w:t>投标人针对指挥中心各应用系统除过日常安全监测，各种业务系统的扩展融合，升级调试等运行维护服务内容，还包含有软件界面优化等服务，有详细、具体、可行的服务方案。方案思路清晰、切实可行，完全满足采购人需求计3.1-6分；方案合理完善，可实施性较强计1.1-3分；方案简单，内容空泛计0.1-1分，未提供的不计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服务响应偏离表</w:t>
            </w:r>
          </w:p>
          <w:p>
            <w:pPr>
              <w:pStyle w:val="null3"/>
            </w:pPr>
            <w:r>
              <w:rPr/>
              <w:t>第六部分服务方案</w:t>
            </w:r>
          </w:p>
          <w:p>
            <w:pPr>
              <w:pStyle w:val="null3"/>
            </w:pPr>
            <w:r>
              <w:rPr/>
              <w:t>第七部分服务承诺</w:t>
            </w:r>
          </w:p>
          <w:p>
            <w:pPr>
              <w:pStyle w:val="null3"/>
            </w:pPr>
            <w:r>
              <w:rPr/>
              <w:t>第八部分投标人业绩一览表</w:t>
            </w:r>
          </w:p>
          <w:p>
            <w:pPr>
              <w:pStyle w:val="null3"/>
            </w:pPr>
            <w:r>
              <w:rPr/>
              <w:t>第九部分投标人认为有必要说明的其他问题</w:t>
            </w:r>
          </w:p>
          <w:p>
            <w:pPr>
              <w:pStyle w:val="null3"/>
            </w:pPr>
            <w:r>
              <w:rPr/>
              <w:t>第十部分投标人承诺书</w:t>
            </w:r>
          </w:p>
        </w:tc>
      </w:tr>
      <w:tr>
        <w:tc>
          <w:tcPr>
            <w:tcW w:type="dxa" w:w="831"/>
            <w:vMerge/>
          </w:tcPr>
          <w:p/>
        </w:tc>
        <w:tc>
          <w:tcPr>
            <w:tcW w:type="dxa" w:w="1661"/>
          </w:tcPr>
          <w:p>
            <w:pPr>
              <w:pStyle w:val="null3"/>
            </w:pPr>
            <w:r>
              <w:rPr/>
              <w:t>故障处理服务方案</w:t>
            </w:r>
          </w:p>
        </w:tc>
        <w:tc>
          <w:tcPr>
            <w:tcW w:type="dxa" w:w="2492"/>
          </w:tcPr>
          <w:p>
            <w:pPr>
              <w:pStyle w:val="null3"/>
            </w:pPr>
            <w:r>
              <w:rPr/>
              <w:t>投标人针对指挥中心会议系统、视频监控系统、高分可视化系统等软硬一体化系统，日常监测、保养，预防故障发生，及时发现问题，处理问题，有详细、具体、可行的服务方案。方案思路清晰、切实可行，完全满足采购人需求计3.1-6分；方案合理完善，可实施性较强计1.1-3分；方案简单，内容空泛计0.1-1分，未提供的不计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服务响应偏离表</w:t>
            </w:r>
          </w:p>
          <w:p>
            <w:pPr>
              <w:pStyle w:val="null3"/>
            </w:pPr>
            <w:r>
              <w:rPr/>
              <w:t>第六部分服务方案</w:t>
            </w:r>
          </w:p>
          <w:p>
            <w:pPr>
              <w:pStyle w:val="null3"/>
            </w:pPr>
            <w:r>
              <w:rPr/>
              <w:t>第七部分服务承诺</w:t>
            </w:r>
          </w:p>
          <w:p>
            <w:pPr>
              <w:pStyle w:val="null3"/>
            </w:pPr>
            <w:r>
              <w:rPr/>
              <w:t>第八部分投标人业绩一览表</w:t>
            </w:r>
          </w:p>
          <w:p>
            <w:pPr>
              <w:pStyle w:val="null3"/>
            </w:pPr>
            <w:r>
              <w:rPr/>
              <w:t>第九部分投标人认为有必要说明的其他问题</w:t>
            </w:r>
          </w:p>
          <w:p>
            <w:pPr>
              <w:pStyle w:val="null3"/>
            </w:pPr>
            <w:r>
              <w:rPr/>
              <w:t>第十部分投标人承诺书</w:t>
            </w:r>
          </w:p>
        </w:tc>
      </w:tr>
      <w:tr>
        <w:tc>
          <w:tcPr>
            <w:tcW w:type="dxa" w:w="831"/>
            <w:vMerge/>
          </w:tcPr>
          <w:p/>
        </w:tc>
        <w:tc>
          <w:tcPr>
            <w:tcW w:type="dxa" w:w="1661"/>
          </w:tcPr>
          <w:p>
            <w:pPr>
              <w:pStyle w:val="null3"/>
            </w:pPr>
            <w:r>
              <w:rPr/>
              <w:t>易耗品保障服务方案</w:t>
            </w:r>
          </w:p>
        </w:tc>
        <w:tc>
          <w:tcPr>
            <w:tcW w:type="dxa" w:w="2492"/>
          </w:tcPr>
          <w:p>
            <w:pPr>
              <w:pStyle w:val="null3"/>
            </w:pPr>
            <w:r>
              <w:rPr/>
              <w:t>投标人针对本项目备机、备件、易耗品保障服务，有详细、具体、可行的服务方案。方案思路清晰、切实可行，完全满足采购人需求计3.1-6分；方案合理完善，可实施性较强计1.1-3分；方案简单，内容空泛计0.1-1分，未提供的不计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服务响应偏离表</w:t>
            </w:r>
          </w:p>
          <w:p>
            <w:pPr>
              <w:pStyle w:val="null3"/>
            </w:pPr>
            <w:r>
              <w:rPr/>
              <w:t>第六部分服务方案</w:t>
            </w:r>
          </w:p>
          <w:p>
            <w:pPr>
              <w:pStyle w:val="null3"/>
            </w:pPr>
            <w:r>
              <w:rPr/>
              <w:t>第七部分服务承诺</w:t>
            </w:r>
          </w:p>
          <w:p>
            <w:pPr>
              <w:pStyle w:val="null3"/>
            </w:pPr>
            <w:r>
              <w:rPr/>
              <w:t>第八部分投标人业绩一览表</w:t>
            </w:r>
          </w:p>
          <w:p>
            <w:pPr>
              <w:pStyle w:val="null3"/>
            </w:pPr>
            <w:r>
              <w:rPr/>
              <w:t>第九部分投标人认为有必要说明的其他问题</w:t>
            </w:r>
          </w:p>
          <w:p>
            <w:pPr>
              <w:pStyle w:val="null3"/>
            </w:pPr>
            <w:r>
              <w:rPr/>
              <w:t>第十部分投标人承诺书</w:t>
            </w:r>
          </w:p>
        </w:tc>
      </w:tr>
      <w:tr>
        <w:tc>
          <w:tcPr>
            <w:tcW w:type="dxa" w:w="831"/>
            <w:vMerge/>
          </w:tcPr>
          <w:p/>
        </w:tc>
        <w:tc>
          <w:tcPr>
            <w:tcW w:type="dxa" w:w="1661"/>
          </w:tcPr>
          <w:p>
            <w:pPr>
              <w:pStyle w:val="null3"/>
            </w:pPr>
            <w:r>
              <w:rPr/>
              <w:t>升级服务及特殊时段服务</w:t>
            </w:r>
          </w:p>
        </w:tc>
        <w:tc>
          <w:tcPr>
            <w:tcW w:type="dxa" w:w="2492"/>
          </w:tcPr>
          <w:p>
            <w:pPr>
              <w:pStyle w:val="null3"/>
            </w:pPr>
            <w:r>
              <w:rPr/>
              <w:t>投标人针对本项目提供升级服务及特殊时段服务，提供相应承诺及方案。措施完善，合理科学，承诺完善计1.1-3分；措施方案具有可实施性，承诺完整计0.1-1分；未提供的不计分。</w:t>
            </w:r>
          </w:p>
        </w:tc>
        <w:tc>
          <w:tcPr>
            <w:tcW w:type="dxa" w:w="831"/>
          </w:tcPr>
          <w:p>
            <w:pPr>
              <w:pStyle w:val="null3"/>
              <w:jc w:val="right"/>
            </w:pPr>
            <w:r>
              <w:rPr/>
              <w:t>3.00</w:t>
            </w:r>
          </w:p>
        </w:tc>
        <w:tc>
          <w:tcPr>
            <w:tcW w:type="dxa" w:w="831"/>
          </w:tcPr>
          <w:p>
            <w:pPr>
              <w:pStyle w:val="null3"/>
            </w:pPr>
            <w:r>
              <w:rPr/>
              <w:t>主观</w:t>
            </w:r>
          </w:p>
        </w:tc>
        <w:tc>
          <w:tcPr>
            <w:tcW w:type="dxa" w:w="1661"/>
          </w:tcPr>
          <w:p>
            <w:pPr>
              <w:pStyle w:val="null3"/>
            </w:pPr>
            <w:r>
              <w:rPr/>
              <w:t>服务响应偏离表</w:t>
            </w:r>
          </w:p>
          <w:p>
            <w:pPr>
              <w:pStyle w:val="null3"/>
            </w:pPr>
            <w:r>
              <w:rPr/>
              <w:t>第六部分服务方案</w:t>
            </w:r>
          </w:p>
          <w:p>
            <w:pPr>
              <w:pStyle w:val="null3"/>
            </w:pPr>
            <w:r>
              <w:rPr/>
              <w:t>第七部分服务承诺</w:t>
            </w:r>
          </w:p>
          <w:p>
            <w:pPr>
              <w:pStyle w:val="null3"/>
            </w:pPr>
            <w:r>
              <w:rPr/>
              <w:t>第八部分投标人业绩一览表</w:t>
            </w:r>
          </w:p>
          <w:p>
            <w:pPr>
              <w:pStyle w:val="null3"/>
            </w:pPr>
            <w:r>
              <w:rPr/>
              <w:t>第九部分投标人认为有必要说明的其他问题</w:t>
            </w:r>
          </w:p>
          <w:p>
            <w:pPr>
              <w:pStyle w:val="null3"/>
            </w:pPr>
            <w:r>
              <w:rPr/>
              <w:t>第十部分投标人承诺书</w:t>
            </w:r>
          </w:p>
        </w:tc>
      </w:tr>
      <w:tr>
        <w:tc>
          <w:tcPr>
            <w:tcW w:type="dxa" w:w="831"/>
            <w:vMerge/>
          </w:tcPr>
          <w:p/>
        </w:tc>
        <w:tc>
          <w:tcPr>
            <w:tcW w:type="dxa" w:w="1661"/>
          </w:tcPr>
          <w:p>
            <w:pPr>
              <w:pStyle w:val="null3"/>
            </w:pPr>
            <w:r>
              <w:rPr/>
              <w:t>人员配备：业务支撑岗</w:t>
            </w:r>
          </w:p>
        </w:tc>
        <w:tc>
          <w:tcPr>
            <w:tcW w:type="dxa" w:w="2492"/>
          </w:tcPr>
          <w:p>
            <w:pPr>
              <w:pStyle w:val="null3"/>
            </w:pPr>
            <w:r>
              <w:rPr/>
              <w:t>业务支撑岗要求（至少派驻3名）：完全满足采购人需求计2分；每增加1名，加0.5分，最高得3分，不满足不得分。</w:t>
            </w:r>
          </w:p>
        </w:tc>
        <w:tc>
          <w:tcPr>
            <w:tcW w:type="dxa" w:w="831"/>
          </w:tcPr>
          <w:p>
            <w:pPr>
              <w:pStyle w:val="null3"/>
              <w:jc w:val="right"/>
            </w:pPr>
            <w:r>
              <w:rPr/>
              <w:t>3.00</w:t>
            </w:r>
          </w:p>
        </w:tc>
        <w:tc>
          <w:tcPr>
            <w:tcW w:type="dxa" w:w="831"/>
          </w:tcPr>
          <w:p>
            <w:pPr>
              <w:pStyle w:val="null3"/>
            </w:pPr>
            <w:r>
              <w:rPr/>
              <w:t>客观</w:t>
            </w:r>
          </w:p>
        </w:tc>
        <w:tc>
          <w:tcPr>
            <w:tcW w:type="dxa" w:w="1661"/>
          </w:tcPr>
          <w:p>
            <w:pPr>
              <w:pStyle w:val="null3"/>
            </w:pPr>
            <w:r>
              <w:rPr/>
              <w:t>服务响应偏离表</w:t>
            </w:r>
          </w:p>
          <w:p>
            <w:pPr>
              <w:pStyle w:val="null3"/>
            </w:pPr>
            <w:r>
              <w:rPr/>
              <w:t>第六部分服务方案</w:t>
            </w:r>
          </w:p>
          <w:p>
            <w:pPr>
              <w:pStyle w:val="null3"/>
            </w:pPr>
            <w:r>
              <w:rPr/>
              <w:t>第七部分服务承诺</w:t>
            </w:r>
          </w:p>
          <w:p>
            <w:pPr>
              <w:pStyle w:val="null3"/>
            </w:pPr>
            <w:r>
              <w:rPr/>
              <w:t>第八部分投标人业绩一览表</w:t>
            </w:r>
          </w:p>
          <w:p>
            <w:pPr>
              <w:pStyle w:val="null3"/>
            </w:pPr>
            <w:r>
              <w:rPr/>
              <w:t>第九部分投标人认为有必要说明的其他问题</w:t>
            </w:r>
          </w:p>
          <w:p>
            <w:pPr>
              <w:pStyle w:val="null3"/>
            </w:pPr>
            <w:r>
              <w:rPr/>
              <w:t>第十部分投标人承诺书</w:t>
            </w:r>
          </w:p>
        </w:tc>
      </w:tr>
      <w:tr>
        <w:tc>
          <w:tcPr>
            <w:tcW w:type="dxa" w:w="831"/>
            <w:vMerge/>
          </w:tcPr>
          <w:p/>
        </w:tc>
        <w:tc>
          <w:tcPr>
            <w:tcW w:type="dxa" w:w="1661"/>
          </w:tcPr>
          <w:p>
            <w:pPr>
              <w:pStyle w:val="null3"/>
            </w:pPr>
            <w:r>
              <w:rPr/>
              <w:t>人员配备：信息管理岗</w:t>
            </w:r>
          </w:p>
        </w:tc>
        <w:tc>
          <w:tcPr>
            <w:tcW w:type="dxa" w:w="2492"/>
          </w:tcPr>
          <w:p>
            <w:pPr>
              <w:pStyle w:val="null3"/>
            </w:pPr>
            <w:r>
              <w:rPr/>
              <w:t>信息管理岗要求（至少派驻2名）：完全满足采购人需求计2分；每增加1名，加0.5分，最高得3分，不满足不得分。</w:t>
            </w:r>
          </w:p>
        </w:tc>
        <w:tc>
          <w:tcPr>
            <w:tcW w:type="dxa" w:w="831"/>
          </w:tcPr>
          <w:p>
            <w:pPr>
              <w:pStyle w:val="null3"/>
              <w:jc w:val="right"/>
            </w:pPr>
            <w:r>
              <w:rPr/>
              <w:t>3.00</w:t>
            </w:r>
          </w:p>
        </w:tc>
        <w:tc>
          <w:tcPr>
            <w:tcW w:type="dxa" w:w="831"/>
          </w:tcPr>
          <w:p>
            <w:pPr>
              <w:pStyle w:val="null3"/>
            </w:pPr>
            <w:r>
              <w:rPr/>
              <w:t>客观</w:t>
            </w:r>
          </w:p>
        </w:tc>
        <w:tc>
          <w:tcPr>
            <w:tcW w:type="dxa" w:w="1661"/>
          </w:tcPr>
          <w:p>
            <w:pPr>
              <w:pStyle w:val="null3"/>
            </w:pPr>
            <w:r>
              <w:rPr/>
              <w:t>服务响应偏离表</w:t>
            </w:r>
          </w:p>
          <w:p>
            <w:pPr>
              <w:pStyle w:val="null3"/>
            </w:pPr>
            <w:r>
              <w:rPr/>
              <w:t>第六部分服务方案</w:t>
            </w:r>
          </w:p>
          <w:p>
            <w:pPr>
              <w:pStyle w:val="null3"/>
            </w:pPr>
            <w:r>
              <w:rPr/>
              <w:t>第七部分服务承诺</w:t>
            </w:r>
          </w:p>
          <w:p>
            <w:pPr>
              <w:pStyle w:val="null3"/>
            </w:pPr>
            <w:r>
              <w:rPr/>
              <w:t>第八部分投标人业绩一览表</w:t>
            </w:r>
          </w:p>
          <w:p>
            <w:pPr>
              <w:pStyle w:val="null3"/>
            </w:pPr>
            <w:r>
              <w:rPr/>
              <w:t>第九部分投标人认为有必要说明的其他问题</w:t>
            </w:r>
          </w:p>
          <w:p>
            <w:pPr>
              <w:pStyle w:val="null3"/>
            </w:pPr>
            <w:r>
              <w:rPr/>
              <w:t>第十部分投标人承诺书</w:t>
            </w:r>
          </w:p>
        </w:tc>
      </w:tr>
      <w:tr>
        <w:tc>
          <w:tcPr>
            <w:tcW w:type="dxa" w:w="831"/>
            <w:vMerge/>
          </w:tcPr>
          <w:p/>
        </w:tc>
        <w:tc>
          <w:tcPr>
            <w:tcW w:type="dxa" w:w="1661"/>
          </w:tcPr>
          <w:p>
            <w:pPr>
              <w:pStyle w:val="null3"/>
            </w:pPr>
            <w:r>
              <w:rPr/>
              <w:t>人员配备：机房运维岗</w:t>
            </w:r>
          </w:p>
        </w:tc>
        <w:tc>
          <w:tcPr>
            <w:tcW w:type="dxa" w:w="2492"/>
          </w:tcPr>
          <w:p>
            <w:pPr>
              <w:pStyle w:val="null3"/>
            </w:pPr>
            <w:r>
              <w:rPr/>
              <w:t>机房运维岗（至少派驻1名）：完全满足采购人需求计2分；每增加1名，加0.5分，最高得3分，不满足不得分。</w:t>
            </w:r>
          </w:p>
        </w:tc>
        <w:tc>
          <w:tcPr>
            <w:tcW w:type="dxa" w:w="831"/>
          </w:tcPr>
          <w:p>
            <w:pPr>
              <w:pStyle w:val="null3"/>
              <w:jc w:val="right"/>
            </w:pPr>
            <w:r>
              <w:rPr/>
              <w:t>3.00</w:t>
            </w:r>
          </w:p>
        </w:tc>
        <w:tc>
          <w:tcPr>
            <w:tcW w:type="dxa" w:w="831"/>
          </w:tcPr>
          <w:p>
            <w:pPr>
              <w:pStyle w:val="null3"/>
            </w:pPr>
            <w:r>
              <w:rPr/>
              <w:t>客观</w:t>
            </w:r>
          </w:p>
        </w:tc>
        <w:tc>
          <w:tcPr>
            <w:tcW w:type="dxa" w:w="1661"/>
          </w:tcPr>
          <w:p>
            <w:pPr>
              <w:pStyle w:val="null3"/>
            </w:pPr>
            <w:r>
              <w:rPr/>
              <w:t>服务响应偏离表</w:t>
            </w:r>
          </w:p>
          <w:p>
            <w:pPr>
              <w:pStyle w:val="null3"/>
            </w:pPr>
            <w:r>
              <w:rPr/>
              <w:t>第六部分服务方案</w:t>
            </w:r>
          </w:p>
          <w:p>
            <w:pPr>
              <w:pStyle w:val="null3"/>
            </w:pPr>
            <w:r>
              <w:rPr/>
              <w:t>第七部分服务承诺</w:t>
            </w:r>
          </w:p>
          <w:p>
            <w:pPr>
              <w:pStyle w:val="null3"/>
            </w:pPr>
            <w:r>
              <w:rPr/>
              <w:t>第八部分投标人业绩一览表</w:t>
            </w:r>
          </w:p>
          <w:p>
            <w:pPr>
              <w:pStyle w:val="null3"/>
            </w:pPr>
            <w:r>
              <w:rPr/>
              <w:t>第九部分投标人认为有必要说明的其他问题</w:t>
            </w:r>
          </w:p>
          <w:p>
            <w:pPr>
              <w:pStyle w:val="null3"/>
            </w:pPr>
            <w:r>
              <w:rPr/>
              <w:t>第十部分投标人承诺书</w:t>
            </w:r>
          </w:p>
        </w:tc>
      </w:tr>
      <w:tr>
        <w:tc>
          <w:tcPr>
            <w:tcW w:type="dxa" w:w="831"/>
            <w:vMerge/>
          </w:tcPr>
          <w:p/>
        </w:tc>
        <w:tc>
          <w:tcPr>
            <w:tcW w:type="dxa" w:w="1661"/>
          </w:tcPr>
          <w:p>
            <w:pPr>
              <w:pStyle w:val="null3"/>
            </w:pPr>
            <w:r>
              <w:rPr/>
              <w:t>业绩</w:t>
            </w:r>
          </w:p>
        </w:tc>
        <w:tc>
          <w:tcPr>
            <w:tcW w:type="dxa" w:w="2492"/>
          </w:tcPr>
          <w:p>
            <w:pPr>
              <w:pStyle w:val="null3"/>
            </w:pPr>
            <w:r>
              <w:rPr/>
              <w:t>提供投标人2020年1月1日至今同类项目合同（以合同签订日期为准），每提供1个得1分，满4分。 备注：投标文件中提供合同复印件加盖公章。</w:t>
            </w:r>
          </w:p>
        </w:tc>
        <w:tc>
          <w:tcPr>
            <w:tcW w:type="dxa" w:w="831"/>
          </w:tcPr>
          <w:p>
            <w:pPr>
              <w:pStyle w:val="null3"/>
              <w:jc w:val="right"/>
            </w:pPr>
            <w:r>
              <w:rPr/>
              <w:t>4.00</w:t>
            </w:r>
          </w:p>
        </w:tc>
        <w:tc>
          <w:tcPr>
            <w:tcW w:type="dxa" w:w="831"/>
          </w:tcPr>
          <w:p>
            <w:pPr>
              <w:pStyle w:val="null3"/>
            </w:pPr>
            <w:r>
              <w:rPr/>
              <w:t>客观</w:t>
            </w:r>
          </w:p>
        </w:tc>
        <w:tc>
          <w:tcPr>
            <w:tcW w:type="dxa" w:w="1661"/>
          </w:tcPr>
          <w:p>
            <w:pPr>
              <w:pStyle w:val="null3"/>
            </w:pPr>
            <w:r>
              <w:rPr/>
              <w:t>第八部分投标人业绩一览表</w:t>
            </w:r>
          </w:p>
          <w:p>
            <w:pPr>
              <w:pStyle w:val="null3"/>
            </w:pPr>
            <w:r>
              <w:rPr/>
              <w:t>第九部分投标人认为有必要说明的其他问题</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2、评分标准中要求提供的证明材料须清晰可辨。</w:t>
      </w:r>
    </w:p>
    <w:p>
      <w:pPr>
        <w:pStyle w:val="null3"/>
        <w:ind w:firstLine="480"/>
      </w:pPr>
      <w:r>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b/>
          <w:sz w:val="28"/>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b/>
          <w:sz w:val="28"/>
        </w:rPr>
        <w:t>5.8定标</w:t>
      </w:r>
    </w:p>
    <w:p>
      <w:pPr>
        <w:pStyle w:val="null3"/>
        <w:outlineLvl w:val="3"/>
      </w:pPr>
      <w:r>
        <w:rPr>
          <w:b/>
          <w:sz w:val="24"/>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b/>
          <w:sz w:val="24"/>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b/>
          <w:sz w:val="28"/>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（二）评标前，应当将通讯工具或者相关电子设备交由采购组织单位统一保管。</w:t>
      </w:r>
    </w:p>
    <w:p>
      <w:pPr>
        <w:pStyle w:val="null3"/>
        <w:ind w:firstLine="480"/>
      </w:pPr>
      <w:r>
        <w:rPr/>
        <w:t>（三）评标过程中，不得与外界联系，因发生不可预见情况，确实需要与外界联系的， 应当在监督人员监督之下办理。</w:t>
      </w:r>
    </w:p>
    <w:p>
      <w:pPr>
        <w:pStyle w:val="null3"/>
        <w:ind w:firstLine="480"/>
      </w:pPr>
      <w:r>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第6章投标文件格式</w:t>
      </w:r>
    </w:p>
    <w:p>
      <w:pPr>
        <w:pStyle w:val="null3"/>
        <w:outlineLvl w:val="2"/>
      </w:pPr>
      <w:r>
        <w:rPr>
          <w:b/>
          <w:sz w:val="28"/>
        </w:rPr>
        <w:t>6.1投标文件封面格式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详见附件：服务响应偏离表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详见附件：第一部分投标函</w:t>
      </w:r>
    </w:p>
    <w:p>
      <w:pPr>
        <w:pStyle w:val="null3"/>
        <w:ind w:firstLine="960"/>
      </w:pPr>
      <w:r>
        <w:rPr/>
        <w:t>详见附件：第二部分开标一览表</w:t>
      </w:r>
    </w:p>
    <w:p>
      <w:pPr>
        <w:pStyle w:val="null3"/>
        <w:ind w:firstLine="960"/>
      </w:pPr>
      <w:r>
        <w:rPr/>
        <w:t>详见附件：第三部分投标产品分项报价表</w:t>
      </w:r>
    </w:p>
    <w:p>
      <w:pPr>
        <w:pStyle w:val="null3"/>
        <w:ind w:firstLine="960"/>
      </w:pPr>
      <w:r>
        <w:rPr/>
        <w:t>详见附件：第五部分商务响应偏离表</w:t>
      </w:r>
    </w:p>
    <w:p>
      <w:pPr>
        <w:pStyle w:val="null3"/>
        <w:ind w:firstLine="960"/>
      </w:pPr>
      <w:r>
        <w:rPr/>
        <w:t>详见附件：第六部分服务方案</w:t>
      </w:r>
    </w:p>
    <w:p>
      <w:pPr>
        <w:pStyle w:val="null3"/>
        <w:ind w:firstLine="960"/>
      </w:pPr>
      <w:r>
        <w:rPr/>
        <w:t>详见附件：第七部分服务承诺</w:t>
      </w:r>
    </w:p>
    <w:p>
      <w:pPr>
        <w:pStyle w:val="null3"/>
        <w:ind w:firstLine="960"/>
      </w:pPr>
      <w:r>
        <w:rPr/>
        <w:t>详见附件：第八部分投标人业绩一览表</w:t>
      </w:r>
    </w:p>
    <w:p>
      <w:pPr>
        <w:pStyle w:val="null3"/>
        <w:ind w:firstLine="960"/>
      </w:pPr>
      <w:r>
        <w:rPr/>
        <w:t>详见附件：第九部分投标人认为有必要说明的其他问题</w:t>
      </w:r>
    </w:p>
    <w:p>
      <w:pPr>
        <w:pStyle w:val="null3"/>
        <w:ind w:firstLine="960"/>
      </w:pPr>
      <w:r>
        <w:rPr/>
        <w:t>详见附件：第十部分投标人承诺书</w:t>
      </w:r>
    </w:p>
    <w:p>
      <w:pPr>
        <w:pStyle w:val="null3"/>
        <w:ind w:firstLine="960"/>
      </w:pPr>
      <w:r>
        <w:rPr/>
        <w:t>详见附件：附件一、封袋标识样式</w:t>
      </w:r>
    </w:p>
    <w:p>
      <w:pPr>
        <w:pStyle w:val="null3"/>
        <w:ind w:firstLine="960"/>
      </w:pPr>
      <w:r>
        <w:rPr/>
        <w:t>详见附件：附件二、中小企业声明函docx</w:t>
      </w:r>
    </w:p>
    <w:p>
      <w:pPr>
        <w:pStyle w:val="null3"/>
        <w:ind w:firstLine="960"/>
      </w:pPr>
      <w:r>
        <w:rPr/>
        <w:t>详见附件：附件三、残疾人福利性单位声明docx</w:t>
      </w:r>
    </w:p>
    <w:p>
      <w:pPr>
        <w:pStyle w:val="null3"/>
        <w:ind w:firstLine="960"/>
      </w:pPr>
      <w:r>
        <w:rPr/>
        <w:t>详见附件：附件四、监狱企业证明文件docx</w:t>
      </w:r>
    </w:p>
    <w:p>
      <w:pPr>
        <w:pStyle w:val="null3"/>
        <w:ind w:firstLine="960"/>
      </w:pPr>
      <w:r>
        <w:rPr/>
        <w:t>详见附件：附件五、“节能产品”，“环境标志产品”证明材料docx</w:t>
      </w:r>
    </w:p>
    <w:p>
      <w:pPr>
        <w:pStyle w:val="null3"/>
        <w:ind w:firstLine="960"/>
      </w:pPr>
      <w:r>
        <w:rPr/>
        <w:t>详见附件：附件六、质疑函范本docx</w:t>
      </w:r>
    </w:p>
    <w:p>
      <w:pPr>
        <w:pStyle w:val="null3"/>
        <w:ind w:firstLine="960"/>
      </w:pPr>
      <w:r>
        <w:rPr/>
        <w:t>详见附件：附件七、保证金退还账户信息确认表docx</w:t>
      </w:r>
    </w:p>
    <w:p>
      <w:pPr>
        <w:pStyle w:val="null3"/>
        <w:ind w:firstLine="960"/>
      </w:pPr>
      <w:r>
        <w:rPr/>
        <w:t>详见附件：第四部分投标人资质要求</w:t>
      </w:r>
    </w:p>
    <w:p>
      <w:pPr>
        <w:pStyle w:val="null3"/>
      </w:pPr>
      <w:r>
        <w:rPr/>
        <w:t xml:space="preserve"> </w:t>
      </w:r>
    </w:p>
    <w:p>
      <w:pPr>
        <w:pStyle w:val="null3"/>
        <w:jc w:val="center"/>
        <w:outlineLvl w:val="1"/>
      </w:pPr>
      <w:r>
        <w:rPr>
          <w:b/>
          <w:sz w:val="36"/>
        </w:rPr>
        <w:t>第7章 拟签订采购合同文本</w:t>
      </w:r>
    </w:p>
    <w:p>
      <w:pPr>
        <w:pStyle w:val="null3"/>
      </w:pPr>
      <w:r>
        <w:rPr/>
        <w:t>详见附件：合同草案条款.docx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