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360" w:lineRule="auto"/>
        <w:ind w:firstLine="301" w:firstLineChars="100"/>
        <w:jc w:val="left"/>
        <w:rPr>
          <w:rFonts w:hint="eastAsia" w:ascii="宋体" w:hAnsi="宋体" w:eastAsia="宋体" w:cs="宋体"/>
          <w:b/>
          <w:bCs/>
          <w:color w:val="auto"/>
          <w:sz w:val="30"/>
          <w:szCs w:val="30"/>
          <w:highlight w:val="none"/>
          <w:lang w:val="zh-CN"/>
        </w:rPr>
      </w:pPr>
      <w:bookmarkStart w:id="0" w:name="_Toc176882541"/>
      <w:bookmarkStart w:id="1" w:name="_Toc53722839"/>
      <w:bookmarkStart w:id="2" w:name="_Toc177995472"/>
      <w:bookmarkStart w:id="3" w:name="_Toc499711882"/>
      <w:bookmarkStart w:id="4" w:name="_Toc496324577"/>
      <w:bookmarkStart w:id="5" w:name="_Toc492955413"/>
      <w:bookmarkStart w:id="6" w:name="_Toc500746964"/>
      <w:bookmarkStart w:id="7" w:name="_Toc500747060"/>
      <w:bookmarkStart w:id="8" w:name="_Toc503063420"/>
      <w:bookmarkStart w:id="9" w:name="_Toc177189234"/>
      <w:bookmarkStart w:id="10" w:name="_Toc499711041"/>
      <w:bookmarkStart w:id="11" w:name="_Toc70687138"/>
      <w:bookmarkStart w:id="12" w:name="_Toc500747187"/>
      <w:bookmarkStart w:id="13" w:name="_Toc177817333"/>
      <w:bookmarkStart w:id="14" w:name="_Toc385992325"/>
      <w:bookmarkStart w:id="15" w:name="_Toc385992324"/>
      <w:r>
        <w:rPr>
          <w:rFonts w:hint="eastAsia" w:ascii="宋体" w:hAnsi="宋体" w:eastAsia="宋体" w:cs="宋体"/>
          <w:b/>
          <w:bCs/>
          <w:color w:val="auto"/>
          <w:sz w:val="30"/>
          <w:szCs w:val="30"/>
          <w:highlight w:val="none"/>
          <w:lang w:val="zh-CN"/>
        </w:rPr>
        <w:t>政府采购项目</w:t>
      </w:r>
    </w:p>
    <w:p>
      <w:pPr>
        <w:widowControl/>
        <w:jc w:val="left"/>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zh-CN"/>
        </w:rPr>
        <w:t>采购项目编号：</w:t>
      </w:r>
      <w:r>
        <w:rPr>
          <w:rFonts w:hint="eastAsia" w:ascii="宋体" w:hAnsi="宋体" w:eastAsia="宋体" w:cs="宋体"/>
          <w:b/>
          <w:bCs/>
          <w:color w:val="auto"/>
          <w:sz w:val="30"/>
          <w:szCs w:val="30"/>
          <w:highlight w:val="none"/>
          <w:lang w:eastAsia="zh-CN"/>
        </w:rPr>
        <w:t>ZSJC-XA-[2023]-1207-CG</w:t>
      </w:r>
    </w:p>
    <w:p>
      <w:pPr>
        <w:autoSpaceDE w:val="0"/>
        <w:autoSpaceDN w:val="0"/>
        <w:adjustRightInd w:val="0"/>
        <w:snapToGrid w:val="0"/>
        <w:spacing w:line="360" w:lineRule="auto"/>
        <w:jc w:val="left"/>
        <w:rPr>
          <w:rFonts w:hint="eastAsia" w:ascii="宋体" w:hAnsi="宋体" w:eastAsia="宋体" w:cs="宋体"/>
          <w:b/>
          <w:bCs/>
          <w:color w:val="auto"/>
          <w:sz w:val="30"/>
          <w:szCs w:val="30"/>
          <w:highlight w:val="none"/>
          <w:lang w:val="zh-CN"/>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32"/>
          <w:szCs w:val="32"/>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w:t>
      </w:r>
    </w:p>
    <w:p>
      <w:pPr>
        <w:tabs>
          <w:tab w:val="left" w:pos="5670"/>
        </w:tabs>
        <w:autoSpaceDE w:val="0"/>
        <w:autoSpaceDN w:val="0"/>
        <w:adjustRightInd w:val="0"/>
        <w:snapToGrid w:val="0"/>
        <w:spacing w:line="360" w:lineRule="auto"/>
        <w:jc w:val="center"/>
        <w:rPr>
          <w:rFonts w:hint="eastAsia" w:ascii="宋体" w:hAnsi="宋体" w:eastAsia="宋体" w:cs="宋体"/>
          <w:color w:val="auto"/>
          <w:sz w:val="32"/>
          <w:szCs w:val="32"/>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西北大学第一医院DRG信息管理系统建设项目采购项目</w:t>
      </w: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52"/>
          <w:szCs w:val="52"/>
          <w:highlight w:val="none"/>
          <w:lang w:val="zh-CN"/>
        </w:rPr>
      </w:pPr>
      <w:r>
        <w:rPr>
          <w:rFonts w:hint="eastAsia" w:ascii="宋体" w:hAnsi="宋体" w:eastAsia="宋体" w:cs="宋体"/>
          <w:b/>
          <w:bCs/>
          <w:color w:val="auto"/>
          <w:sz w:val="52"/>
          <w:szCs w:val="52"/>
          <w:highlight w:val="none"/>
          <w:lang w:val="zh-CN"/>
        </w:rPr>
        <w:t>竞争性磋商文件</w:t>
      </w:r>
    </w:p>
    <w:p>
      <w:pPr>
        <w:tabs>
          <w:tab w:val="left" w:pos="5670"/>
        </w:tabs>
        <w:autoSpaceDE w:val="0"/>
        <w:autoSpaceDN w:val="0"/>
        <w:adjustRightInd w:val="0"/>
        <w:snapToGrid w:val="0"/>
        <w:spacing w:line="360" w:lineRule="auto"/>
        <w:jc w:val="center"/>
        <w:rPr>
          <w:rFonts w:hint="eastAsia" w:ascii="宋体" w:hAnsi="宋体" w:eastAsia="宋体" w:cs="宋体"/>
          <w:color w:val="auto"/>
          <w:sz w:val="50"/>
          <w:szCs w:val="5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50"/>
          <w:szCs w:val="5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50"/>
          <w:szCs w:val="5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p>
    <w:p>
      <w:pPr>
        <w:pStyle w:val="22"/>
        <w:rPr>
          <w:rFonts w:hint="eastAsia" w:ascii="宋体" w:hAnsi="宋体" w:eastAsia="宋体" w:cs="宋体"/>
          <w:b/>
          <w:bCs/>
          <w:color w:val="auto"/>
          <w:sz w:val="30"/>
          <w:szCs w:val="30"/>
          <w:highlight w:val="none"/>
        </w:rPr>
      </w:pPr>
    </w:p>
    <w:p>
      <w:pPr>
        <w:pStyle w:val="22"/>
        <w:rPr>
          <w:rFonts w:hint="eastAsia" w:ascii="宋体" w:hAnsi="宋体" w:eastAsia="宋体" w:cs="宋体"/>
          <w:b/>
          <w:bCs/>
          <w:color w:val="auto"/>
          <w:sz w:val="30"/>
          <w:szCs w:val="30"/>
          <w:highlight w:val="none"/>
        </w:rPr>
      </w:pPr>
    </w:p>
    <w:p>
      <w:pPr>
        <w:pStyle w:val="22"/>
        <w:rPr>
          <w:rFonts w:hint="eastAsia" w:ascii="宋体" w:hAnsi="宋体" w:eastAsia="宋体" w:cs="宋体"/>
          <w:b/>
          <w:bCs/>
          <w:color w:val="auto"/>
          <w:sz w:val="30"/>
          <w:szCs w:val="30"/>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zh-CN"/>
        </w:rPr>
        <w:t xml:space="preserve"> 中盛精诚工程项目管理有限公司</w:t>
      </w:r>
      <w:r>
        <w:rPr>
          <w:rFonts w:hint="eastAsia" w:ascii="宋体" w:hAnsi="宋体" w:eastAsia="宋体" w:cs="宋体"/>
          <w:b/>
          <w:bCs/>
          <w:color w:val="auto"/>
          <w:sz w:val="30"/>
          <w:szCs w:val="30"/>
          <w:highlight w:val="none"/>
        </w:rPr>
        <w:t xml:space="preserve"> </w:t>
      </w:r>
    </w:p>
    <w:p>
      <w:pPr>
        <w:tabs>
          <w:tab w:val="left" w:pos="3739"/>
        </w:tabs>
        <w:jc w:val="center"/>
        <w:rPr>
          <w:rFonts w:hint="eastAsia" w:ascii="宋体" w:hAnsi="宋体" w:eastAsia="宋体" w:cs="宋体"/>
          <w:b/>
          <w:bCs/>
          <w:color w:val="auto"/>
          <w:sz w:val="30"/>
          <w:szCs w:val="30"/>
          <w:highlight w:val="none"/>
          <w:lang w:val="zh-CN"/>
        </w:rPr>
      </w:pPr>
      <w:r>
        <w:rPr>
          <w:rFonts w:hint="eastAsia" w:ascii="宋体" w:hAnsi="宋体" w:eastAsia="宋体" w:cs="宋体"/>
          <w:b/>
          <w:bCs/>
          <w:color w:val="auto"/>
          <w:sz w:val="30"/>
          <w:szCs w:val="30"/>
          <w:highlight w:val="none"/>
          <w:lang w:val="zh-CN"/>
        </w:rPr>
        <w:t>二〇二</w:t>
      </w:r>
      <w:r>
        <w:rPr>
          <w:rFonts w:hint="eastAsia" w:ascii="宋体" w:hAnsi="宋体" w:eastAsia="宋体" w:cs="宋体"/>
          <w:b/>
          <w:bCs/>
          <w:color w:val="auto"/>
          <w:sz w:val="30"/>
          <w:szCs w:val="30"/>
          <w:highlight w:val="none"/>
          <w:lang w:val="en-US" w:eastAsia="zh-CN"/>
        </w:rPr>
        <w:t>三</w:t>
      </w:r>
      <w:r>
        <w:rPr>
          <w:rFonts w:hint="eastAsia" w:ascii="宋体" w:hAnsi="宋体" w:eastAsia="宋体" w:cs="宋体"/>
          <w:b/>
          <w:bCs/>
          <w:color w:val="auto"/>
          <w:sz w:val="30"/>
          <w:szCs w:val="30"/>
          <w:highlight w:val="none"/>
          <w:lang w:val="zh-CN"/>
        </w:rPr>
        <w:t>年</w:t>
      </w:r>
      <w:r>
        <w:rPr>
          <w:rFonts w:hint="eastAsia" w:ascii="宋体" w:hAnsi="宋体" w:eastAsia="宋体" w:cs="宋体"/>
          <w:b/>
          <w:bCs/>
          <w:color w:val="auto"/>
          <w:sz w:val="30"/>
          <w:szCs w:val="30"/>
          <w:highlight w:val="none"/>
          <w:lang w:val="en-US" w:eastAsia="zh-CN"/>
        </w:rPr>
        <w:t>十二</w:t>
      </w:r>
      <w:r>
        <w:rPr>
          <w:rFonts w:hint="eastAsia" w:ascii="宋体" w:hAnsi="宋体" w:eastAsia="宋体" w:cs="宋体"/>
          <w:b/>
          <w:bCs/>
          <w:color w:val="auto"/>
          <w:sz w:val="30"/>
          <w:szCs w:val="30"/>
          <w:highlight w:val="none"/>
          <w:lang w:val="zh-CN"/>
        </w:rPr>
        <w:t>月</w:t>
      </w:r>
    </w:p>
    <w:p>
      <w:pP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br w:type="page"/>
      </w:r>
    </w:p>
    <w:p>
      <w:pPr>
        <w:pStyle w:val="22"/>
        <w:rPr>
          <w:rFonts w:hint="eastAsia" w:ascii="宋体" w:hAnsi="宋体" w:eastAsia="宋体" w:cs="宋体"/>
          <w:color w:val="auto"/>
          <w:highlight w:val="none"/>
        </w:rPr>
        <w:sectPr>
          <w:headerReference r:id="rId4" w:type="first"/>
          <w:headerReference r:id="rId3" w:type="default"/>
          <w:footerReference r:id="rId5" w:type="even"/>
          <w:pgSz w:w="11906" w:h="16838"/>
          <w:pgMar w:top="1440" w:right="1083" w:bottom="1440" w:left="1083" w:header="851" w:footer="992" w:gutter="0"/>
          <w:pgNumType w:start="0"/>
          <w:cols w:space="720" w:num="1"/>
          <w:titlePg/>
          <w:docGrid w:linePitch="312" w:charSpace="0"/>
        </w:sectPr>
      </w:pPr>
    </w:p>
    <w:p>
      <w:pPr>
        <w:pStyle w:val="14"/>
        <w:ind w:firstLine="0" w:firstLineChars="0"/>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目  录</w:t>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b w:val="0"/>
          <w:bCs w:val="0"/>
          <w:color w:val="auto"/>
          <w:sz w:val="28"/>
          <w:szCs w:val="28"/>
          <w:highlight w:val="none"/>
        </w:rPr>
        <w:fldChar w:fldCharType="begin"/>
      </w:r>
      <w:r>
        <w:rPr>
          <w:rFonts w:hint="eastAsia" w:ascii="宋体" w:hAnsi="宋体" w:eastAsia="宋体" w:cs="宋体"/>
          <w:b w:val="0"/>
          <w:bCs w:val="0"/>
          <w:color w:val="auto"/>
          <w:sz w:val="28"/>
          <w:szCs w:val="28"/>
          <w:highlight w:val="none"/>
        </w:rPr>
        <w:instrText xml:space="preserve"> TOC \o "1-2" \h \z \u </w:instrText>
      </w:r>
      <w:r>
        <w:rPr>
          <w:rFonts w:hint="eastAsia" w:ascii="宋体" w:hAnsi="宋体" w:eastAsia="宋体" w:cs="宋体"/>
          <w:b w:val="0"/>
          <w:bCs w:val="0"/>
          <w:color w:val="auto"/>
          <w:sz w:val="28"/>
          <w:szCs w:val="28"/>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"_Toc68590965"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第一章  磋商公告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_Toc68590965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"_Toc68590966"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第二章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_Toc68590966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"_Toc68590967"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（一）供应商须知前附表</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_Toc68590967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"_Toc68590968"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（二）供应商须知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_Toc68590968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"_Toc68590969"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一、总  则</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_Toc68590969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"_Toc68590970"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二、磋商文件说明</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8</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"_Toc68590971"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三、响应文件的编写</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_Toc68590971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9</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"_Toc68590972"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四、响应文件的密封和递交</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_Toc68590972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"_Toc68590973"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五、评审与磋商</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"_Toc68590974"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六、确定成交单位、授予合同</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16</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"_Toc68590975"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第三章  评审办法和标准</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"_Toc68590976"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1.评审方法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"_Toc68590977"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2.评审标准</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_Toc68590977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40"/>
        <w:tabs>
          <w:tab w:val="right" w:leader="dot" w:pos="8296"/>
        </w:tabs>
        <w:rPr>
          <w:rFonts w:hint="eastAsia" w:ascii="宋体" w:hAnsi="宋体" w:eastAsia="宋体" w:cs="宋体"/>
          <w:smallCaps w:val="0"/>
          <w:color w:val="auto"/>
          <w:kern w:val="2"/>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"_Toc68590978"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3.评审程序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"_Toc68590979"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第四章  拟签订的合同文本</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_Toc68590979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"_Toc68590980"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第五章  采购内容及要求</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_Toc68590980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35"/>
        <w:tabs>
          <w:tab w:val="right" w:leader="dot" w:pos="8300"/>
          <w:tab w:val="clear" w:pos="9344"/>
        </w:tabs>
        <w:rPr>
          <w:rFonts w:hint="eastAsia" w:ascii="宋体" w:hAnsi="宋体" w:eastAsia="宋体" w:cs="宋体"/>
          <w:b w:val="0"/>
          <w:bCs w:val="0"/>
          <w:caps w:val="0"/>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"_Toc68590981" </w:instrText>
      </w:r>
      <w:r>
        <w:rPr>
          <w:rFonts w:hint="eastAsia" w:ascii="宋体" w:hAnsi="宋体" w:eastAsia="宋体" w:cs="宋体"/>
          <w:color w:val="auto"/>
          <w:highlight w:val="none"/>
        </w:rPr>
        <w:fldChar w:fldCharType="separate"/>
      </w:r>
      <w:r>
        <w:rPr>
          <w:rStyle w:val="59"/>
          <w:rFonts w:hint="eastAsia" w:ascii="宋体" w:hAnsi="宋体" w:eastAsia="宋体" w:cs="宋体"/>
          <w:color w:val="auto"/>
          <w:sz w:val="28"/>
          <w:szCs w:val="28"/>
          <w:highlight w:val="none"/>
        </w:rPr>
        <w:t>第六章  磋商响应文件格式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_Toc68590981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tabs>
          <w:tab w:val="center" w:pos="4677"/>
          <w:tab w:val="left" w:pos="5040"/>
        </w:tabs>
        <w:adjustRightInd w:val="0"/>
        <w:snapToGrid w:val="0"/>
        <w:spacing w:line="360" w:lineRule="auto"/>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end"/>
      </w:r>
    </w:p>
    <w:p>
      <w:pPr>
        <w:pStyle w:val="2"/>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pStyle w:val="2"/>
        <w:rPr>
          <w:rFonts w:hint="eastAsia" w:ascii="宋体" w:hAnsi="宋体" w:eastAsia="宋体" w:cs="宋体"/>
          <w:color w:val="auto"/>
          <w:sz w:val="28"/>
          <w:szCs w:val="28"/>
          <w:highlight w:val="none"/>
        </w:rPr>
      </w:pPr>
    </w:p>
    <w:p>
      <w:pPr>
        <w:rPr>
          <w:rFonts w:hint="eastAsia" w:ascii="宋体" w:hAnsi="宋体" w:eastAsia="宋体" w:cs="宋体"/>
          <w:color w:val="auto"/>
          <w:sz w:val="28"/>
          <w:szCs w:val="28"/>
          <w:highlight w:val="none"/>
        </w:rPr>
      </w:pPr>
    </w:p>
    <w:p>
      <w:pPr>
        <w:rPr>
          <w:rFonts w:hint="eastAsia" w:ascii="宋体" w:hAnsi="宋体" w:eastAsia="宋体" w:cs="宋体"/>
          <w:color w:val="auto"/>
          <w:szCs w:val="20"/>
          <w:highlight w:val="none"/>
        </w:rPr>
      </w:pPr>
      <w:r>
        <w:rPr>
          <w:rFonts w:hint="eastAsia" w:ascii="宋体" w:hAnsi="宋体" w:eastAsia="宋体" w:cs="宋体"/>
          <w:color w:val="auto"/>
          <w:szCs w:val="20"/>
          <w:highlight w:val="none"/>
        </w:rPr>
        <w:br w:type="page"/>
      </w:r>
    </w:p>
    <w:p>
      <w:pPr>
        <w:pStyle w:val="22"/>
        <w:rPr>
          <w:rFonts w:hint="eastAsia" w:ascii="宋体" w:hAnsi="宋体" w:eastAsia="宋体" w:cs="宋体"/>
          <w:color w:val="auto"/>
          <w:highlight w:val="none"/>
        </w:rPr>
        <w:sectPr>
          <w:footerReference r:id="rId7" w:type="first"/>
          <w:footerReference r:id="rId6" w:type="default"/>
          <w:pgSz w:w="11906" w:h="16838"/>
          <w:pgMar w:top="1440" w:right="1800" w:bottom="1440" w:left="1800" w:header="851" w:footer="992" w:gutter="0"/>
          <w:cols w:space="720" w:num="1"/>
          <w:titlePg/>
          <w:docGrid w:linePitch="312" w:charSpace="0"/>
        </w:sectPr>
      </w:pPr>
    </w:p>
    <w:p>
      <w:pPr>
        <w:pStyle w:val="46"/>
        <w:spacing w:line="360" w:lineRule="auto"/>
        <w:rPr>
          <w:rStyle w:val="63"/>
          <w:rFonts w:hint="eastAsia" w:ascii="宋体" w:hAnsi="宋体" w:eastAsia="宋体" w:cs="宋体"/>
          <w:color w:val="auto"/>
          <w:sz w:val="36"/>
          <w:szCs w:val="36"/>
          <w:highlight w:val="none"/>
        </w:rPr>
      </w:pPr>
      <w:bookmarkStart w:id="16" w:name="_Toc415499894"/>
      <w:bookmarkStart w:id="17" w:name="_Toc21755"/>
      <w:bookmarkStart w:id="18" w:name="_Toc58504445"/>
      <w:bookmarkStart w:id="19" w:name="_Toc68590965"/>
      <w:r>
        <w:rPr>
          <w:rStyle w:val="63"/>
          <w:rFonts w:hint="eastAsia" w:ascii="宋体" w:hAnsi="宋体" w:eastAsia="宋体" w:cs="宋体"/>
          <w:color w:val="auto"/>
          <w:sz w:val="36"/>
          <w:szCs w:val="36"/>
          <w:highlight w:val="none"/>
        </w:rPr>
        <w:t>第一章  磋商公告</w:t>
      </w:r>
      <w:bookmarkEnd w:id="16"/>
      <w:bookmarkEnd w:id="17"/>
      <w:bookmarkEnd w:id="18"/>
      <w:bookmarkEnd w:id="19"/>
      <w:r>
        <w:rPr>
          <w:rStyle w:val="63"/>
          <w:rFonts w:hint="eastAsia" w:ascii="宋体" w:hAnsi="宋体" w:eastAsia="宋体" w:cs="宋体"/>
          <w:color w:val="auto"/>
          <w:sz w:val="36"/>
          <w:szCs w:val="36"/>
          <w:highlight w:val="none"/>
        </w:rPr>
        <w:t xml:space="preserve">  </w:t>
      </w:r>
    </w:p>
    <w:p>
      <w:pPr>
        <w:tabs>
          <w:tab w:val="left" w:pos="5670"/>
        </w:tabs>
        <w:autoSpaceDE w:val="0"/>
        <w:autoSpaceDN w:val="0"/>
        <w:adjustRightInd w:val="0"/>
        <w:snapToGrid w:val="0"/>
        <w:spacing w:beforeLines="0" w:afterLines="0" w:line="360" w:lineRule="auto"/>
        <w:jc w:val="center"/>
        <w:rPr>
          <w:rFonts w:hint="eastAsia" w:ascii="宋体" w:hAnsi="宋体" w:eastAsia="宋体" w:cs="宋体"/>
          <w:b/>
          <w:sz w:val="24"/>
          <w:szCs w:val="24"/>
        </w:rPr>
      </w:pPr>
      <w:r>
        <w:rPr>
          <w:rFonts w:hint="eastAsia" w:ascii="宋体" w:hAnsi="宋体" w:eastAsia="宋体" w:cs="宋体"/>
          <w:b/>
          <w:kern w:val="0"/>
          <w:sz w:val="24"/>
          <w:szCs w:val="24"/>
          <w:shd w:val="clear" w:color="auto" w:fill="FFFFFF"/>
          <w:lang w:eastAsia="zh-CN" w:bidi="ar"/>
        </w:rPr>
        <w:t>西北大学第一医院DRG信息管理系统建设项目采购项目</w:t>
      </w:r>
      <w:r>
        <w:rPr>
          <w:rFonts w:hint="eastAsia" w:ascii="宋体" w:hAnsi="宋体" w:eastAsia="宋体" w:cs="宋体"/>
          <w:b/>
          <w:kern w:val="0"/>
          <w:sz w:val="24"/>
          <w:szCs w:val="24"/>
          <w:shd w:val="clear" w:color="auto" w:fill="FFFFFF"/>
          <w:lang w:bidi="ar"/>
        </w:rPr>
        <w:t>竞争性磋商公告</w:t>
      </w:r>
    </w:p>
    <w:p>
      <w:pPr>
        <w:widowControl/>
        <w:wordWrap w:val="0"/>
        <w:spacing w:beforeLines="0" w:afterLines="0" w:line="480" w:lineRule="exact"/>
        <w:ind w:left="1317" w:leftChars="228" w:hanging="838" w:hangingChars="348"/>
        <w:jc w:val="left"/>
        <w:outlineLvl w:val="5"/>
        <w:rPr>
          <w:rFonts w:hint="eastAsia" w:ascii="宋体" w:hAnsi="宋体" w:eastAsia="宋体" w:cs="宋体"/>
          <w:sz w:val="24"/>
          <w:szCs w:val="24"/>
        </w:rPr>
      </w:pPr>
      <w:r>
        <w:rPr>
          <w:rFonts w:hint="eastAsia" w:ascii="宋体" w:hAnsi="宋体" w:eastAsia="宋体" w:cs="宋体"/>
          <w:b/>
          <w:sz w:val="24"/>
          <w:szCs w:val="24"/>
          <w:shd w:val="clear" w:color="auto" w:fill="FFFFFF"/>
        </w:rPr>
        <w:t>项目概况</w:t>
      </w:r>
    </w:p>
    <w:p>
      <w:pPr>
        <w:widowControl/>
        <w:wordWrap w:val="0"/>
        <w:spacing w:beforeLines="0" w:afterLines="0" w:line="40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lang w:eastAsia="zh-CN"/>
        </w:rPr>
        <w:t>西北大学第一医院DRG信息管理系统建设项目采购项目</w:t>
      </w:r>
      <w:r>
        <w:rPr>
          <w:rFonts w:hint="eastAsia" w:ascii="宋体" w:hAnsi="宋体" w:eastAsia="宋体" w:cs="宋体"/>
          <w:kern w:val="0"/>
          <w:sz w:val="24"/>
          <w:szCs w:val="24"/>
          <w:shd w:val="clear" w:color="auto" w:fill="FFFFFF"/>
        </w:rPr>
        <w:t>采购项目的潜在供应商应在陕西省西安市凤城十二路伯马都A座北407获取采购文件，并于202</w:t>
      </w:r>
      <w:r>
        <w:rPr>
          <w:rFonts w:hint="eastAsia" w:ascii="宋体" w:hAnsi="宋体" w:eastAsia="宋体" w:cs="宋体"/>
          <w:kern w:val="0"/>
          <w:sz w:val="24"/>
          <w:szCs w:val="24"/>
          <w:shd w:val="clear" w:color="auto" w:fill="FFFFFF"/>
          <w:lang w:val="en-US" w:eastAsia="zh-CN"/>
        </w:rPr>
        <w:t>4</w:t>
      </w:r>
      <w:r>
        <w:rPr>
          <w:rFonts w:hint="eastAsia" w:ascii="宋体" w:hAnsi="宋体" w:eastAsia="宋体" w:cs="宋体"/>
          <w:kern w:val="0"/>
          <w:sz w:val="24"/>
          <w:szCs w:val="24"/>
          <w:shd w:val="clear" w:color="auto" w:fill="FFFFFF"/>
        </w:rPr>
        <w:t>年</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月</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日</w:t>
      </w:r>
      <w:r>
        <w:rPr>
          <w:rFonts w:hint="eastAsia" w:ascii="宋体" w:hAnsi="宋体" w:eastAsia="宋体" w:cs="宋体"/>
          <w:kern w:val="0"/>
          <w:sz w:val="24"/>
          <w:szCs w:val="24"/>
          <w:shd w:val="clear" w:color="auto" w:fill="FFFFFF"/>
          <w:lang w:val="en-US" w:eastAsia="zh-CN"/>
        </w:rPr>
        <w:t>14</w:t>
      </w:r>
      <w:r>
        <w:rPr>
          <w:rFonts w:hint="eastAsia" w:ascii="宋体" w:hAnsi="宋体" w:eastAsia="宋体" w:cs="宋体"/>
          <w:kern w:val="0"/>
          <w:sz w:val="24"/>
          <w:szCs w:val="24"/>
          <w:shd w:val="clear" w:color="auto" w:fill="FFFFFF"/>
        </w:rPr>
        <w:t>时00分（北京时间）前提交响应文件。</w:t>
      </w:r>
    </w:p>
    <w:p>
      <w:pPr>
        <w:widowControl/>
        <w:wordWrap w:val="0"/>
        <w:adjustRightInd w:val="0"/>
        <w:snapToGrid w:val="0"/>
        <w:spacing w:beforeLines="0" w:afterLines="0" w:line="40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一、项目基本情况</w:t>
      </w:r>
    </w:p>
    <w:p>
      <w:pPr>
        <w:widowControl/>
        <w:wordWrap w:val="0"/>
        <w:spacing w:beforeLines="0" w:afterLines="0" w:line="400" w:lineRule="exact"/>
        <w:ind w:firstLine="480"/>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项目编号：</w:t>
      </w:r>
      <w:r>
        <w:rPr>
          <w:rFonts w:hint="eastAsia" w:ascii="宋体" w:hAnsi="宋体" w:eastAsia="宋体" w:cs="宋体"/>
          <w:kern w:val="0"/>
          <w:sz w:val="24"/>
          <w:szCs w:val="24"/>
          <w:shd w:val="clear" w:color="auto" w:fill="FFFFFF"/>
          <w:lang w:eastAsia="zh-CN"/>
        </w:rPr>
        <w:t>ZSJC-XA-[2023]-1207-CG</w:t>
      </w:r>
    </w:p>
    <w:p>
      <w:pPr>
        <w:widowControl/>
        <w:wordWrap w:val="0"/>
        <w:spacing w:beforeLines="0" w:afterLines="0" w:line="400" w:lineRule="exact"/>
        <w:ind w:firstLine="480"/>
        <w:rPr>
          <w:rFonts w:hint="eastAsia" w:ascii="宋体" w:hAnsi="宋体" w:eastAsia="宋体" w:cs="宋体"/>
          <w:kern w:val="0"/>
          <w:sz w:val="24"/>
          <w:szCs w:val="24"/>
          <w:shd w:val="clear" w:color="auto" w:fill="FFFFFF"/>
          <w:lang w:eastAsia="zh-CN"/>
        </w:rPr>
      </w:pPr>
      <w:r>
        <w:rPr>
          <w:rFonts w:hint="eastAsia" w:ascii="宋体" w:hAnsi="宋体" w:eastAsia="宋体" w:cs="宋体"/>
          <w:kern w:val="0"/>
          <w:sz w:val="24"/>
          <w:szCs w:val="24"/>
          <w:shd w:val="clear" w:color="auto" w:fill="FFFFFF"/>
        </w:rPr>
        <w:t>项目名称：</w:t>
      </w:r>
      <w:r>
        <w:rPr>
          <w:rFonts w:hint="eastAsia" w:ascii="宋体" w:hAnsi="宋体" w:eastAsia="宋体" w:cs="宋体"/>
          <w:kern w:val="0"/>
          <w:sz w:val="24"/>
          <w:szCs w:val="24"/>
          <w:shd w:val="clear" w:color="auto" w:fill="FFFFFF"/>
          <w:lang w:eastAsia="zh-CN"/>
        </w:rPr>
        <w:t>西北大学第一医院DRG信息管理系统建设项目采购项目</w:t>
      </w:r>
    </w:p>
    <w:p>
      <w:pPr>
        <w:widowControl/>
        <w:wordWrap w:val="0"/>
        <w:spacing w:beforeLines="0" w:afterLines="0" w:line="40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采购方式：竞争性磋商</w:t>
      </w:r>
    </w:p>
    <w:p>
      <w:pPr>
        <w:widowControl/>
        <w:wordWrap w:val="0"/>
        <w:spacing w:beforeLines="0" w:afterLines="0" w:line="40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预算金额：</w:t>
      </w:r>
      <w:r>
        <w:rPr>
          <w:rFonts w:hint="eastAsia" w:ascii="宋体" w:hAnsi="宋体" w:eastAsia="宋体" w:cs="宋体"/>
          <w:kern w:val="0"/>
          <w:sz w:val="24"/>
          <w:szCs w:val="24"/>
          <w:shd w:val="clear" w:color="auto" w:fill="FFFFFF"/>
          <w:lang w:val="en-US" w:eastAsia="zh-CN"/>
        </w:rPr>
        <w:t>1500000</w:t>
      </w:r>
      <w:r>
        <w:rPr>
          <w:rFonts w:hint="eastAsia" w:ascii="宋体" w:hAnsi="宋体" w:eastAsia="宋体" w:cs="宋体"/>
          <w:kern w:val="0"/>
          <w:sz w:val="24"/>
          <w:szCs w:val="24"/>
          <w:shd w:val="clear" w:color="auto" w:fill="FFFFFF"/>
        </w:rPr>
        <w:t>.00元</w:t>
      </w:r>
    </w:p>
    <w:p>
      <w:pPr>
        <w:widowControl/>
        <w:wordWrap w:val="0"/>
        <w:spacing w:beforeLines="0" w:afterLines="0" w:line="40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采购需求：</w:t>
      </w:r>
    </w:p>
    <w:p>
      <w:pPr>
        <w:widowControl/>
        <w:wordWrap w:val="0"/>
        <w:spacing w:beforeLines="0" w:afterLines="0" w:line="480" w:lineRule="exact"/>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合同包1：</w:t>
      </w:r>
    </w:p>
    <w:tbl>
      <w:tblPr>
        <w:tblStyle w:val="50"/>
        <w:tblW w:w="8856"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735"/>
        <w:gridCol w:w="2522"/>
        <w:gridCol w:w="1310"/>
        <w:gridCol w:w="1485"/>
        <w:gridCol w:w="1048"/>
        <w:gridCol w:w="175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21" w:hRule="atLeast"/>
          <w:tblHeader/>
        </w:trPr>
        <w:tc>
          <w:tcPr>
            <w:tcW w:w="735"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合同包号</w:t>
            </w:r>
          </w:p>
        </w:tc>
        <w:tc>
          <w:tcPr>
            <w:tcW w:w="2522"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合同包名称</w:t>
            </w:r>
          </w:p>
        </w:tc>
        <w:tc>
          <w:tcPr>
            <w:tcW w:w="1310"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技术规格、参数及要求</w:t>
            </w:r>
          </w:p>
        </w:tc>
        <w:tc>
          <w:tcPr>
            <w:tcW w:w="1485"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预算金额（元）</w:t>
            </w:r>
          </w:p>
        </w:tc>
        <w:tc>
          <w:tcPr>
            <w:tcW w:w="1048"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是否接受联合体</w:t>
            </w:r>
          </w:p>
        </w:tc>
        <w:tc>
          <w:tcPr>
            <w:tcW w:w="1756"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80" w:lineRule="exact"/>
              <w:jc w:val="center"/>
              <w:rPr>
                <w:rFonts w:hint="eastAsia" w:ascii="宋体" w:hAnsi="宋体" w:eastAsia="宋体" w:cs="宋体"/>
                <w:b/>
                <w:sz w:val="20"/>
                <w:szCs w:val="20"/>
              </w:rPr>
            </w:pPr>
            <w:r>
              <w:rPr>
                <w:rFonts w:hint="eastAsia" w:ascii="宋体" w:hAnsi="宋体" w:eastAsia="宋体" w:cs="宋体"/>
                <w:b/>
                <w:kern w:val="0"/>
                <w:sz w:val="20"/>
                <w:szCs w:val="20"/>
                <w:lang w:bidi="ar"/>
              </w:rPr>
              <w:t>合同履行期限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02" w:hRule="atLeast"/>
        </w:trPr>
        <w:tc>
          <w:tcPr>
            <w:tcW w:w="735"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40" w:lineRule="exact"/>
              <w:jc w:val="center"/>
              <w:rPr>
                <w:rFonts w:hint="eastAsia" w:ascii="宋体" w:hAnsi="宋体" w:eastAsia="宋体" w:cs="宋体"/>
                <w:sz w:val="20"/>
                <w:szCs w:val="20"/>
              </w:rPr>
            </w:pPr>
            <w:r>
              <w:rPr>
                <w:rFonts w:hint="eastAsia" w:ascii="宋体" w:hAnsi="宋体" w:eastAsia="宋体" w:cs="宋体"/>
                <w:kern w:val="0"/>
                <w:sz w:val="20"/>
                <w:szCs w:val="20"/>
                <w:lang w:bidi="ar"/>
              </w:rPr>
              <w:t>1</w:t>
            </w:r>
          </w:p>
        </w:tc>
        <w:tc>
          <w:tcPr>
            <w:tcW w:w="2522"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snapToGrid w:val="0"/>
              <w:spacing w:beforeLines="0" w:afterLines="0" w:line="240" w:lineRule="exact"/>
              <w:jc w:val="left"/>
              <w:rPr>
                <w:rFonts w:hint="eastAsia" w:ascii="宋体" w:hAnsi="宋体" w:eastAsia="宋体" w:cs="宋体"/>
                <w:sz w:val="20"/>
                <w:szCs w:val="20"/>
              </w:rPr>
            </w:pPr>
            <w:r>
              <w:rPr>
                <w:rFonts w:hint="eastAsia" w:ascii="宋体" w:hAnsi="宋体" w:eastAsia="宋体" w:cs="宋体"/>
                <w:kern w:val="0"/>
                <w:sz w:val="20"/>
                <w:szCs w:val="20"/>
                <w:lang w:eastAsia="zh-CN" w:bidi="ar"/>
              </w:rPr>
              <w:t>DRG信息管理系统建设项目</w:t>
            </w:r>
          </w:p>
        </w:tc>
        <w:tc>
          <w:tcPr>
            <w:tcW w:w="1310"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40" w:lineRule="exact"/>
              <w:jc w:val="center"/>
              <w:rPr>
                <w:rFonts w:hint="eastAsia" w:ascii="宋体" w:hAnsi="宋体" w:eastAsia="宋体" w:cs="宋体"/>
                <w:sz w:val="20"/>
                <w:szCs w:val="20"/>
              </w:rPr>
            </w:pPr>
            <w:r>
              <w:rPr>
                <w:rFonts w:hint="eastAsia" w:ascii="宋体" w:hAnsi="宋体" w:eastAsia="宋体" w:cs="宋体"/>
                <w:kern w:val="0"/>
                <w:sz w:val="20"/>
                <w:szCs w:val="20"/>
                <w:lang w:bidi="ar"/>
              </w:rPr>
              <w:t>详见采购文件</w:t>
            </w:r>
          </w:p>
        </w:tc>
        <w:tc>
          <w:tcPr>
            <w:tcW w:w="1485"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40" w:lineRule="exact"/>
              <w:jc w:val="center"/>
              <w:rPr>
                <w:rFonts w:hint="eastAsia" w:ascii="宋体" w:hAnsi="宋体" w:eastAsia="宋体" w:cs="宋体"/>
                <w:sz w:val="20"/>
                <w:szCs w:val="20"/>
              </w:rPr>
            </w:pPr>
            <w:r>
              <w:rPr>
                <w:rFonts w:hint="eastAsia" w:ascii="宋体" w:hAnsi="宋体" w:eastAsia="宋体" w:cs="宋体"/>
                <w:kern w:val="0"/>
                <w:sz w:val="20"/>
                <w:szCs w:val="20"/>
                <w:lang w:val="en-US" w:eastAsia="zh-CN" w:bidi="ar"/>
              </w:rPr>
              <w:t>1</w:t>
            </w:r>
            <w:r>
              <w:rPr>
                <w:rFonts w:hint="eastAsia" w:ascii="宋体" w:hAnsi="宋体" w:eastAsia="宋体" w:cs="宋体"/>
                <w:kern w:val="0"/>
                <w:sz w:val="20"/>
                <w:szCs w:val="20"/>
                <w:lang w:bidi="ar"/>
              </w:rPr>
              <w:t>50</w:t>
            </w:r>
            <w:r>
              <w:rPr>
                <w:rFonts w:hint="eastAsia" w:ascii="宋体" w:hAnsi="宋体" w:eastAsia="宋体" w:cs="宋体"/>
                <w:kern w:val="0"/>
                <w:sz w:val="20"/>
                <w:szCs w:val="20"/>
                <w:lang w:val="en-US" w:eastAsia="zh-CN" w:bidi="ar"/>
              </w:rPr>
              <w:t>0</w:t>
            </w:r>
            <w:r>
              <w:rPr>
                <w:rFonts w:hint="eastAsia" w:ascii="宋体" w:hAnsi="宋体" w:eastAsia="宋体" w:cs="宋体"/>
                <w:kern w:val="0"/>
                <w:sz w:val="20"/>
                <w:szCs w:val="20"/>
                <w:lang w:bidi="ar"/>
              </w:rPr>
              <w:t>000.00</w:t>
            </w:r>
          </w:p>
        </w:tc>
        <w:tc>
          <w:tcPr>
            <w:tcW w:w="1048"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40" w:lineRule="exact"/>
              <w:jc w:val="center"/>
              <w:rPr>
                <w:rFonts w:hint="eastAsia" w:ascii="宋体" w:hAnsi="宋体" w:eastAsia="宋体" w:cs="宋体"/>
                <w:sz w:val="20"/>
                <w:szCs w:val="20"/>
              </w:rPr>
            </w:pPr>
            <w:r>
              <w:rPr>
                <w:rFonts w:hint="eastAsia" w:ascii="宋体" w:hAnsi="宋体" w:eastAsia="宋体" w:cs="宋体"/>
                <w:kern w:val="0"/>
                <w:sz w:val="20"/>
                <w:szCs w:val="20"/>
                <w:lang w:bidi="ar"/>
              </w:rPr>
              <w:t>否</w:t>
            </w:r>
          </w:p>
        </w:tc>
        <w:tc>
          <w:tcPr>
            <w:tcW w:w="1756" w:type="dxa"/>
            <w:tcBorders>
              <w:top w:val="single" w:color="000000" w:sz="6" w:space="0"/>
              <w:left w:val="single" w:color="000000" w:sz="6" w:space="0"/>
              <w:bottom w:val="single" w:color="000000" w:sz="6" w:space="0"/>
              <w:right w:val="single" w:color="000000" w:sz="6" w:space="0"/>
              <w:tl2br w:val="nil"/>
              <w:tr2bl w:val="nil"/>
            </w:tcBorders>
            <w:noWrap w:val="0"/>
            <w:tcMar>
              <w:top w:w="75" w:type="dxa"/>
              <w:left w:w="120" w:type="dxa"/>
              <w:bottom w:w="75" w:type="dxa"/>
              <w:right w:w="120" w:type="dxa"/>
            </w:tcMar>
            <w:vAlign w:val="center"/>
          </w:tcPr>
          <w:p>
            <w:pPr>
              <w:widowControl/>
              <w:wordWrap w:val="0"/>
              <w:spacing w:beforeLines="0" w:afterLines="0" w:line="240" w:lineRule="exact"/>
              <w:jc w:val="center"/>
              <w:rPr>
                <w:rFonts w:hint="eastAsia" w:ascii="宋体" w:hAnsi="宋体" w:eastAsia="宋体" w:cs="宋体"/>
                <w:sz w:val="20"/>
                <w:szCs w:val="20"/>
              </w:rPr>
            </w:pPr>
            <w:r>
              <w:rPr>
                <w:rFonts w:hint="eastAsia" w:ascii="宋体" w:hAnsi="宋体" w:eastAsia="宋体" w:cs="宋体"/>
                <w:kern w:val="0"/>
                <w:sz w:val="20"/>
                <w:szCs w:val="20"/>
                <w:lang w:bidi="ar"/>
              </w:rPr>
              <w:t>以采购人签订合同为准</w:t>
            </w:r>
          </w:p>
        </w:tc>
      </w:tr>
    </w:tbl>
    <w:p>
      <w:pPr>
        <w:widowControl/>
        <w:wordWrap w:val="0"/>
        <w:adjustRightInd w:val="0"/>
        <w:snapToGrid w:val="0"/>
        <w:spacing w:beforeLines="0" w:afterLines="0" w:line="48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二、申请人的资格要求：</w:t>
      </w:r>
    </w:p>
    <w:p>
      <w:pPr>
        <w:keepNext w:val="0"/>
        <w:keepLines w:val="0"/>
        <w:pageBreakBefore w:val="0"/>
        <w:widowControl w:val="0"/>
        <w:kinsoku/>
        <w:wordWrap w:val="0"/>
        <w:overflowPunct/>
        <w:topLinePunct w:val="0"/>
        <w:autoSpaceDE/>
        <w:autoSpaceDN/>
        <w:bidi w:val="0"/>
        <w:adjustRightInd/>
        <w:snapToGrid/>
        <w:spacing w:beforeLines="0" w:afterLines="0" w:line="480" w:lineRule="exact"/>
        <w:ind w:firstLine="482"/>
        <w:textAlignment w:val="auto"/>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1.满足《中华人民共和国政府采购法》第二十二条规定;</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2.落实政府采购政策需满足的资格要求：</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合同包1(</w:t>
      </w:r>
      <w:r>
        <w:rPr>
          <w:rFonts w:hint="eastAsia" w:ascii="宋体" w:hAnsi="宋体" w:eastAsia="宋体" w:cs="宋体"/>
          <w:kern w:val="0"/>
          <w:sz w:val="24"/>
          <w:szCs w:val="24"/>
          <w:shd w:val="clear" w:color="auto" w:fill="FFFFFF"/>
          <w:lang w:eastAsia="zh-CN"/>
        </w:rPr>
        <w:t>DRG信息管理系统建设项目</w:t>
      </w:r>
      <w:r>
        <w:rPr>
          <w:rFonts w:hint="eastAsia" w:ascii="宋体" w:hAnsi="宋体" w:eastAsia="宋体" w:cs="宋体"/>
          <w:kern w:val="0"/>
          <w:sz w:val="24"/>
          <w:szCs w:val="24"/>
          <w:shd w:val="clear" w:color="auto" w:fill="FFFFFF"/>
        </w:rPr>
        <w:t>)落实政府采购政策需满足的资格要求如下:</w:t>
      </w:r>
    </w:p>
    <w:p>
      <w:pPr>
        <w:widowControl/>
        <w:wordWrap w:val="0"/>
        <w:spacing w:beforeLines="0" w:afterLines="0" w:line="480" w:lineRule="exact"/>
        <w:ind w:firstLine="480" w:firstLineChars="200"/>
        <w:rPr>
          <w:rFonts w:hint="eastAsia" w:ascii="宋体" w:hAnsi="宋体" w:eastAsia="宋体" w:cs="宋体"/>
          <w:color w:val="0000FF"/>
          <w:kern w:val="0"/>
          <w:sz w:val="24"/>
          <w:szCs w:val="24"/>
          <w:shd w:val="clear" w:color="auto" w:fill="FFFFFF"/>
          <w:lang w:eastAsia="zh-CN"/>
        </w:rPr>
      </w:pPr>
      <w:r>
        <w:rPr>
          <w:rFonts w:hint="eastAsia" w:ascii="宋体" w:hAnsi="宋体" w:eastAsia="宋体" w:cs="宋体"/>
          <w:color w:val="0000FF"/>
          <w:kern w:val="0"/>
          <w:sz w:val="24"/>
          <w:szCs w:val="24"/>
          <w:shd w:val="clear" w:color="auto" w:fill="FFFFFF"/>
        </w:rPr>
        <w:t>本项目为</w:t>
      </w:r>
      <w:r>
        <w:rPr>
          <w:rFonts w:hint="eastAsia" w:ascii="宋体" w:hAnsi="宋体" w:eastAsia="宋体" w:cs="宋体"/>
          <w:color w:val="0000FF"/>
          <w:kern w:val="0"/>
          <w:sz w:val="24"/>
          <w:szCs w:val="24"/>
          <w:shd w:val="clear" w:color="auto" w:fill="FFFFFF"/>
          <w:lang w:val="en-US" w:eastAsia="zh-CN"/>
        </w:rPr>
        <w:t>非</w:t>
      </w:r>
      <w:r>
        <w:rPr>
          <w:rFonts w:hint="eastAsia" w:ascii="宋体" w:hAnsi="宋体" w:eastAsia="宋体" w:cs="宋体"/>
          <w:color w:val="0000FF"/>
          <w:kern w:val="0"/>
          <w:sz w:val="24"/>
          <w:szCs w:val="24"/>
          <w:shd w:val="clear" w:color="auto" w:fill="FFFFFF"/>
        </w:rPr>
        <w:t>专门面向中小企业的项目</w:t>
      </w:r>
      <w:r>
        <w:rPr>
          <w:rFonts w:hint="eastAsia" w:ascii="宋体" w:hAnsi="宋体" w:eastAsia="宋体" w:cs="宋体"/>
          <w:color w:val="0000FF"/>
          <w:kern w:val="0"/>
          <w:sz w:val="24"/>
          <w:szCs w:val="24"/>
          <w:shd w:val="clear" w:color="auto" w:fill="FFFFFF"/>
          <w:lang w:eastAsia="zh-CN"/>
        </w:rPr>
        <w:t>，若享受以上政策优惠的企业，提供相应声明函或品目清单范围内产品的有效认证证书。</w:t>
      </w:r>
    </w:p>
    <w:p>
      <w:pPr>
        <w:widowControl/>
        <w:wordWrap w:val="0"/>
        <w:spacing w:beforeLines="0" w:afterLines="0" w:line="480" w:lineRule="exact"/>
        <w:ind w:firstLine="480" w:firstLineChars="2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w:t>
      </w:r>
    </w:p>
    <w:p>
      <w:pPr>
        <w:widowControl/>
        <w:wordWrap w:val="0"/>
        <w:spacing w:beforeLines="0" w:afterLines="0" w:line="480" w:lineRule="exact"/>
        <w:ind w:firstLine="480" w:firstLineChars="2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1.2 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w:t>
      </w:r>
    </w:p>
    <w:p>
      <w:pPr>
        <w:widowControl/>
        <w:wordWrap w:val="0"/>
        <w:spacing w:beforeLines="0" w:afterLines="0" w:line="480" w:lineRule="exact"/>
        <w:ind w:firstLine="480" w:firstLineChars="2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w:t>
      </w:r>
    </w:p>
    <w:p>
      <w:pPr>
        <w:widowControl/>
        <w:wordWrap w:val="0"/>
        <w:spacing w:beforeLines="0" w:afterLines="0" w:line="480" w:lineRule="exact"/>
        <w:ind w:firstLine="480" w:firstLineChars="2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1.4  《陕西省财政厅关于加快推进我省中小企业政府采购信用融资工作的通知》（陕财办采〔2020〕15号）、陕西省财政厅关于印发《陕西省中小企业政府采购信用融资办法》（陕财办采〔2018〕23号）。</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3.本项目的特定资格要求：</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合同包1(</w:t>
      </w:r>
      <w:r>
        <w:rPr>
          <w:rFonts w:hint="eastAsia" w:ascii="宋体" w:hAnsi="宋体" w:eastAsia="宋体" w:cs="宋体"/>
          <w:kern w:val="0"/>
          <w:sz w:val="24"/>
          <w:szCs w:val="24"/>
          <w:shd w:val="clear" w:color="auto" w:fill="FFFFFF"/>
          <w:lang w:eastAsia="zh-CN"/>
        </w:rPr>
        <w:t>DRG信息管理系统建设项目</w:t>
      </w:r>
      <w:r>
        <w:rPr>
          <w:rFonts w:hint="eastAsia" w:ascii="宋体" w:hAnsi="宋体" w:eastAsia="宋体" w:cs="宋体"/>
          <w:kern w:val="0"/>
          <w:sz w:val="24"/>
          <w:szCs w:val="24"/>
          <w:shd w:val="clear" w:color="auto" w:fill="FFFFFF"/>
        </w:rPr>
        <w:t>)特定资格要求如下:</w:t>
      </w:r>
    </w:p>
    <w:p>
      <w:pPr>
        <w:widowControl/>
        <w:wordWrap w:val="0"/>
        <w:spacing w:beforeLines="0" w:afterLines="0" w:line="480" w:lineRule="exact"/>
        <w:ind w:left="239" w:leftChars="114" w:firstLine="240" w:firstLineChars="1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3.1供应商不得存在下列情形之一：</w:t>
      </w:r>
    </w:p>
    <w:p>
      <w:pPr>
        <w:widowControl/>
        <w:wordWrap w:val="0"/>
        <w:spacing w:beforeLines="0" w:afterLines="0" w:line="480" w:lineRule="exact"/>
        <w:ind w:left="239" w:leftChars="114" w:firstLine="240" w:firstLineChars="1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（1）单位负责人为同一人或者存在直接控股、管理关系的不同供应商，不得参加本次采购活动；</w:t>
      </w:r>
    </w:p>
    <w:p>
      <w:pPr>
        <w:widowControl/>
        <w:wordWrap w:val="0"/>
        <w:spacing w:beforeLines="0" w:afterLines="0" w:line="480" w:lineRule="exact"/>
        <w:ind w:left="239" w:leftChars="114" w:firstLine="240" w:firstLineChars="1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（2）为本项目提供整体设计、规范编制或者项目管理、监理、检测等服务的供应商，不得再参加该采购项目的其他采购活动。</w:t>
      </w:r>
    </w:p>
    <w:p>
      <w:pPr>
        <w:widowControl/>
        <w:wordWrap w:val="0"/>
        <w:spacing w:beforeLines="0" w:afterLines="0" w:line="480" w:lineRule="exact"/>
        <w:ind w:left="239" w:leftChars="114" w:firstLine="240" w:firstLineChars="10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3.2项目负责人须具备相关专业中级职称并在本单位注册。</w:t>
      </w:r>
    </w:p>
    <w:p>
      <w:pPr>
        <w:widowControl/>
        <w:wordWrap w:val="0"/>
        <w:adjustRightInd w:val="0"/>
        <w:snapToGrid w:val="0"/>
        <w:spacing w:beforeLines="0" w:afterLines="0" w:line="48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三、获取招标文件</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时间：202</w:t>
      </w:r>
      <w:r>
        <w:rPr>
          <w:rFonts w:hint="eastAsia" w:ascii="宋体" w:hAnsi="宋体" w:eastAsia="宋体" w:cs="宋体"/>
          <w:kern w:val="0"/>
          <w:sz w:val="24"/>
          <w:szCs w:val="24"/>
          <w:shd w:val="clear" w:color="auto" w:fill="FFFFFF"/>
          <w:lang w:val="en-US" w:eastAsia="zh-CN"/>
        </w:rPr>
        <w:t>4</w:t>
      </w:r>
      <w:r>
        <w:rPr>
          <w:rFonts w:hint="eastAsia" w:ascii="宋体" w:hAnsi="宋体" w:eastAsia="宋体" w:cs="宋体"/>
          <w:kern w:val="0"/>
          <w:sz w:val="24"/>
          <w:szCs w:val="24"/>
          <w:shd w:val="clear" w:color="auto" w:fill="FFFFFF"/>
        </w:rPr>
        <w:t>年</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月</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日至202</w:t>
      </w:r>
      <w:r>
        <w:rPr>
          <w:rFonts w:hint="eastAsia" w:ascii="宋体" w:hAnsi="宋体" w:eastAsia="宋体" w:cs="宋体"/>
          <w:kern w:val="0"/>
          <w:sz w:val="24"/>
          <w:szCs w:val="24"/>
          <w:shd w:val="clear" w:color="auto" w:fill="FFFFFF"/>
          <w:lang w:val="en-US" w:eastAsia="zh-CN"/>
        </w:rPr>
        <w:t>4</w:t>
      </w:r>
      <w:r>
        <w:rPr>
          <w:rFonts w:hint="eastAsia" w:ascii="宋体" w:hAnsi="宋体" w:eastAsia="宋体" w:cs="宋体"/>
          <w:kern w:val="0"/>
          <w:sz w:val="24"/>
          <w:szCs w:val="24"/>
          <w:shd w:val="clear" w:color="auto" w:fill="FFFFFF"/>
        </w:rPr>
        <w:t>年</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月</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日，每天上午09:00:00至11:00:00，下午14:00:00至17:00:00（北京时间）</w:t>
      </w:r>
    </w:p>
    <w:p>
      <w:pPr>
        <w:widowControl/>
        <w:wordWrap w:val="0"/>
        <w:spacing w:beforeLines="0" w:afterLines="0" w:line="48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地点：陕西省西安市凤城十二路伯马都A座北407获取采购文件</w:t>
      </w:r>
    </w:p>
    <w:p>
      <w:pPr>
        <w:widowControl/>
        <w:wordWrap w:val="0"/>
        <w:spacing w:beforeLines="0" w:afterLines="0" w:line="48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途径：项目电子化交易系统-应标-项目投标中选择本项目参与并获取采购文件</w:t>
      </w:r>
    </w:p>
    <w:p>
      <w:pPr>
        <w:widowControl/>
        <w:wordWrap w:val="0"/>
        <w:spacing w:beforeLines="0" w:afterLines="0" w:line="48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方式：投标人有意参加本项目的，应在陕西省政府采购网（www.ccgp-shaanxi.gov.cn）登录项目电子化交易系统申请获取采购文件。</w:t>
      </w:r>
    </w:p>
    <w:p>
      <w:pPr>
        <w:widowControl/>
        <w:wordWrap w:val="0"/>
        <w:spacing w:beforeLines="0" w:afterLines="0" w:line="48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售价：0元</w:t>
      </w:r>
    </w:p>
    <w:p>
      <w:pPr>
        <w:widowControl/>
        <w:wordWrap w:val="0"/>
        <w:adjustRightInd w:val="0"/>
        <w:snapToGrid w:val="0"/>
        <w:spacing w:beforeLines="0" w:afterLines="0" w:line="48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四、提交投标文件截止时间、开标时间和地点</w:t>
      </w:r>
    </w:p>
    <w:p>
      <w:pPr>
        <w:widowControl/>
        <w:wordWrap w:val="0"/>
        <w:spacing w:beforeLines="0" w:afterLines="0" w:line="480" w:lineRule="exact"/>
        <w:ind w:firstLine="480"/>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时间：202</w:t>
      </w:r>
      <w:r>
        <w:rPr>
          <w:rFonts w:hint="eastAsia" w:ascii="宋体" w:hAnsi="宋体" w:eastAsia="宋体" w:cs="宋体"/>
          <w:kern w:val="0"/>
          <w:sz w:val="24"/>
          <w:szCs w:val="24"/>
          <w:shd w:val="clear" w:color="auto" w:fill="FFFFFF"/>
          <w:lang w:val="en-US" w:eastAsia="zh-CN"/>
        </w:rPr>
        <w:t>4</w:t>
      </w:r>
      <w:r>
        <w:rPr>
          <w:rFonts w:hint="eastAsia" w:ascii="宋体" w:hAnsi="宋体" w:eastAsia="宋体" w:cs="宋体"/>
          <w:kern w:val="0"/>
          <w:sz w:val="24"/>
          <w:szCs w:val="24"/>
          <w:shd w:val="clear" w:color="auto" w:fill="FFFFFF"/>
        </w:rPr>
        <w:t>年</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月</w:t>
      </w:r>
      <w:r>
        <w:rPr>
          <w:rFonts w:hint="eastAsia" w:ascii="宋体" w:hAnsi="宋体" w:eastAsia="宋体" w:cs="宋体"/>
          <w:kern w:val="0"/>
          <w:sz w:val="24"/>
          <w:szCs w:val="24"/>
          <w:shd w:val="clear" w:color="auto" w:fill="FFFFFF"/>
          <w:lang w:val="en-US" w:eastAsia="zh-CN"/>
        </w:rPr>
        <w:t xml:space="preserve">    </w:t>
      </w:r>
      <w:r>
        <w:rPr>
          <w:rFonts w:hint="eastAsia" w:ascii="宋体" w:hAnsi="宋体" w:eastAsia="宋体" w:cs="宋体"/>
          <w:kern w:val="0"/>
          <w:sz w:val="24"/>
          <w:szCs w:val="24"/>
          <w:shd w:val="clear" w:color="auto" w:fill="FFFFFF"/>
        </w:rPr>
        <w:t>日</w:t>
      </w:r>
      <w:r>
        <w:rPr>
          <w:rFonts w:hint="eastAsia" w:ascii="宋体" w:hAnsi="宋体" w:eastAsia="宋体" w:cs="宋体"/>
          <w:kern w:val="0"/>
          <w:sz w:val="24"/>
          <w:szCs w:val="24"/>
          <w:shd w:val="clear" w:color="auto" w:fill="FFFFFF"/>
          <w:lang w:val="en-US" w:eastAsia="zh-CN"/>
        </w:rPr>
        <w:t>14</w:t>
      </w:r>
      <w:r>
        <w:rPr>
          <w:rFonts w:hint="eastAsia" w:ascii="宋体" w:hAnsi="宋体" w:eastAsia="宋体" w:cs="宋体"/>
          <w:kern w:val="0"/>
          <w:sz w:val="24"/>
          <w:szCs w:val="24"/>
          <w:shd w:val="clear" w:color="auto" w:fill="FFFFFF"/>
        </w:rPr>
        <w:t>时00分00秒（北京时间）</w:t>
      </w:r>
    </w:p>
    <w:p>
      <w:pPr>
        <w:widowControl/>
        <w:wordWrap w:val="0"/>
        <w:spacing w:beforeLines="0" w:afterLines="0" w:line="400" w:lineRule="exact"/>
        <w:ind w:firstLine="480"/>
        <w:textAlignment w:val="baseline"/>
        <w:rPr>
          <w:rFonts w:hint="eastAsia" w:ascii="宋体" w:hAnsi="宋体" w:eastAsia="宋体" w:cs="宋体"/>
          <w:sz w:val="24"/>
          <w:szCs w:val="24"/>
          <w:shd w:val="clear" w:color="auto" w:fill="FFFFFF"/>
        </w:rPr>
      </w:pPr>
      <w:r>
        <w:rPr>
          <w:rFonts w:hint="eastAsia" w:ascii="宋体" w:hAnsi="宋体" w:eastAsia="宋体" w:cs="宋体"/>
          <w:kern w:val="0"/>
          <w:sz w:val="24"/>
          <w:szCs w:val="24"/>
          <w:shd w:val="clear" w:color="auto" w:fill="FFFFFF"/>
        </w:rPr>
        <w:t>提交投标文件地点：</w:t>
      </w:r>
      <w:r>
        <w:rPr>
          <w:rFonts w:hint="eastAsia" w:ascii="宋体" w:hAnsi="宋体" w:eastAsia="宋体" w:cs="宋体"/>
          <w:sz w:val="24"/>
          <w:szCs w:val="24"/>
          <w:shd w:val="clear" w:color="auto" w:fill="FFFFFF"/>
          <w:lang w:val="en-US" w:eastAsia="zh-CN"/>
        </w:rPr>
        <w:t>陕西省西安市莲湖区二环南路西段202号九座花园东区2905开标室</w:t>
      </w:r>
    </w:p>
    <w:p>
      <w:pPr>
        <w:widowControl/>
        <w:wordWrap w:val="0"/>
        <w:spacing w:beforeLines="0" w:afterLines="0" w:line="480" w:lineRule="exact"/>
        <w:ind w:firstLine="480" w:firstLineChars="200"/>
        <w:rPr>
          <w:rFonts w:hint="eastAsia" w:ascii="宋体" w:hAnsi="宋体" w:eastAsia="宋体" w:cs="宋体"/>
          <w:sz w:val="24"/>
          <w:szCs w:val="24"/>
          <w:shd w:val="clear" w:color="auto" w:fill="FFFFFF"/>
        </w:rPr>
      </w:pPr>
      <w:r>
        <w:rPr>
          <w:rFonts w:hint="eastAsia" w:ascii="宋体" w:hAnsi="宋体" w:eastAsia="宋体" w:cs="宋体"/>
          <w:kern w:val="0"/>
          <w:sz w:val="24"/>
          <w:szCs w:val="24"/>
          <w:shd w:val="clear" w:color="auto" w:fill="FFFFFF"/>
        </w:rPr>
        <w:t>开标地点：</w:t>
      </w:r>
      <w:r>
        <w:rPr>
          <w:rFonts w:hint="eastAsia" w:ascii="宋体" w:hAnsi="宋体" w:eastAsia="宋体" w:cs="宋体"/>
          <w:sz w:val="24"/>
          <w:szCs w:val="24"/>
          <w:shd w:val="clear" w:color="auto" w:fill="FFFFFF"/>
          <w:lang w:val="en-US" w:eastAsia="zh-CN"/>
        </w:rPr>
        <w:t>陕西省西安市莲湖区二环南路西段202号九座花园东区2905开标室</w:t>
      </w:r>
    </w:p>
    <w:p>
      <w:pPr>
        <w:widowControl/>
        <w:wordWrap w:val="0"/>
        <w:adjustRightInd w:val="0"/>
        <w:snapToGrid w:val="0"/>
        <w:spacing w:beforeLines="0" w:afterLines="0" w:line="48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五、公告期限</w:t>
      </w:r>
    </w:p>
    <w:p>
      <w:pPr>
        <w:widowControl/>
        <w:wordWrap w:val="0"/>
        <w:spacing w:beforeLines="0" w:afterLines="0" w:line="480" w:lineRule="exact"/>
        <w:ind w:firstLine="480"/>
        <w:rPr>
          <w:rFonts w:hint="eastAsia" w:ascii="宋体" w:hAnsi="宋体" w:eastAsia="宋体" w:cs="宋体"/>
          <w:kern w:val="0"/>
          <w:sz w:val="24"/>
          <w:szCs w:val="24"/>
        </w:rPr>
      </w:pPr>
      <w:r>
        <w:rPr>
          <w:rFonts w:hint="eastAsia" w:ascii="宋体" w:hAnsi="宋体" w:eastAsia="宋体" w:cs="宋体"/>
          <w:kern w:val="0"/>
          <w:sz w:val="24"/>
          <w:szCs w:val="24"/>
          <w:shd w:val="clear" w:color="auto" w:fill="FFFFFF"/>
        </w:rPr>
        <w:t>自本公告发布之日起3个工作日。</w:t>
      </w:r>
    </w:p>
    <w:p>
      <w:pPr>
        <w:widowControl/>
        <w:numPr>
          <w:ilvl w:val="0"/>
          <w:numId w:val="5"/>
        </w:numPr>
        <w:wordWrap w:val="0"/>
        <w:adjustRightInd w:val="0"/>
        <w:snapToGrid w:val="0"/>
        <w:spacing w:beforeLines="0" w:afterLines="0" w:line="480" w:lineRule="exact"/>
        <w:jc w:val="left"/>
        <w:textAlignment w:val="baseline"/>
        <w:outlineLvl w:val="3"/>
        <w:rPr>
          <w:rFonts w:hint="eastAsia" w:ascii="宋体" w:hAnsi="宋体" w:eastAsia="宋体" w:cs="宋体"/>
          <w:b/>
          <w:kern w:val="0"/>
          <w:sz w:val="24"/>
          <w:szCs w:val="24"/>
          <w:shd w:val="clear" w:color="auto" w:fill="FFFFFF"/>
        </w:rPr>
      </w:pPr>
      <w:r>
        <w:rPr>
          <w:rFonts w:hint="eastAsia" w:ascii="宋体" w:hAnsi="宋体" w:eastAsia="宋体" w:cs="宋体"/>
          <w:b/>
          <w:kern w:val="0"/>
          <w:sz w:val="24"/>
          <w:szCs w:val="24"/>
          <w:shd w:val="clear" w:color="auto" w:fill="FFFFFF"/>
        </w:rPr>
        <w:t>其他补充事宜</w:t>
      </w:r>
    </w:p>
    <w:p>
      <w:pPr>
        <w:spacing w:beforeLines="0" w:afterLines="0"/>
        <w:rPr>
          <w:rFonts w:hint="eastAsia" w:ascii="宋体" w:hAnsi="宋体" w:eastAsia="宋体" w:cs="宋体"/>
          <w:sz w:val="21"/>
          <w:szCs w:val="24"/>
        </w:rPr>
      </w:pPr>
      <w:r>
        <w:rPr>
          <w:rFonts w:hint="eastAsia" w:ascii="宋体" w:hAnsi="宋体" w:eastAsia="宋体" w:cs="宋体"/>
          <w:sz w:val="21"/>
          <w:szCs w:val="24"/>
        </w:rPr>
        <w:t>/</w:t>
      </w:r>
    </w:p>
    <w:p>
      <w:pPr>
        <w:widowControl/>
        <w:wordWrap w:val="0"/>
        <w:adjustRightInd w:val="0"/>
        <w:snapToGrid w:val="0"/>
        <w:spacing w:beforeLines="0" w:afterLines="0" w:line="480" w:lineRule="exact"/>
        <w:jc w:val="left"/>
        <w:textAlignment w:val="baseline"/>
        <w:outlineLvl w:val="3"/>
        <w:rPr>
          <w:rFonts w:hint="eastAsia" w:ascii="宋体" w:hAnsi="宋体" w:eastAsia="宋体" w:cs="宋体"/>
          <w:kern w:val="0"/>
          <w:sz w:val="24"/>
          <w:szCs w:val="24"/>
        </w:rPr>
      </w:pPr>
      <w:r>
        <w:rPr>
          <w:rFonts w:hint="eastAsia" w:ascii="宋体" w:hAnsi="宋体" w:eastAsia="宋体" w:cs="宋体"/>
          <w:b/>
          <w:kern w:val="0"/>
          <w:sz w:val="24"/>
          <w:szCs w:val="24"/>
          <w:shd w:val="clear" w:color="auto" w:fill="FFFFFF"/>
        </w:rPr>
        <w:t>七、对本次招标提出询问，请按以下方式联系。</w:t>
      </w:r>
    </w:p>
    <w:p>
      <w:pPr>
        <w:widowControl/>
        <w:wordWrap w:val="0"/>
        <w:spacing w:beforeLines="0" w:afterLines="0" w:line="400" w:lineRule="exact"/>
        <w:jc w:val="left"/>
        <w:textAlignment w:val="baseline"/>
        <w:outlineLvl w:val="5"/>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1.采购人信息</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名称：西北大学第一医院</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地址：西安市新城区咸宁东路512号</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联系方式：029-82691990</w:t>
      </w:r>
    </w:p>
    <w:p>
      <w:pPr>
        <w:widowControl/>
        <w:wordWrap w:val="0"/>
        <w:spacing w:beforeLines="0" w:afterLines="0" w:line="400" w:lineRule="exact"/>
        <w:jc w:val="left"/>
        <w:textAlignment w:val="baseline"/>
        <w:outlineLvl w:val="5"/>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2.采购代理机构信息</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名称：中盛精诚工程项目管理有限公司</w:t>
      </w:r>
    </w:p>
    <w:p>
      <w:pPr>
        <w:widowControl/>
        <w:wordWrap w:val="0"/>
        <w:spacing w:beforeLines="0" w:afterLines="0" w:line="400" w:lineRule="exact"/>
        <w:ind w:firstLine="480"/>
        <w:textAlignment w:val="baseline"/>
        <w:rPr>
          <w:rFonts w:hint="eastAsia" w:ascii="宋体" w:hAnsi="宋体" w:eastAsia="宋体" w:cs="宋体"/>
          <w:sz w:val="24"/>
          <w:szCs w:val="24"/>
          <w:shd w:val="clear" w:color="auto" w:fill="FFFFFF"/>
        </w:rPr>
      </w:pPr>
      <w:r>
        <w:rPr>
          <w:rFonts w:hint="eastAsia" w:ascii="宋体" w:hAnsi="宋体" w:eastAsia="宋体" w:cs="宋体"/>
          <w:kern w:val="0"/>
          <w:sz w:val="24"/>
          <w:szCs w:val="24"/>
          <w:shd w:val="clear" w:color="auto" w:fill="FFFFFF"/>
        </w:rPr>
        <w:t>地址：</w:t>
      </w:r>
      <w:r>
        <w:rPr>
          <w:rFonts w:hint="eastAsia" w:ascii="宋体" w:hAnsi="宋体" w:eastAsia="宋体" w:cs="宋体"/>
          <w:sz w:val="24"/>
          <w:szCs w:val="24"/>
          <w:shd w:val="clear" w:color="auto" w:fill="FFFFFF"/>
        </w:rPr>
        <w:t>陕西省西安市凤城十二路伯马都A座北407</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联系方式：13992766877</w:t>
      </w:r>
    </w:p>
    <w:p>
      <w:pPr>
        <w:widowControl/>
        <w:wordWrap w:val="0"/>
        <w:spacing w:beforeLines="0" w:afterLines="0" w:line="400" w:lineRule="exact"/>
        <w:jc w:val="left"/>
        <w:textAlignment w:val="baseline"/>
        <w:outlineLvl w:val="5"/>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3.项目联系方式</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项目联系人：何庆先</w:t>
      </w:r>
    </w:p>
    <w:p>
      <w:pPr>
        <w:widowControl/>
        <w:wordWrap w:val="0"/>
        <w:spacing w:beforeLines="0" w:afterLines="0" w:line="400" w:lineRule="exact"/>
        <w:ind w:firstLine="480"/>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电      话：13992766877</w:t>
      </w:r>
    </w:p>
    <w:p>
      <w:pPr>
        <w:widowControl/>
        <w:wordWrap w:val="0"/>
        <w:spacing w:beforeLines="0" w:afterLines="0" w:line="400" w:lineRule="exact"/>
        <w:ind w:firstLine="480"/>
        <w:jc w:val="right"/>
        <w:textAlignment w:val="baseline"/>
        <w:rPr>
          <w:rFonts w:hint="eastAsia" w:ascii="宋体" w:hAnsi="宋体" w:eastAsia="宋体" w:cs="宋体"/>
          <w:kern w:val="0"/>
          <w:sz w:val="24"/>
          <w:szCs w:val="24"/>
          <w:shd w:val="clear" w:color="auto" w:fill="FFFFFF"/>
        </w:rPr>
      </w:pPr>
      <w:r>
        <w:rPr>
          <w:rFonts w:hint="eastAsia" w:ascii="宋体" w:hAnsi="宋体" w:eastAsia="宋体" w:cs="宋体"/>
          <w:kern w:val="0"/>
          <w:sz w:val="24"/>
          <w:szCs w:val="24"/>
          <w:shd w:val="clear" w:color="auto" w:fill="FFFFFF"/>
        </w:rPr>
        <w:t>中盛精诚工程项目管理有限公司</w:t>
      </w:r>
    </w:p>
    <w:p>
      <w:pPr>
        <w:spacing w:beforeLines="0" w:afterLines="0"/>
        <w:rPr>
          <w:rFonts w:hint="eastAsia" w:ascii="宋体" w:hAnsi="宋体" w:eastAsia="宋体" w:cs="宋体"/>
          <w:sz w:val="21"/>
          <w:szCs w:val="22"/>
        </w:rPr>
      </w:pPr>
    </w:p>
    <w:p>
      <w:pPr>
        <w:widowControl/>
        <w:snapToGrid w:val="0"/>
        <w:spacing w:line="500" w:lineRule="exact"/>
        <w:ind w:right="-197" w:rightChars="-94"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br w:type="page"/>
      </w:r>
    </w:p>
    <w:bookmarkEnd w:id="0"/>
    <w:bookmarkEnd w:id="1"/>
    <w:bookmarkEnd w:id="2"/>
    <w:bookmarkEnd w:id="3"/>
    <w:bookmarkEnd w:id="4"/>
    <w:bookmarkEnd w:id="5"/>
    <w:bookmarkEnd w:id="6"/>
    <w:bookmarkEnd w:id="7"/>
    <w:bookmarkEnd w:id="8"/>
    <w:bookmarkEnd w:id="9"/>
    <w:bookmarkEnd w:id="10"/>
    <w:bookmarkEnd w:id="11"/>
    <w:bookmarkEnd w:id="12"/>
    <w:bookmarkEnd w:id="13"/>
    <w:p>
      <w:pPr>
        <w:pStyle w:val="46"/>
        <w:keepNext w:val="0"/>
        <w:keepLines w:val="0"/>
        <w:pageBreakBefore w:val="0"/>
        <w:kinsoku/>
        <w:wordWrap/>
        <w:overflowPunct/>
        <w:topLinePunct w:val="0"/>
        <w:autoSpaceDE/>
        <w:autoSpaceDN/>
        <w:bidi w:val="0"/>
        <w:adjustRightInd/>
        <w:snapToGrid/>
        <w:spacing w:before="0" w:after="0" w:line="480" w:lineRule="exact"/>
        <w:textAlignment w:val="auto"/>
        <w:rPr>
          <w:rStyle w:val="63"/>
          <w:rFonts w:hint="eastAsia" w:ascii="宋体" w:hAnsi="宋体" w:eastAsia="宋体" w:cs="宋体"/>
          <w:color w:val="auto"/>
          <w:sz w:val="32"/>
          <w:szCs w:val="32"/>
          <w:highlight w:val="none"/>
        </w:rPr>
      </w:pPr>
      <w:bookmarkStart w:id="20" w:name="_Toc230099796"/>
      <w:bookmarkStart w:id="21" w:name="_Toc184043011"/>
      <w:bookmarkStart w:id="22" w:name="_Toc249515277"/>
      <w:bookmarkStart w:id="23" w:name="_Toc230013631"/>
      <w:bookmarkStart w:id="24" w:name="_Toc249515389"/>
      <w:bookmarkStart w:id="25" w:name="_Toc68590966"/>
      <w:bookmarkStart w:id="26" w:name="_Toc230583540"/>
      <w:bookmarkStart w:id="27" w:name="_Toc249525158"/>
      <w:bookmarkStart w:id="28" w:name="_Toc232176271"/>
      <w:bookmarkStart w:id="29" w:name="_Toc256342142"/>
      <w:bookmarkStart w:id="30" w:name="_Toc21126"/>
      <w:bookmarkStart w:id="31" w:name="_Toc58504446"/>
      <w:bookmarkStart w:id="32" w:name="_Toc415499895"/>
      <w:bookmarkStart w:id="33" w:name="_Toc232395211"/>
      <w:bookmarkStart w:id="34" w:name="_Toc177817334"/>
      <w:bookmarkStart w:id="35" w:name="_Toc500746965"/>
      <w:bookmarkStart w:id="36" w:name="_Toc503063421"/>
      <w:bookmarkStart w:id="37" w:name="_Toc500747188"/>
      <w:bookmarkStart w:id="38" w:name="_Toc256342143"/>
      <w:bookmarkStart w:id="39" w:name="_Toc177189235"/>
      <w:bookmarkStart w:id="40" w:name="_Toc249525159"/>
      <w:bookmarkStart w:id="41" w:name="_Toc496324578"/>
      <w:bookmarkStart w:id="42" w:name="_Toc230583541"/>
      <w:bookmarkStart w:id="43" w:name="_Toc184043012"/>
      <w:bookmarkStart w:id="44" w:name="_Toc499711042"/>
      <w:bookmarkStart w:id="45" w:name="_Toc177995473"/>
      <w:bookmarkStart w:id="46" w:name="_Toc230013632"/>
      <w:bookmarkStart w:id="47" w:name="_Toc249515278"/>
      <w:bookmarkStart w:id="48" w:name="_Toc492955414"/>
      <w:bookmarkStart w:id="49" w:name="_Toc70687139"/>
      <w:bookmarkStart w:id="50" w:name="_Toc176882542"/>
      <w:bookmarkStart w:id="51" w:name="_Toc53722840"/>
      <w:bookmarkStart w:id="52" w:name="_Toc232176272"/>
      <w:bookmarkStart w:id="53" w:name="_Toc500747061"/>
      <w:bookmarkStart w:id="54" w:name="_Toc230099797"/>
      <w:bookmarkStart w:id="55" w:name="_Toc499711883"/>
      <w:bookmarkStart w:id="56" w:name="_Toc232395212"/>
      <w:bookmarkStart w:id="57" w:name="_Toc249515390"/>
      <w:r>
        <w:rPr>
          <w:rStyle w:val="63"/>
          <w:rFonts w:hint="eastAsia" w:ascii="宋体" w:hAnsi="宋体" w:eastAsia="宋体" w:cs="宋体"/>
          <w:color w:val="auto"/>
          <w:sz w:val="32"/>
          <w:szCs w:val="32"/>
          <w:highlight w:val="none"/>
        </w:rPr>
        <w:t>第二章  供应商须知</w:t>
      </w:r>
      <w:bookmarkEnd w:id="20"/>
      <w:bookmarkEnd w:id="21"/>
      <w:bookmarkEnd w:id="22"/>
      <w:bookmarkEnd w:id="23"/>
      <w:bookmarkEnd w:id="24"/>
      <w:bookmarkEnd w:id="25"/>
      <w:bookmarkEnd w:id="26"/>
      <w:bookmarkEnd w:id="27"/>
      <w:bookmarkEnd w:id="28"/>
      <w:bookmarkEnd w:id="29"/>
      <w:bookmarkEnd w:id="30"/>
      <w:bookmarkEnd w:id="31"/>
      <w:bookmarkEnd w:id="32"/>
      <w:bookmarkEnd w:id="33"/>
    </w:p>
    <w:p>
      <w:pPr>
        <w:pStyle w:val="78"/>
        <w:keepNext w:val="0"/>
        <w:keepLines w:val="0"/>
        <w:pageBreakBefore w:val="0"/>
        <w:kinsoku/>
        <w:wordWrap/>
        <w:overflowPunct/>
        <w:topLinePunct w:val="0"/>
        <w:autoSpaceDE/>
        <w:autoSpaceDN/>
        <w:bidi w:val="0"/>
        <w:adjustRightInd/>
        <w:snapToGrid/>
        <w:spacing w:before="0" w:beforeLines="0" w:after="0" w:afterLines="0" w:line="480" w:lineRule="exact"/>
        <w:jc w:val="center"/>
        <w:textAlignment w:val="auto"/>
        <w:rPr>
          <w:rFonts w:hint="eastAsia" w:ascii="宋体" w:hAnsi="宋体" w:eastAsia="宋体" w:cs="宋体"/>
          <w:color w:val="auto"/>
          <w:sz w:val="24"/>
          <w:szCs w:val="24"/>
          <w:highlight w:val="none"/>
        </w:rPr>
      </w:pPr>
      <w:bookmarkStart w:id="58" w:name="_Toc68590967"/>
      <w:r>
        <w:rPr>
          <w:rFonts w:hint="eastAsia" w:ascii="宋体" w:hAnsi="宋体" w:eastAsia="宋体" w:cs="宋体"/>
          <w:color w:val="auto"/>
          <w:sz w:val="24"/>
          <w:szCs w:val="24"/>
          <w:highlight w:val="none"/>
        </w:rPr>
        <w:t>（一）供应商须知前附表</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本表是对供应商须知的具体补充和修改，如有矛盾，均以本表为准。</w:t>
      </w:r>
    </w:p>
    <w:p>
      <w:pPr>
        <w:ind w:left="720" w:hanging="720" w:hangingChars="343"/>
        <w:rPr>
          <w:rFonts w:hint="eastAsia" w:ascii="宋体" w:hAnsi="宋体" w:eastAsia="宋体" w:cs="宋体"/>
          <w:b/>
          <w:color w:val="auto"/>
          <w:sz w:val="20"/>
          <w:szCs w:val="20"/>
          <w:highlight w:val="none"/>
        </w:rPr>
      </w:pPr>
      <w:r>
        <w:rPr>
          <w:rFonts w:hint="eastAsia" w:ascii="宋体" w:hAnsi="宋体" w:eastAsia="宋体" w:cs="宋体"/>
          <w:color w:val="auto"/>
          <w:szCs w:val="21"/>
          <w:highlight w:val="none"/>
        </w:rPr>
        <w:t xml:space="preserve">   </w:t>
      </w:r>
    </w:p>
    <w:bookmarkEnd w:id="14"/>
    <w:tbl>
      <w:tblPr>
        <w:tblStyle w:val="50"/>
        <w:tblW w:w="95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blHeader/>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b/>
                <w:color w:val="auto"/>
                <w:sz w:val="24"/>
                <w:szCs w:val="24"/>
                <w:highlight w:val="none"/>
              </w:rPr>
            </w:pPr>
            <w:bookmarkStart w:id="59" w:name="_Hlt14560610"/>
            <w:bookmarkEnd w:id="59"/>
            <w:bookmarkStart w:id="60" w:name="_Toc496324580"/>
            <w:bookmarkStart w:id="61" w:name="_Toc500747190"/>
            <w:bookmarkStart w:id="62" w:name="_Toc499711044"/>
            <w:bookmarkStart w:id="63" w:name="_Toc500747063"/>
            <w:bookmarkStart w:id="64" w:name="_Toc503063423"/>
            <w:bookmarkStart w:id="65" w:name="_Toc499711885"/>
            <w:bookmarkStart w:id="66" w:name="_Toc492955416"/>
            <w:bookmarkStart w:id="67" w:name="_Toc500746967"/>
            <w:bookmarkStart w:id="68" w:name="_Toc389620165"/>
            <w:bookmarkStart w:id="69" w:name="_Toc385992326"/>
            <w:r>
              <w:rPr>
                <w:rFonts w:hint="eastAsia" w:ascii="宋体" w:hAnsi="宋体" w:eastAsia="宋体" w:cs="宋体"/>
                <w:b/>
                <w:color w:val="auto"/>
                <w:sz w:val="24"/>
                <w:szCs w:val="24"/>
                <w:highlight w:val="none"/>
              </w:rPr>
              <w:t>条款号</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r>
              <w:rPr>
                <w:rFonts w:hint="eastAsia" w:ascii="宋体" w:hAnsi="宋体" w:eastAsia="宋体" w:cs="宋体"/>
                <w:color w:val="auto"/>
                <w:sz w:val="24"/>
                <w:szCs w:val="24"/>
                <w:highlight w:val="none"/>
                <w:lang w:eastAsia="zh-CN"/>
              </w:rPr>
              <w:t>西北大学第一医院DRG信息管理系统建设项目采购项目</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i w:val="0"/>
                <w:iCs w:val="0"/>
                <w:caps w:val="0"/>
                <w:color w:val="auto"/>
                <w:spacing w:val="0"/>
                <w:sz w:val="24"/>
                <w:szCs w:val="24"/>
                <w:shd w:val="clear" w:fill="FFFFFF"/>
                <w:lang w:eastAsia="zh-CN"/>
              </w:rPr>
              <w:t>ZSJC-XA-[2023]-1207-CG</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资金来源：财政资金</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预算金额：</w:t>
            </w:r>
            <w:r>
              <w:rPr>
                <w:rFonts w:hint="eastAsia" w:ascii="宋体" w:hAnsi="宋体" w:eastAsia="宋体" w:cs="宋体"/>
                <w:color w:val="auto"/>
                <w:sz w:val="24"/>
                <w:szCs w:val="24"/>
                <w:highlight w:val="none"/>
                <w:lang w:val="en-US" w:eastAsia="zh-CN"/>
              </w:rPr>
              <w:t>1500000.00</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采购方式：竞争性磋商</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采购内容：详见本磋商文件第五章</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项目所属行业：</w:t>
            </w:r>
            <w:r>
              <w:rPr>
                <w:rFonts w:hint="eastAsia" w:ascii="宋体" w:hAnsi="宋体" w:eastAsia="宋体" w:cs="宋体"/>
                <w:color w:val="auto"/>
                <w:sz w:val="24"/>
                <w:szCs w:val="24"/>
                <w:highlight w:val="none"/>
                <w:lang w:val="en-US" w:eastAsia="zh-CN"/>
              </w:rPr>
              <w:t>软件开发服务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5"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采购人：</w:t>
            </w:r>
            <w:r>
              <w:rPr>
                <w:rFonts w:hint="eastAsia" w:ascii="宋体" w:hAnsi="宋体" w:eastAsia="宋体" w:cs="宋体"/>
                <w:color w:val="auto"/>
                <w:kern w:val="0"/>
                <w:sz w:val="24"/>
                <w:highlight w:val="none"/>
                <w:lang w:eastAsia="zh-CN"/>
              </w:rPr>
              <w:t>西北大学第一医院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采购代理机构：中盛精诚工程项目管理有限公司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邀请供应商的方式：</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■（1）发布磋商公告</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□（2）采购人和评审专家分别书面推荐的方式邀请不少于3 家</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符合相应资格条件的供应商</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□（3）随机从省级财政部门建立的供应商库中抽取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8472" w:type="dxa"/>
            <w:vAlign w:val="center"/>
          </w:tcPr>
          <w:p>
            <w:pPr>
              <w:pStyle w:val="13"/>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highlight w:val="none"/>
              </w:rPr>
            </w:pPr>
            <w:r>
              <w:rPr>
                <w:rFonts w:hint="eastAsia" w:ascii="宋体" w:hAnsi="宋体" w:eastAsia="宋体" w:cs="宋体"/>
                <w:color w:val="auto"/>
                <w:kern w:val="2"/>
                <w:highlight w:val="none"/>
              </w:rPr>
              <w:t>对供应商的资格要求：见磋商公告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8472" w:type="dxa"/>
            <w:vAlign w:val="center"/>
          </w:tcPr>
          <w:p>
            <w:pPr>
              <w:pStyle w:val="13"/>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kern w:val="2"/>
                <w:highlight w:val="none"/>
              </w:rPr>
            </w:pPr>
            <w:r>
              <w:rPr>
                <w:rFonts w:hint="eastAsia" w:ascii="宋体" w:hAnsi="宋体" w:eastAsia="宋体" w:cs="宋体"/>
                <w:color w:val="auto"/>
                <w:kern w:val="2"/>
                <w:highlight w:val="none"/>
              </w:rPr>
              <w:t>是否允许采购进口产品：</w:t>
            </w:r>
            <w:r>
              <w:rPr>
                <w:rFonts w:hint="eastAsia" w:ascii="宋体" w:hAnsi="宋体" w:eastAsia="宋体" w:cs="宋体"/>
                <w:color w:val="auto"/>
                <w:kern w:val="2"/>
                <w:highlight w:val="none"/>
                <w:u w:val="singl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8472" w:type="dxa"/>
            <w:vAlign w:val="center"/>
          </w:tcPr>
          <w:p>
            <w:pPr>
              <w:pStyle w:val="13"/>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kern w:val="2"/>
                <w:highlight w:val="none"/>
              </w:rPr>
            </w:pPr>
            <w:r>
              <w:rPr>
                <w:rFonts w:hint="eastAsia" w:ascii="宋体" w:hAnsi="宋体" w:eastAsia="宋体" w:cs="宋体"/>
                <w:color w:val="auto"/>
                <w:kern w:val="2"/>
                <w:highlight w:val="none"/>
              </w:rPr>
              <w:t>是否允许联合体磋商：</w:t>
            </w:r>
            <w:r>
              <w:rPr>
                <w:rFonts w:hint="eastAsia" w:ascii="宋体" w:hAnsi="宋体" w:eastAsia="宋体" w:cs="宋体"/>
                <w:color w:val="auto"/>
                <w:kern w:val="2"/>
                <w:highlight w:val="none"/>
                <w:lang w:val="en-US" w:eastAsia="zh-CN"/>
              </w:rPr>
              <w:t xml:space="preserve">  </w:t>
            </w:r>
            <w:r>
              <w:rPr>
                <w:rFonts w:hint="eastAsia" w:ascii="宋体" w:hAnsi="宋体" w:eastAsia="宋体" w:cs="宋体"/>
                <w:color w:val="auto"/>
                <w:kern w:val="2"/>
                <w:highlight w:val="none"/>
                <w:u w:val="singl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0000FF"/>
                <w:sz w:val="24"/>
                <w:szCs w:val="24"/>
                <w:highlight w:val="none"/>
              </w:rPr>
            </w:pPr>
            <w:r>
              <w:rPr>
                <w:rFonts w:hint="eastAsia" w:ascii="宋体" w:hAnsi="宋体" w:eastAsia="宋体" w:cs="宋体"/>
                <w:color w:val="0000FF"/>
                <w:sz w:val="24"/>
                <w:szCs w:val="24"/>
                <w:highlight w:val="none"/>
              </w:rPr>
              <w:t>3.7</w:t>
            </w:r>
          </w:p>
        </w:tc>
        <w:tc>
          <w:tcPr>
            <w:tcW w:w="8472" w:type="dxa"/>
            <w:vAlign w:val="center"/>
          </w:tcPr>
          <w:p>
            <w:pPr>
              <w:pStyle w:val="13"/>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0000FF"/>
                <w:kern w:val="2"/>
                <w:highlight w:val="none"/>
              </w:rPr>
            </w:pPr>
            <w:r>
              <w:rPr>
                <w:rFonts w:hint="eastAsia" w:ascii="宋体" w:hAnsi="宋体" w:eastAsia="宋体" w:cs="宋体"/>
                <w:color w:val="0000FF"/>
                <w:highlight w:val="none"/>
              </w:rPr>
              <w:t>是否为专门面向中小企业采购：</w:t>
            </w:r>
            <w:r>
              <w:rPr>
                <w:rFonts w:hint="eastAsia" w:ascii="宋体" w:hAnsi="宋体" w:eastAsia="宋体" w:cs="宋体"/>
                <w:color w:val="0000FF"/>
                <w:highlight w:val="none"/>
                <w:u w:val="single"/>
              </w:rPr>
              <w:t xml:space="preserve"> </w:t>
            </w:r>
            <w:r>
              <w:rPr>
                <w:rFonts w:hint="eastAsia" w:ascii="宋体" w:hAnsi="宋体" w:eastAsia="宋体" w:cs="宋体"/>
                <w:color w:val="0000FF"/>
                <w:highlight w:val="none"/>
                <w:u w:val="single"/>
                <w:lang w:val="en-US" w:eastAsia="zh-CN"/>
              </w:rPr>
              <w:t xml:space="preserve">否 </w:t>
            </w:r>
            <w:r>
              <w:rPr>
                <w:rFonts w:hint="eastAsia" w:ascii="宋体" w:hAnsi="宋体" w:eastAsia="宋体" w:cs="宋体"/>
                <w:color w:val="0000FF"/>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w:t>
            </w:r>
          </w:p>
        </w:tc>
        <w:tc>
          <w:tcPr>
            <w:tcW w:w="8472" w:type="dxa"/>
            <w:vAlign w:val="center"/>
          </w:tcPr>
          <w:p>
            <w:pPr>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成交响应报价为完成本项目并达到磋商文件要求所需要的全部费用，包括：服务响应报价为提供磋商文件要求服务的所有费用，包括但不限于提供项目实施费、自行测试费、培训费、人工费、材料费、管理费、供应商应缴纳的所有税费、规费、保险费（如果有）、安装费、集成费</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运行维护费</w:t>
            </w:r>
            <w:r>
              <w:rPr>
                <w:rFonts w:hint="eastAsia" w:ascii="宋体" w:hAnsi="宋体" w:eastAsia="宋体" w:cs="宋体"/>
                <w:color w:val="auto"/>
                <w:sz w:val="24"/>
                <w:highlight w:val="none"/>
              </w:rPr>
              <w:t>等全部费用。</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（1）报价货币：人民币；</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（2）严格按照分项报价表进行分项报价。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7"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p>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b/>
                <w:bCs/>
                <w:color w:val="auto"/>
                <w:sz w:val="24"/>
                <w:szCs w:val="24"/>
                <w:highlight w:val="none"/>
              </w:rPr>
              <w:t>本项目须提供磋商保证金人民币¥</w:t>
            </w:r>
            <w:r>
              <w:rPr>
                <w:rFonts w:hint="eastAsia" w:ascii="宋体" w:hAnsi="宋体" w:eastAsia="宋体" w:cs="宋体"/>
                <w:b/>
                <w:bCs/>
                <w:color w:val="auto"/>
                <w:sz w:val="24"/>
                <w:szCs w:val="24"/>
                <w:highlight w:val="none"/>
                <w:lang w:val="en-US" w:eastAsia="zh-CN"/>
              </w:rPr>
              <w:t>30</w:t>
            </w:r>
            <w:r>
              <w:rPr>
                <w:rFonts w:hint="eastAsia" w:ascii="宋体" w:hAnsi="宋体" w:eastAsia="宋体" w:cs="宋体"/>
                <w:b/>
                <w:bCs/>
                <w:color w:val="auto"/>
                <w:sz w:val="24"/>
                <w:szCs w:val="24"/>
                <w:highlight w:val="none"/>
              </w:rPr>
              <w:t>000.00元。（如分包，按包号缴纳保证金）</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保证金可自主选择采用电汇、银行转账、支票、汇票、本票、金融机构</w:t>
            </w:r>
            <w:r>
              <w:rPr>
                <w:rFonts w:hint="eastAsia" w:ascii="宋体" w:hAnsi="宋体" w:eastAsia="宋体" w:cs="宋体"/>
                <w:color w:val="auto"/>
                <w:kern w:val="2"/>
                <w:sz w:val="24"/>
                <w:szCs w:val="24"/>
                <w:highlight w:val="none"/>
                <w:lang w:val="en-US" w:eastAsia="zh-CN" w:bidi="ar-SA"/>
              </w:rPr>
              <w:t>或担保机构出具的保函等非现金形式。</w:t>
            </w:r>
          </w:p>
          <w:p>
            <w:pPr>
              <w:pStyle w:val="44"/>
              <w:wordWrap w:val="0"/>
              <w:spacing w:before="0" w:beforeAutospacing="0" w:after="0" w:afterAutospacing="0" w:line="360" w:lineRule="exact"/>
              <w:jc w:val="both"/>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2、开户单位：中盛精诚工程项目管理有限公司西安第一分公司</w:t>
            </w:r>
          </w:p>
          <w:p>
            <w:pPr>
              <w:pStyle w:val="44"/>
              <w:wordWrap w:val="0"/>
              <w:spacing w:before="0" w:beforeAutospacing="0" w:after="0" w:afterAutospacing="0" w:line="360" w:lineRule="exact"/>
              <w:jc w:val="both"/>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3、开户银行：中国建设银行股份有限公司西安经济技术开发区支行</w:t>
            </w:r>
          </w:p>
          <w:p>
            <w:pPr>
              <w:pStyle w:val="44"/>
              <w:wordWrap w:val="0"/>
              <w:spacing w:before="0" w:beforeAutospacing="0" w:after="0" w:afterAutospacing="0" w:line="360" w:lineRule="exact"/>
              <w:jc w:val="both"/>
              <w:textAlignment w:val="baseline"/>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4、账     号：61050193004100002174</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备注：</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1、在汇款时务必注明所响应项目的项目编号，否则，因款项用途不明导致磋商无效等后果由供应商自行承担；</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2、请各供应商在响应文件递交截止时间前，按文件的要求向招标代理机构递交磋商保证金；</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highlight w:val="none"/>
              </w:rPr>
            </w:pPr>
            <w:r>
              <w:rPr>
                <w:rFonts w:hint="eastAsia" w:ascii="宋体" w:hAnsi="宋体" w:eastAsia="宋体" w:cs="宋体"/>
                <w:b/>
                <w:bCs/>
                <w:color w:val="auto"/>
                <w:highlight w:val="none"/>
              </w:rPr>
              <w:t>3、磋商保证金有效期同磋商有效期。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磋商有效期：自响应文件递交之日起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90</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1、本项目为“全流程电子化”采购模式。供应商须使用数字认证证书对电子化</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进行签章、加密、上传及开标时解密（加密和解密须用同一个数字证书）等相关招</w:t>
            </w:r>
            <w:r>
              <w:rPr>
                <w:rFonts w:hint="eastAsia" w:ascii="宋体" w:hAnsi="宋体" w:eastAsia="宋体" w:cs="宋体"/>
                <w:i w:val="0"/>
                <w:iCs w:val="0"/>
                <w:color w:val="auto"/>
                <w:sz w:val="24"/>
                <w:szCs w:val="24"/>
                <w:highlight w:val="none"/>
                <w:lang w:eastAsia="zh-CN"/>
              </w:rPr>
              <w:t>投标</w:t>
            </w:r>
            <w:r>
              <w:rPr>
                <w:rFonts w:hint="eastAsia" w:ascii="宋体" w:hAnsi="宋体" w:eastAsia="宋体" w:cs="宋体"/>
                <w:i w:val="0"/>
                <w:iCs w:val="0"/>
                <w:color w:val="auto"/>
                <w:sz w:val="24"/>
                <w:szCs w:val="24"/>
                <w:highlight w:val="none"/>
              </w:rPr>
              <w:t>事宜。</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2、制作电子化</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。应当使用纳入陕西省政府采购综合管理平台数字证书互认范围的数字证书及签章（以下简称“互认的证书及签章”）进行系统操作。</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（http://ggzy.baoji.gov.cn/）”的“服务指南”栏目“下载专区”中，免费下载“政府采购电子标书制作工具”，使用该客户端制作扩展名为“.SXSTF”的电子化</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，并进行加密上传。上传成功后，电子化平台将予以记录。</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3、制作纸质版</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。供应商须将使用“政府采购电子标书制作工具”编制的电子化</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进行打印、胶装。纸质版</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需一正二副，并按</w:t>
            </w:r>
            <w:r>
              <w:rPr>
                <w:rFonts w:hint="eastAsia" w:ascii="宋体" w:hAnsi="宋体" w:eastAsia="宋体" w:cs="宋体"/>
                <w:i w:val="0"/>
                <w:iCs w:val="0"/>
                <w:color w:val="auto"/>
                <w:sz w:val="24"/>
                <w:szCs w:val="24"/>
                <w:highlight w:val="none"/>
                <w:lang w:eastAsia="zh-CN"/>
              </w:rPr>
              <w:t>招标文件</w:t>
            </w:r>
            <w:r>
              <w:rPr>
                <w:rFonts w:hint="eastAsia" w:ascii="宋体" w:hAnsi="宋体" w:eastAsia="宋体" w:cs="宋体"/>
                <w:i w:val="0"/>
                <w:iCs w:val="0"/>
                <w:color w:val="auto"/>
                <w:sz w:val="24"/>
                <w:szCs w:val="24"/>
                <w:highlight w:val="none"/>
              </w:rPr>
              <w:t>要求密封，于</w:t>
            </w:r>
            <w:r>
              <w:rPr>
                <w:rFonts w:hint="eastAsia" w:ascii="宋体" w:hAnsi="宋体" w:eastAsia="宋体" w:cs="宋体"/>
                <w:i w:val="0"/>
                <w:iCs w:val="0"/>
                <w:color w:val="auto"/>
                <w:sz w:val="24"/>
                <w:szCs w:val="24"/>
                <w:highlight w:val="none"/>
                <w:lang w:eastAsia="zh-CN"/>
              </w:rPr>
              <w:t>投标</w:t>
            </w:r>
            <w:r>
              <w:rPr>
                <w:rFonts w:hint="eastAsia" w:ascii="宋体" w:hAnsi="宋体" w:eastAsia="宋体" w:cs="宋体"/>
                <w:i w:val="0"/>
                <w:iCs w:val="0"/>
                <w:color w:val="auto"/>
                <w:sz w:val="24"/>
                <w:szCs w:val="24"/>
                <w:highlight w:val="none"/>
              </w:rPr>
              <w:t>截止时间前将纸质</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lang w:val="en-US" w:eastAsia="zh-CN"/>
              </w:rPr>
              <w:t>邮寄</w:t>
            </w:r>
            <w:r>
              <w:rPr>
                <w:rFonts w:hint="eastAsia" w:ascii="宋体" w:hAnsi="宋体" w:eastAsia="宋体" w:cs="宋体"/>
                <w:i w:val="0"/>
                <w:iCs w:val="0"/>
                <w:color w:val="auto"/>
                <w:sz w:val="24"/>
                <w:szCs w:val="24"/>
                <w:highlight w:val="none"/>
              </w:rPr>
              <w:t>至</w:t>
            </w:r>
            <w:r>
              <w:rPr>
                <w:rFonts w:hint="eastAsia" w:ascii="宋体" w:hAnsi="宋体" w:eastAsia="宋体" w:cs="宋体"/>
                <w:i w:val="0"/>
                <w:iCs w:val="0"/>
                <w:color w:val="auto"/>
                <w:sz w:val="24"/>
                <w:szCs w:val="24"/>
                <w:highlight w:val="none"/>
                <w:lang w:val="en-US" w:eastAsia="zh-CN"/>
              </w:rPr>
              <w:t>代理机构</w:t>
            </w:r>
            <w:r>
              <w:rPr>
                <w:rFonts w:hint="eastAsia" w:ascii="宋体" w:hAnsi="宋体" w:eastAsia="宋体" w:cs="宋体"/>
                <w:i w:val="0"/>
                <w:iCs w:val="0"/>
                <w:color w:val="auto"/>
                <w:sz w:val="24"/>
                <w:szCs w:val="24"/>
                <w:highlight w:val="none"/>
              </w:rPr>
              <w:t>，交给采购代理及机构工作人员；如未按时提交纸质</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，按无效</w:t>
            </w:r>
            <w:r>
              <w:rPr>
                <w:rFonts w:hint="eastAsia" w:ascii="宋体" w:hAnsi="宋体" w:eastAsia="宋体" w:cs="宋体"/>
                <w:i w:val="0"/>
                <w:iCs w:val="0"/>
                <w:color w:val="auto"/>
                <w:sz w:val="24"/>
                <w:szCs w:val="24"/>
                <w:highlight w:val="none"/>
                <w:lang w:eastAsia="zh-CN"/>
              </w:rPr>
              <w:t>投标</w:t>
            </w:r>
            <w:r>
              <w:rPr>
                <w:rFonts w:hint="eastAsia" w:ascii="宋体" w:hAnsi="宋体" w:eastAsia="宋体" w:cs="宋体"/>
                <w:i w:val="0"/>
                <w:iCs w:val="0"/>
                <w:color w:val="auto"/>
                <w:sz w:val="24"/>
                <w:szCs w:val="24"/>
                <w:highlight w:val="none"/>
              </w:rPr>
              <w:t>处理。</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i w:val="0"/>
                <w:iCs w:val="0"/>
                <w:color w:val="auto"/>
                <w:sz w:val="24"/>
                <w:szCs w:val="24"/>
                <w:highlight w:val="none"/>
              </w:rPr>
            </w:pPr>
            <w:r>
              <w:rPr>
                <w:rFonts w:hint="eastAsia" w:ascii="宋体" w:hAnsi="宋体" w:eastAsia="宋体" w:cs="宋体"/>
                <w:i w:val="0"/>
                <w:iCs w:val="0"/>
                <w:color w:val="auto"/>
                <w:sz w:val="24"/>
                <w:szCs w:val="24"/>
                <w:highlight w:val="none"/>
              </w:rPr>
              <w:t>4、电子版（U盘2份）中须拷入：</w:t>
            </w:r>
            <w:r>
              <w:rPr>
                <w:rFonts w:hint="eastAsia" w:ascii="宋体" w:hAnsi="宋体" w:eastAsia="宋体" w:cs="宋体"/>
                <w:i w:val="0"/>
                <w:iCs w:val="0"/>
                <w:color w:val="auto"/>
                <w:sz w:val="24"/>
                <w:szCs w:val="24"/>
                <w:highlight w:val="none"/>
                <w:lang w:val="en-US" w:eastAsia="zh-CN"/>
              </w:rPr>
              <w:t>word版本及pdf盖章签字版本</w:t>
            </w:r>
            <w:r>
              <w:rPr>
                <w:rFonts w:hint="eastAsia" w:ascii="宋体" w:hAnsi="宋体" w:eastAsia="宋体" w:cs="宋体"/>
                <w:i w:val="0"/>
                <w:iCs w:val="0"/>
                <w:color w:val="auto"/>
                <w:sz w:val="24"/>
                <w:szCs w:val="24"/>
                <w:highlight w:val="none"/>
              </w:rPr>
              <w:t>扩展名为“.SXSTF”的非加密电子化</w:t>
            </w:r>
            <w:r>
              <w:rPr>
                <w:rFonts w:hint="eastAsia" w:ascii="宋体" w:hAnsi="宋体" w:eastAsia="宋体" w:cs="宋体"/>
                <w:i w:val="0"/>
                <w:iCs w:val="0"/>
                <w:color w:val="auto"/>
                <w:sz w:val="24"/>
                <w:szCs w:val="24"/>
                <w:highlight w:val="none"/>
                <w:lang w:eastAsia="zh-CN"/>
              </w:rPr>
              <w:t>投标文件</w:t>
            </w:r>
            <w:r>
              <w:rPr>
                <w:rFonts w:hint="eastAsia" w:ascii="宋体" w:hAnsi="宋体" w:eastAsia="宋体" w:cs="宋体"/>
                <w:i w:val="0"/>
                <w:iCs w:val="0"/>
                <w:color w:val="auto"/>
                <w:sz w:val="24"/>
                <w:szCs w:val="24"/>
                <w:highlight w:val="none"/>
              </w:rPr>
              <w:t>2份。</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i w:val="0"/>
                <w:iCs w:val="0"/>
                <w:color w:val="auto"/>
                <w:sz w:val="24"/>
                <w:szCs w:val="24"/>
                <w:highlight w:val="none"/>
                <w:lang w:val="en-US" w:eastAsia="zh-CN"/>
              </w:rPr>
              <w:t>5、邮寄地址：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密封袋（箱）上须标注：</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（l）采购项目编号：</w:t>
            </w:r>
          </w:p>
          <w:p>
            <w:pPr>
              <w:pStyle w:val="28"/>
              <w:keepNext w:val="0"/>
              <w:keepLines w:val="0"/>
              <w:pageBreakBefore w:val="0"/>
              <w:kinsoku/>
              <w:wordWrap/>
              <w:overflowPunct/>
              <w:topLinePunct w:val="0"/>
              <w:bidi w:val="0"/>
              <w:adjustRightInd w:val="0"/>
              <w:snapToGrid w:val="0"/>
              <w:spacing w:line="280" w:lineRule="exact"/>
              <w:ind w:right="0" w:right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（2）项目名称：</w:t>
            </w:r>
          </w:p>
          <w:p>
            <w:pPr>
              <w:pStyle w:val="28"/>
              <w:keepNext w:val="0"/>
              <w:keepLines w:val="0"/>
              <w:pageBreakBefore w:val="0"/>
              <w:kinsoku/>
              <w:wordWrap/>
              <w:overflowPunct/>
              <w:topLinePunct w:val="0"/>
              <w:bidi w:val="0"/>
              <w:adjustRightInd w:val="0"/>
              <w:snapToGrid w:val="0"/>
              <w:spacing w:line="280" w:lineRule="exact"/>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（3）供应商的名称、地址、联系人、电话和传真。</w:t>
            </w:r>
          </w:p>
          <w:p>
            <w:pPr>
              <w:pStyle w:val="28"/>
              <w:keepNext w:val="0"/>
              <w:keepLines w:val="0"/>
              <w:pageBreakBefore w:val="0"/>
              <w:kinsoku/>
              <w:wordWrap/>
              <w:overflowPunct/>
              <w:topLinePunct w:val="0"/>
              <w:bidi w:val="0"/>
              <w:adjustRightInd w:val="0"/>
              <w:snapToGrid w:val="0"/>
              <w:spacing w:line="280" w:lineRule="exact"/>
              <w:ind w:right="0" w:righ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  ******（北京时间）之前不得启封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w:t>
            </w:r>
          </w:p>
        </w:tc>
        <w:tc>
          <w:tcPr>
            <w:tcW w:w="8472"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firstLine="120" w:firstLine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本项目不要求提交样品。</w:t>
            </w:r>
          </w:p>
          <w:p>
            <w:pPr>
              <w:pStyle w:val="28"/>
              <w:keepNext w:val="0"/>
              <w:keepLines w:val="0"/>
              <w:pageBreakBefore w:val="0"/>
              <w:kinsoku/>
              <w:wordWrap/>
              <w:overflowPunct/>
              <w:topLinePunct w:val="0"/>
              <w:bidi w:val="0"/>
              <w:adjustRightInd w:val="0"/>
              <w:snapToGrid w:val="0"/>
              <w:spacing w:line="280" w:lineRule="exact"/>
              <w:ind w:right="0" w:rightChars="0" w:firstLine="120" w:firstLineChars="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□本项目要求提交样品。样品为响应文件的一部分，随响应文件同时递交。</w:t>
            </w:r>
          </w:p>
          <w:p>
            <w:pPr>
              <w:pStyle w:val="28"/>
              <w:keepNext w:val="0"/>
              <w:keepLines w:val="0"/>
              <w:pageBreakBefore w:val="0"/>
              <w:kinsoku/>
              <w:wordWrap/>
              <w:overflowPunct/>
              <w:topLinePunct w:val="0"/>
              <w:bidi w:val="0"/>
              <w:adjustRightInd w:val="0"/>
              <w:snapToGrid w:val="0"/>
              <w:spacing w:line="280" w:lineRule="exact"/>
              <w:ind w:right="0" w:rightChars="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（1）样品需标明：项目名称、供应商名称、样品名称等内容。</w:t>
            </w:r>
          </w:p>
          <w:p>
            <w:pPr>
              <w:pStyle w:val="28"/>
              <w:keepNext w:val="0"/>
              <w:keepLines w:val="0"/>
              <w:pageBreakBefore w:val="0"/>
              <w:kinsoku/>
              <w:wordWrap/>
              <w:overflowPunct/>
              <w:topLinePunct w:val="0"/>
              <w:bidi w:val="0"/>
              <w:adjustRightInd w:val="0"/>
              <w:snapToGrid w:val="0"/>
              <w:spacing w:line="280" w:lineRule="exact"/>
              <w:ind w:right="0" w:rightChars="0"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w:t>
            </w:r>
          </w:p>
        </w:tc>
        <w:tc>
          <w:tcPr>
            <w:tcW w:w="8472" w:type="dxa"/>
            <w:vAlign w:val="center"/>
          </w:tcPr>
          <w:p>
            <w:pPr>
              <w:keepNext w:val="0"/>
              <w:keepLines w:val="0"/>
              <w:pageBreakBefore w:val="0"/>
              <w:tabs>
                <w:tab w:val="left" w:pos="588"/>
              </w:tabs>
              <w:kinsoku/>
              <w:wordWrap/>
              <w:overflowPunct/>
              <w:topLinePunct w:val="0"/>
              <w:bidi w:val="0"/>
              <w:spacing w:line="280" w:lineRule="exact"/>
              <w:ind w:right="0" w:rightChars="0"/>
              <w:textAlignment w:val="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响应文件递交截止时间：202</w:t>
            </w:r>
            <w:r>
              <w:rPr>
                <w:rFonts w:hint="eastAsia" w:ascii="宋体" w:hAnsi="宋体" w:eastAsia="宋体" w:cs="宋体"/>
                <w:color w:val="auto"/>
                <w:kern w:val="24"/>
                <w:sz w:val="24"/>
                <w:szCs w:val="21"/>
                <w:highlight w:val="none"/>
                <w:lang w:val="en-US" w:eastAsia="zh-CN"/>
              </w:rPr>
              <w:t>4</w:t>
            </w:r>
            <w:r>
              <w:rPr>
                <w:rFonts w:hint="eastAsia" w:ascii="宋体" w:hAnsi="宋体" w:eastAsia="宋体" w:cs="宋体"/>
                <w:color w:val="auto"/>
                <w:kern w:val="24"/>
                <w:sz w:val="24"/>
                <w:szCs w:val="21"/>
                <w:highlight w:val="none"/>
              </w:rPr>
              <w:t>年</w:t>
            </w:r>
            <w:r>
              <w:rPr>
                <w:rFonts w:hint="eastAsia" w:ascii="宋体" w:hAnsi="宋体" w:eastAsia="宋体" w:cs="宋体"/>
                <w:color w:val="auto"/>
                <w:kern w:val="24"/>
                <w:sz w:val="24"/>
                <w:szCs w:val="21"/>
                <w:highlight w:val="none"/>
                <w:lang w:val="en-US" w:eastAsia="zh-CN"/>
              </w:rPr>
              <w:t xml:space="preserve">   </w:t>
            </w:r>
            <w:r>
              <w:rPr>
                <w:rFonts w:hint="eastAsia" w:ascii="宋体" w:hAnsi="宋体" w:eastAsia="宋体" w:cs="宋体"/>
                <w:color w:val="auto"/>
                <w:kern w:val="24"/>
                <w:sz w:val="24"/>
                <w:szCs w:val="21"/>
                <w:highlight w:val="none"/>
              </w:rPr>
              <w:t>月</w:t>
            </w:r>
            <w:r>
              <w:rPr>
                <w:rFonts w:hint="eastAsia" w:ascii="宋体" w:hAnsi="宋体" w:eastAsia="宋体" w:cs="宋体"/>
                <w:color w:val="auto"/>
                <w:kern w:val="24"/>
                <w:sz w:val="24"/>
                <w:szCs w:val="21"/>
                <w:highlight w:val="none"/>
                <w:lang w:val="en-US" w:eastAsia="zh-CN"/>
              </w:rPr>
              <w:t xml:space="preserve">     </w:t>
            </w:r>
            <w:r>
              <w:rPr>
                <w:rFonts w:hint="eastAsia" w:ascii="宋体" w:hAnsi="宋体" w:eastAsia="宋体" w:cs="宋体"/>
                <w:color w:val="auto"/>
                <w:kern w:val="24"/>
                <w:sz w:val="24"/>
                <w:szCs w:val="21"/>
                <w:highlight w:val="none"/>
              </w:rPr>
              <w:t>日</w:t>
            </w:r>
            <w:r>
              <w:rPr>
                <w:rFonts w:hint="eastAsia" w:ascii="宋体" w:hAnsi="宋体" w:eastAsia="宋体" w:cs="宋体"/>
                <w:color w:val="auto"/>
                <w:kern w:val="24"/>
                <w:sz w:val="24"/>
                <w:szCs w:val="21"/>
                <w:highlight w:val="none"/>
                <w:lang w:val="en-US" w:eastAsia="zh-CN"/>
              </w:rPr>
              <w:t>14</w:t>
            </w:r>
            <w:r>
              <w:rPr>
                <w:rFonts w:hint="eastAsia" w:ascii="宋体" w:hAnsi="宋体" w:eastAsia="宋体" w:cs="宋体"/>
                <w:color w:val="auto"/>
                <w:kern w:val="24"/>
                <w:sz w:val="24"/>
                <w:szCs w:val="21"/>
                <w:highlight w:val="none"/>
              </w:rPr>
              <w:t>:</w:t>
            </w:r>
            <w:r>
              <w:rPr>
                <w:rFonts w:hint="eastAsia" w:ascii="宋体" w:hAnsi="宋体" w:eastAsia="宋体" w:cs="宋体"/>
                <w:color w:val="auto"/>
                <w:kern w:val="24"/>
                <w:sz w:val="24"/>
                <w:szCs w:val="21"/>
                <w:highlight w:val="none"/>
                <w:lang w:val="en-US" w:eastAsia="zh-CN"/>
              </w:rPr>
              <w:t>0</w:t>
            </w:r>
            <w:r>
              <w:rPr>
                <w:rFonts w:hint="eastAsia" w:ascii="宋体" w:hAnsi="宋体" w:eastAsia="宋体" w:cs="宋体"/>
                <w:color w:val="auto"/>
                <w:kern w:val="24"/>
                <w:sz w:val="24"/>
                <w:szCs w:val="21"/>
                <w:highlight w:val="none"/>
              </w:rPr>
              <w:t>0（北京时间）。</w:t>
            </w:r>
          </w:p>
          <w:p>
            <w:pPr>
              <w:keepNext w:val="0"/>
              <w:keepLines w:val="0"/>
              <w:pageBreakBefore w:val="0"/>
              <w:widowControl/>
              <w:kinsoku/>
              <w:wordWrap/>
              <w:overflowPunct/>
              <w:topLinePunct w:val="0"/>
              <w:bidi w:val="0"/>
              <w:snapToGrid w:val="0"/>
              <w:spacing w:line="280" w:lineRule="exact"/>
              <w:ind w:right="0" w:rightChars="0"/>
              <w:jc w:val="left"/>
              <w:textAlignment w:val="auto"/>
              <w:rPr>
                <w:rFonts w:hint="eastAsia" w:ascii="宋体" w:hAnsi="宋体" w:eastAsia="宋体" w:cs="宋体"/>
                <w:color w:val="auto"/>
                <w:sz w:val="24"/>
                <w:highlight w:val="none"/>
              </w:rPr>
            </w:pPr>
            <w:r>
              <w:rPr>
                <w:rFonts w:hint="eastAsia" w:ascii="宋体" w:hAnsi="宋体" w:eastAsia="宋体" w:cs="宋体"/>
                <w:color w:val="auto"/>
                <w:kern w:val="24"/>
                <w:sz w:val="24"/>
                <w:szCs w:val="21"/>
                <w:highlight w:val="none"/>
              </w:rPr>
              <w:t>响应文件递交地点：</w:t>
            </w:r>
            <w:r>
              <w:rPr>
                <w:rFonts w:hint="eastAsia" w:ascii="宋体" w:hAnsi="宋体" w:eastAsia="宋体" w:cs="宋体"/>
                <w:color w:val="auto"/>
                <w:kern w:val="0"/>
                <w:sz w:val="24"/>
                <w:highlight w:val="none"/>
                <w:lang w:val="en-US" w:eastAsia="zh-CN"/>
              </w:rPr>
              <w:t>陕西省西安市莲湖区二环南路西段202号九座花园东区2905开标室</w:t>
            </w:r>
            <w:r>
              <w:rPr>
                <w:rFonts w:hint="eastAsia" w:ascii="宋体" w:hAnsi="宋体" w:eastAsia="宋体" w:cs="宋体"/>
                <w:color w:val="auto"/>
                <w:kern w:val="0"/>
                <w:sz w:val="24"/>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080" w:type="dxa"/>
            <w:vAlign w:val="center"/>
          </w:tcPr>
          <w:p>
            <w:pPr>
              <w:pStyle w:val="28"/>
              <w:keepNext w:val="0"/>
              <w:keepLines w:val="0"/>
              <w:pageBreakBefore w:val="0"/>
              <w:kinsoku/>
              <w:wordWrap/>
              <w:overflowPunct/>
              <w:topLinePunct w:val="0"/>
              <w:bidi w:val="0"/>
              <w:adjustRightInd w:val="0"/>
              <w:snapToGrid w:val="0"/>
              <w:spacing w:line="280" w:lineRule="exact"/>
              <w:ind w:right="0" w:rightChars="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w:t>
            </w:r>
          </w:p>
        </w:tc>
        <w:tc>
          <w:tcPr>
            <w:tcW w:w="8472" w:type="dxa"/>
            <w:vAlign w:val="center"/>
          </w:tcPr>
          <w:p>
            <w:pPr>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磋商小组由</w:t>
            </w:r>
            <w:r>
              <w:rPr>
                <w:rFonts w:hint="eastAsia" w:ascii="宋体" w:hAnsi="宋体" w:eastAsia="宋体" w:cs="宋体"/>
                <w:b/>
                <w:bCs/>
                <w:color w:val="auto"/>
                <w:sz w:val="24"/>
                <w:highlight w:val="none"/>
                <w:u w:val="single"/>
              </w:rPr>
              <w:t>（3）</w:t>
            </w:r>
            <w:r>
              <w:rPr>
                <w:rFonts w:hint="eastAsia" w:ascii="宋体" w:hAnsi="宋体" w:eastAsia="宋体" w:cs="宋体"/>
                <w:color w:val="auto"/>
                <w:sz w:val="24"/>
                <w:highlight w:val="none"/>
              </w:rPr>
              <w:t>人组成，其中评审专家</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3</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jc w:val="center"/>
        </w:trPr>
        <w:tc>
          <w:tcPr>
            <w:tcW w:w="1080" w:type="dxa"/>
            <w:vAlign w:val="center"/>
          </w:tcPr>
          <w:p>
            <w:pPr>
              <w:keepNext w:val="0"/>
              <w:keepLines w:val="0"/>
              <w:pageBreakBefore w:val="0"/>
              <w:kinsoku/>
              <w:wordWrap/>
              <w:overflowPunct/>
              <w:topLinePunct w:val="0"/>
              <w:bidi w:val="0"/>
              <w:spacing w:line="280" w:lineRule="exact"/>
              <w:ind w:right="0" w:rightChars="0"/>
              <w:jc w:val="center"/>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28.1</w:t>
            </w:r>
          </w:p>
        </w:tc>
        <w:tc>
          <w:tcPr>
            <w:tcW w:w="8472" w:type="dxa"/>
            <w:vAlign w:val="center"/>
          </w:tcPr>
          <w:p>
            <w:pPr>
              <w:keepNext w:val="0"/>
              <w:keepLines w:val="0"/>
              <w:pageBreakBefore w:val="0"/>
              <w:kinsoku/>
              <w:wordWrap/>
              <w:overflowPunct/>
              <w:topLinePunct w:val="0"/>
              <w:bidi w:val="0"/>
              <w:spacing w:line="280" w:lineRule="exact"/>
              <w:ind w:right="0" w:rightChars="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□本项目要求履约保证金，金额为成交合同金额的</w:t>
            </w:r>
            <w:r>
              <w:rPr>
                <w:rFonts w:hint="eastAsia" w:ascii="宋体" w:hAnsi="宋体" w:eastAsia="宋体" w:cs="宋体"/>
                <w:b/>
                <w:color w:val="auto"/>
                <w:sz w:val="24"/>
                <w:highlight w:val="none"/>
                <w:u w:val="single"/>
              </w:rPr>
              <w:t xml:space="preserve">5% </w:t>
            </w:r>
          </w:p>
          <w:p>
            <w:pPr>
              <w:pStyle w:val="22"/>
              <w:keepNext w:val="0"/>
              <w:keepLines w:val="0"/>
              <w:pageBreakBefore w:val="0"/>
              <w:kinsoku/>
              <w:wordWrap/>
              <w:overflowPunct/>
              <w:topLinePunct w:val="0"/>
              <w:bidi w:val="0"/>
              <w:spacing w:line="280" w:lineRule="exact"/>
              <w:ind w:right="0" w:rightChars="0"/>
              <w:textAlignment w:val="auto"/>
              <w:rPr>
                <w:rFonts w:hint="eastAsia" w:ascii="宋体" w:hAnsi="宋体" w:eastAsia="宋体" w:cs="宋体"/>
                <w:color w:val="auto"/>
                <w:highlight w:val="none"/>
              </w:rPr>
            </w:pPr>
          </w:p>
          <w:p>
            <w:pPr>
              <w:keepNext w:val="0"/>
              <w:keepLines w:val="0"/>
              <w:pageBreakBefore w:val="0"/>
              <w:kinsoku/>
              <w:wordWrap/>
              <w:overflowPunct/>
              <w:topLinePunct w:val="0"/>
              <w:bidi w:val="0"/>
              <w:spacing w:line="280" w:lineRule="exact"/>
              <w:ind w:right="0" w:rightChars="0"/>
              <w:jc w:val="left"/>
              <w:textAlignment w:val="auto"/>
              <w:rPr>
                <w:rFonts w:hint="eastAsia" w:ascii="宋体" w:hAnsi="宋体" w:eastAsia="宋体" w:cs="宋体"/>
                <w:color w:val="auto"/>
                <w:highlight w:val="none"/>
              </w:rPr>
            </w:pPr>
            <w:r>
              <w:rPr>
                <w:rFonts w:hint="eastAsia" w:ascii="宋体" w:hAnsi="宋体" w:eastAsia="宋体" w:cs="宋体"/>
                <w:color w:val="auto"/>
                <w:sz w:val="24"/>
                <w:highlight w:val="none"/>
              </w:rPr>
              <w:t>☑本项目不要求履约保证金。</w:t>
            </w:r>
          </w:p>
        </w:tc>
      </w:tr>
    </w:tbl>
    <w:p>
      <w:pPr>
        <w:rPr>
          <w:rFonts w:hint="eastAsia" w:ascii="宋体" w:hAnsi="宋体" w:eastAsia="宋体" w:cs="宋体"/>
          <w:color w:val="auto"/>
          <w:sz w:val="30"/>
          <w:szCs w:val="30"/>
          <w:highlight w:val="none"/>
        </w:rPr>
      </w:pPr>
      <w:bookmarkStart w:id="70" w:name="_Toc176882543"/>
      <w:bookmarkStart w:id="71" w:name="_Toc177995474"/>
      <w:bookmarkStart w:id="72" w:name="_Toc53722841"/>
      <w:bookmarkStart w:id="73" w:name="_Toc70687140"/>
      <w:bookmarkStart w:id="74" w:name="_Toc177817335"/>
      <w:bookmarkStart w:id="75" w:name="_Toc230013633"/>
      <w:bookmarkStart w:id="76" w:name="_Toc232395213"/>
      <w:bookmarkStart w:id="77" w:name="_Toc249525160"/>
      <w:bookmarkStart w:id="78" w:name="_Toc184043013"/>
      <w:bookmarkStart w:id="79" w:name="_Toc177189236"/>
      <w:bookmarkStart w:id="80" w:name="_Toc256342144"/>
      <w:bookmarkStart w:id="81" w:name="_Toc249515279"/>
      <w:bookmarkStart w:id="82" w:name="_Toc249515391"/>
      <w:bookmarkStart w:id="83" w:name="_Toc230099798"/>
      <w:bookmarkStart w:id="84" w:name="_Toc232176273"/>
      <w:bookmarkStart w:id="85" w:name="_Toc230583542"/>
      <w:r>
        <w:rPr>
          <w:rFonts w:hint="eastAsia" w:ascii="宋体" w:hAnsi="宋体" w:eastAsia="宋体" w:cs="宋体"/>
          <w:color w:val="auto"/>
          <w:sz w:val="30"/>
          <w:szCs w:val="30"/>
          <w:highlight w:val="none"/>
        </w:rPr>
        <w:br w:type="page"/>
      </w:r>
    </w:p>
    <w:p>
      <w:pPr>
        <w:pStyle w:val="78"/>
        <w:spacing w:before="24" w:after="24"/>
        <w:jc w:val="center"/>
        <w:rPr>
          <w:rFonts w:hint="eastAsia" w:ascii="宋体" w:hAnsi="宋体" w:eastAsia="宋体" w:cs="宋体"/>
          <w:color w:val="auto"/>
          <w:szCs w:val="32"/>
          <w:highlight w:val="none"/>
        </w:rPr>
      </w:pPr>
      <w:bookmarkStart w:id="86" w:name="_Toc68590968"/>
      <w:r>
        <w:rPr>
          <w:rFonts w:hint="eastAsia" w:ascii="宋体" w:hAnsi="宋体" w:eastAsia="宋体" w:cs="宋体"/>
          <w:color w:val="auto"/>
          <w:szCs w:val="32"/>
          <w:highlight w:val="none"/>
        </w:rPr>
        <w:t>（二）供应商须知</w:t>
      </w:r>
      <w:bookmarkEnd w:id="86"/>
    </w:p>
    <w:p>
      <w:pPr>
        <w:pStyle w:val="78"/>
        <w:spacing w:before="24" w:after="24"/>
        <w:jc w:val="center"/>
        <w:rPr>
          <w:rFonts w:hint="eastAsia" w:ascii="宋体" w:hAnsi="宋体" w:eastAsia="宋体" w:cs="宋体"/>
          <w:color w:val="auto"/>
          <w:sz w:val="30"/>
          <w:szCs w:val="30"/>
          <w:highlight w:val="none"/>
        </w:rPr>
      </w:pPr>
      <w:bookmarkStart w:id="87" w:name="_Toc68590969"/>
      <w:r>
        <w:rPr>
          <w:rFonts w:hint="eastAsia" w:ascii="宋体" w:hAnsi="宋体" w:eastAsia="宋体" w:cs="宋体"/>
          <w:color w:val="auto"/>
          <w:sz w:val="30"/>
          <w:szCs w:val="30"/>
          <w:highlight w:val="none"/>
        </w:rPr>
        <w:t>一、总  则</w:t>
      </w:r>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7"/>
    </w:p>
    <w:p>
      <w:pPr>
        <w:pStyle w:val="5"/>
        <w:rPr>
          <w:rFonts w:hint="eastAsia" w:ascii="宋体" w:hAnsi="宋体" w:eastAsia="宋体" w:cs="宋体"/>
          <w:b/>
          <w:color w:val="auto"/>
          <w:sz w:val="24"/>
          <w:szCs w:val="21"/>
          <w:highlight w:val="none"/>
        </w:rPr>
      </w:pPr>
      <w:bookmarkStart w:id="88" w:name="_Hlt14560612"/>
      <w:bookmarkEnd w:id="88"/>
      <w:bookmarkStart w:id="89" w:name="_Toc249515392"/>
      <w:bookmarkStart w:id="90" w:name="_Toc249525161"/>
      <w:bookmarkStart w:id="91" w:name="_Toc184043014"/>
      <w:bookmarkStart w:id="92" w:name="_Toc249515280"/>
      <w:bookmarkStart w:id="93" w:name="_Toc25504"/>
      <w:r>
        <w:rPr>
          <w:rFonts w:hint="eastAsia" w:ascii="宋体" w:hAnsi="宋体" w:eastAsia="宋体" w:cs="宋体"/>
          <w:b/>
          <w:color w:val="auto"/>
          <w:sz w:val="24"/>
          <w:szCs w:val="21"/>
          <w:highlight w:val="none"/>
        </w:rPr>
        <w:t>1.     项目说明</w:t>
      </w:r>
      <w:bookmarkEnd w:id="89"/>
      <w:bookmarkEnd w:id="90"/>
      <w:bookmarkEnd w:id="91"/>
      <w:bookmarkEnd w:id="92"/>
      <w:bookmarkEnd w:id="93"/>
    </w:p>
    <w:p>
      <w:pPr>
        <w:pStyle w:val="64"/>
        <w:widowControl w:val="0"/>
        <w:tabs>
          <w:tab w:val="left" w:pos="588"/>
        </w:tabs>
        <w:spacing w:before="0" w:beforeAutospacing="0" w:after="0" w:afterAutospacing="0"/>
        <w:textAlignment w:val="auto"/>
        <w:rPr>
          <w:rFonts w:hint="eastAsia" w:ascii="宋体" w:hAnsi="宋体" w:eastAsia="宋体" w:cs="宋体"/>
          <w:color w:val="auto"/>
          <w:kern w:val="24"/>
          <w:szCs w:val="21"/>
          <w:highlight w:val="none"/>
        </w:rPr>
      </w:pPr>
      <w:r>
        <w:rPr>
          <w:rFonts w:hint="eastAsia" w:ascii="宋体" w:hAnsi="宋体" w:eastAsia="宋体" w:cs="宋体"/>
          <w:color w:val="auto"/>
          <w:kern w:val="24"/>
          <w:szCs w:val="21"/>
          <w:highlight w:val="none"/>
        </w:rPr>
        <w:t>1.1    项目说明：</w:t>
      </w:r>
      <w:r>
        <w:rPr>
          <w:rFonts w:hint="eastAsia" w:ascii="宋体" w:hAnsi="宋体" w:eastAsia="宋体" w:cs="宋体"/>
          <w:b/>
          <w:color w:val="auto"/>
          <w:kern w:val="24"/>
          <w:szCs w:val="21"/>
          <w:highlight w:val="none"/>
        </w:rPr>
        <w:t>见供应商须知前附表</w:t>
      </w:r>
      <w:r>
        <w:rPr>
          <w:rFonts w:hint="eastAsia" w:ascii="宋体" w:hAnsi="宋体" w:eastAsia="宋体" w:cs="宋体"/>
          <w:color w:val="auto"/>
          <w:kern w:val="24"/>
          <w:szCs w:val="21"/>
          <w:highlight w:val="none"/>
        </w:rPr>
        <w:t>。</w:t>
      </w:r>
    </w:p>
    <w:p>
      <w:pPr>
        <w:pStyle w:val="5"/>
        <w:rPr>
          <w:rFonts w:hint="eastAsia" w:ascii="宋体" w:hAnsi="宋体" w:eastAsia="宋体" w:cs="宋体"/>
          <w:b/>
          <w:color w:val="auto"/>
          <w:sz w:val="24"/>
          <w:szCs w:val="21"/>
          <w:highlight w:val="none"/>
        </w:rPr>
      </w:pPr>
      <w:bookmarkStart w:id="94" w:name="_Toc249515393"/>
      <w:bookmarkStart w:id="95" w:name="_Toc184043015"/>
      <w:bookmarkStart w:id="96" w:name="_Toc249525162"/>
      <w:bookmarkStart w:id="97" w:name="_Toc70687142"/>
      <w:bookmarkStart w:id="98" w:name="_Toc31509"/>
      <w:bookmarkStart w:id="99" w:name="_Toc249515281"/>
      <w:r>
        <w:rPr>
          <w:rFonts w:hint="eastAsia" w:ascii="宋体" w:hAnsi="宋体" w:eastAsia="宋体" w:cs="宋体"/>
          <w:b/>
          <w:color w:val="auto"/>
          <w:sz w:val="24"/>
          <w:szCs w:val="21"/>
          <w:highlight w:val="none"/>
        </w:rPr>
        <w:t>2.     定义</w:t>
      </w:r>
      <w:bookmarkEnd w:id="94"/>
      <w:bookmarkEnd w:id="95"/>
      <w:bookmarkEnd w:id="96"/>
      <w:bookmarkEnd w:id="97"/>
      <w:bookmarkEnd w:id="98"/>
      <w:bookmarkEnd w:id="99"/>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2.1    采购人：</w:t>
      </w:r>
      <w:r>
        <w:rPr>
          <w:rFonts w:hint="eastAsia" w:ascii="宋体" w:hAnsi="宋体" w:eastAsia="宋体" w:cs="宋体"/>
          <w:b/>
          <w:color w:val="auto"/>
          <w:sz w:val="24"/>
          <w:highlight w:val="none"/>
        </w:rPr>
        <w:t>见供应商须知前附表</w:t>
      </w:r>
      <w:r>
        <w:rPr>
          <w:rFonts w:hint="eastAsia" w:ascii="宋体" w:hAnsi="宋体" w:eastAsia="宋体" w:cs="宋体"/>
          <w:color w:val="auto"/>
          <w:sz w:val="24"/>
          <w:highlight w:val="none"/>
        </w:rPr>
        <w:t>。</w:t>
      </w:r>
    </w:p>
    <w:p>
      <w:pPr>
        <w:pStyle w:val="22"/>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2.2    采购代理机构：</w:t>
      </w:r>
      <w:r>
        <w:rPr>
          <w:rFonts w:hint="eastAsia" w:ascii="宋体" w:hAnsi="宋体" w:eastAsia="宋体" w:cs="宋体"/>
          <w:b/>
          <w:color w:val="auto"/>
          <w:kern w:val="24"/>
          <w:sz w:val="24"/>
          <w:szCs w:val="21"/>
          <w:highlight w:val="none"/>
        </w:rPr>
        <w:t>见供应商须知前附表</w:t>
      </w:r>
      <w:r>
        <w:rPr>
          <w:rFonts w:hint="eastAsia" w:ascii="宋体" w:hAnsi="宋体" w:eastAsia="宋体" w:cs="宋体"/>
          <w:color w:val="auto"/>
          <w:kern w:val="24"/>
          <w:sz w:val="24"/>
          <w:szCs w:val="21"/>
          <w:highlight w:val="none"/>
        </w:rPr>
        <w:t>。</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2.3    供应商：指响应磋商文件要求、参加竞争性磋商采购的法人、其他组织或者自然人。本次政府采购项目邀请供应商方式见</w:t>
      </w:r>
      <w:r>
        <w:rPr>
          <w:rFonts w:hint="eastAsia" w:ascii="宋体" w:hAnsi="宋体" w:eastAsia="宋体" w:cs="宋体"/>
          <w:b/>
          <w:color w:val="auto"/>
          <w:sz w:val="24"/>
          <w:highlight w:val="none"/>
        </w:rPr>
        <w:t>供应商须知前附表。</w:t>
      </w:r>
    </w:p>
    <w:p>
      <w:pPr>
        <w:pStyle w:val="22"/>
        <w:tabs>
          <w:tab w:val="left" w:pos="360"/>
        </w:tabs>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2.4    磋商小组：指依据《中华人民共和国政府采购法》和财政部《政府采购竞争性磋商采购方式管理暂行办法》有关规定组建，依法依规履行其职责和义务的机构。</w:t>
      </w:r>
    </w:p>
    <w:p>
      <w:pPr>
        <w:pStyle w:val="5"/>
        <w:rPr>
          <w:rFonts w:hint="eastAsia" w:ascii="宋体" w:hAnsi="宋体" w:eastAsia="宋体" w:cs="宋体"/>
          <w:b/>
          <w:color w:val="auto"/>
          <w:sz w:val="24"/>
          <w:szCs w:val="21"/>
          <w:highlight w:val="none"/>
        </w:rPr>
      </w:pPr>
      <w:bookmarkStart w:id="100" w:name="_Toc23705"/>
      <w:bookmarkStart w:id="101" w:name="_Toc184043016"/>
      <w:bookmarkStart w:id="102" w:name="_Toc70687143"/>
      <w:bookmarkStart w:id="103" w:name="_Toc389620168"/>
      <w:bookmarkStart w:id="104" w:name="_Toc385992329"/>
      <w:bookmarkStart w:id="105" w:name="_Toc249515282"/>
      <w:bookmarkStart w:id="106" w:name="_Toc249525163"/>
      <w:bookmarkStart w:id="107" w:name="_Toc249515394"/>
      <w:r>
        <w:rPr>
          <w:rFonts w:hint="eastAsia" w:ascii="宋体" w:hAnsi="宋体" w:eastAsia="宋体" w:cs="宋体"/>
          <w:b/>
          <w:color w:val="auto"/>
          <w:sz w:val="24"/>
          <w:szCs w:val="21"/>
          <w:highlight w:val="none"/>
        </w:rPr>
        <w:t>3.     合格的供应商</w:t>
      </w:r>
      <w:bookmarkEnd w:id="100"/>
      <w:bookmarkEnd w:id="101"/>
      <w:bookmarkEnd w:id="102"/>
      <w:bookmarkEnd w:id="103"/>
      <w:bookmarkEnd w:id="104"/>
      <w:bookmarkEnd w:id="105"/>
      <w:bookmarkEnd w:id="106"/>
      <w:bookmarkEnd w:id="107"/>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3.1    供应商基本资质要求详见</w:t>
      </w:r>
      <w:r>
        <w:rPr>
          <w:rFonts w:hint="eastAsia" w:ascii="宋体" w:hAnsi="宋体" w:eastAsia="宋体" w:cs="宋体"/>
          <w:b/>
          <w:color w:val="auto"/>
          <w:kern w:val="24"/>
          <w:sz w:val="24"/>
          <w:szCs w:val="21"/>
          <w:highlight w:val="none"/>
        </w:rPr>
        <w:t>供应商须知前附表</w:t>
      </w:r>
      <w:r>
        <w:rPr>
          <w:rFonts w:hint="eastAsia" w:ascii="宋体" w:hAnsi="宋体" w:eastAsia="宋体" w:cs="宋体"/>
          <w:color w:val="auto"/>
          <w:kern w:val="24"/>
          <w:sz w:val="24"/>
          <w:szCs w:val="21"/>
          <w:highlight w:val="none"/>
        </w:rPr>
        <w:t>。</w:t>
      </w:r>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3.2    本项目将执行在政府采购活动中查询及使用信用记录的规定，具体要求为：</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3.2.1  供应商应当未被列入失信被执行人、</w:t>
      </w:r>
      <w:r>
        <w:rPr>
          <w:rFonts w:hint="eastAsia" w:ascii="宋体" w:hAnsi="宋体" w:eastAsia="宋体" w:cs="宋体"/>
          <w:color w:val="auto"/>
          <w:sz w:val="24"/>
          <w:highlight w:val="none"/>
        </w:rPr>
        <w:t>税收违法黑名单</w:t>
      </w:r>
      <w:r>
        <w:rPr>
          <w:rFonts w:hint="eastAsia" w:ascii="宋体" w:hAnsi="宋体" w:eastAsia="宋体" w:cs="宋体"/>
          <w:color w:val="auto"/>
          <w:kern w:val="24"/>
          <w:sz w:val="24"/>
          <w:szCs w:val="21"/>
          <w:highlight w:val="none"/>
        </w:rPr>
        <w:t>、政府采购严重违法失信行为记录名单，否则不得参与政府采购活动。</w:t>
      </w:r>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3.2.2  信用信息查询的时间：响应文件递交截止时间之后至磋商</w:t>
      </w:r>
      <w:r>
        <w:rPr>
          <w:rFonts w:hint="eastAsia" w:ascii="宋体" w:hAnsi="宋体" w:eastAsia="宋体" w:cs="宋体"/>
          <w:color w:val="auto"/>
          <w:sz w:val="24"/>
          <w:highlight w:val="none"/>
        </w:rPr>
        <w:t>资格性检查结束</w:t>
      </w:r>
      <w:r>
        <w:rPr>
          <w:rFonts w:hint="eastAsia" w:ascii="宋体" w:hAnsi="宋体" w:eastAsia="宋体" w:cs="宋体"/>
          <w:color w:val="auto"/>
          <w:kern w:val="24"/>
          <w:sz w:val="24"/>
          <w:szCs w:val="21"/>
          <w:highlight w:val="none"/>
        </w:rPr>
        <w:t xml:space="preserve">。 </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 xml:space="preserve">3.2.3  查询渠道：“信用中国”网站（www.creditchina.gov.cn）和中国政府采购网（www.ccgp.gov.cn）； </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 xml:space="preserve">3.2.4  信用信息查询记录和证据留存具体方式：将经查询存在不良信用记录的潜在供应商的查询结果网页截图作为查询记录和证据，与其他采购文件一并保存； </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3.2.5  信用信息的使用规则：采购人或采购代理机构若发现参与本项目政府采购活动的供应商在存在不良信用记录的，将信用信息查询记录提交给磋商小组，作无效文件进行处理。</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3.3    供应商必须向采购人或采购代理机构获取磋商文件，未向采购人或采购代理机构获取磋商文件的潜在供应商均无资格参加本次采购。</w:t>
      </w:r>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3.4    供应商应遵守《中华人民共和国政府采购法》及其它有关的中国法律和法规。</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3.5    若前附表中写明允许采购进口产品，供应商应保证所投产品可履行合法报通关手续进入中国关境内。</w:t>
      </w:r>
    </w:p>
    <w:p>
      <w:pPr>
        <w:pStyle w:val="22"/>
        <w:ind w:left="838" w:leftChars="399"/>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若前附表中不允许采购进口产品，如供应商所投产品为进口产品，其响应文件将被认定为无效。</w:t>
      </w:r>
    </w:p>
    <w:p>
      <w:pPr>
        <w:pStyle w:val="22"/>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    如须知前附表中允许联合体投标，对联合体规定如下：</w:t>
      </w:r>
    </w:p>
    <w:p>
      <w:pPr>
        <w:pStyle w:val="22"/>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3.6.1  两个及以上供应商可以组成一个投标联合体，以一个供应商的身份投标。</w:t>
      </w:r>
    </w:p>
    <w:p>
      <w:pPr>
        <w:pStyle w:val="22"/>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3.6.2  联合体各方均应符合本须知规定。</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3.6.3  采购人根据采购项目对供应商的特殊要求，联合体中至少应当有一方符合相关规定。</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3.6.4  联合体各方应签订共同磋商响应协议，明确约定联合体各方承担的工作和相应的责任，并将共同响应协议作为响应文件的内容提交。</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3.6.5  大中型企业、其他自然人、法人或者其他组织与小型、微型企业组成联合体共同参加磋商，共同响应协议中应写明小型、微型企业的协议合同金额占到共同响应协议报价总金额的比例。</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3.6.6  以联合体形式参加政府采购活动的，联合体各方不得再单独参加或者与其他供应商另外组成联合体参加本项目同一合同项下的磋商，否则相关响应文件将被认定为无效。</w:t>
      </w:r>
    </w:p>
    <w:p>
      <w:pPr>
        <w:pStyle w:val="22"/>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3.6.7  对联合体磋商的其他资格要求见须知前附表。</w:t>
      </w:r>
    </w:p>
    <w:p>
      <w:pPr>
        <w:pStyle w:val="22"/>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 xml:space="preserve">3.7    </w:t>
      </w:r>
      <w:r>
        <w:rPr>
          <w:rFonts w:hint="eastAsia" w:ascii="宋体" w:hAnsi="宋体" w:eastAsia="宋体" w:cs="宋体"/>
          <w:color w:val="auto"/>
          <w:sz w:val="24"/>
          <w:highlight w:val="none"/>
        </w:rPr>
        <w:t>若前附表中写明专门面向中小企业采购的，如供应商为非中小企业或所投产品为非中小企业产品，其响应文件将被认定为无效。</w:t>
      </w:r>
    </w:p>
    <w:p>
      <w:pPr>
        <w:pStyle w:val="5"/>
        <w:rPr>
          <w:rFonts w:hint="eastAsia" w:ascii="宋体" w:hAnsi="宋体" w:eastAsia="宋体" w:cs="宋体"/>
          <w:b/>
          <w:color w:val="auto"/>
          <w:sz w:val="24"/>
          <w:szCs w:val="21"/>
          <w:highlight w:val="none"/>
        </w:rPr>
      </w:pPr>
      <w:bookmarkStart w:id="108" w:name="_Toc249515283"/>
      <w:bookmarkStart w:id="109" w:name="_Toc249525164"/>
      <w:bookmarkStart w:id="110" w:name="_Toc70687144"/>
      <w:bookmarkStart w:id="111" w:name="_Toc26580"/>
      <w:bookmarkStart w:id="112" w:name="_Toc385992330"/>
      <w:bookmarkStart w:id="113" w:name="_Toc389620169"/>
      <w:bookmarkStart w:id="114" w:name="_Toc249515395"/>
      <w:bookmarkStart w:id="115" w:name="_Toc184043017"/>
      <w:r>
        <w:rPr>
          <w:rFonts w:hint="eastAsia" w:ascii="宋体" w:hAnsi="宋体" w:eastAsia="宋体" w:cs="宋体"/>
          <w:b/>
          <w:color w:val="auto"/>
          <w:sz w:val="24"/>
          <w:szCs w:val="21"/>
          <w:highlight w:val="none"/>
        </w:rPr>
        <w:t>4.     磋商费用</w:t>
      </w:r>
      <w:bookmarkEnd w:id="108"/>
      <w:bookmarkEnd w:id="109"/>
      <w:bookmarkEnd w:id="110"/>
      <w:bookmarkEnd w:id="111"/>
      <w:bookmarkEnd w:id="112"/>
      <w:bookmarkEnd w:id="113"/>
      <w:bookmarkEnd w:id="114"/>
      <w:bookmarkEnd w:id="115"/>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4.1    供应商应承担所有与编写和提交响应文件有关的费用，无论磋商过程和结果如何，采购人在任何情况下均无义务和责任承担这些费用。</w:t>
      </w:r>
    </w:p>
    <w:p>
      <w:pPr>
        <w:pStyle w:val="78"/>
        <w:spacing w:before="24" w:after="24"/>
        <w:ind w:left="3313"/>
        <w:rPr>
          <w:rFonts w:hint="eastAsia" w:ascii="宋体" w:hAnsi="宋体" w:eastAsia="宋体" w:cs="宋体"/>
          <w:color w:val="auto"/>
          <w:sz w:val="30"/>
          <w:szCs w:val="30"/>
          <w:highlight w:val="none"/>
        </w:rPr>
      </w:pPr>
      <w:bookmarkStart w:id="116" w:name="_Toc68590970"/>
      <w:r>
        <w:rPr>
          <w:rFonts w:hint="eastAsia" w:ascii="宋体" w:hAnsi="宋体" w:eastAsia="宋体" w:cs="宋体"/>
          <w:color w:val="auto"/>
          <w:sz w:val="30"/>
          <w:szCs w:val="30"/>
          <w:highlight w:val="none"/>
        </w:rPr>
        <w:t>二、磋商文件说明</w:t>
      </w:r>
      <w:bookmarkEnd w:id="116"/>
    </w:p>
    <w:p>
      <w:pPr>
        <w:pStyle w:val="5"/>
        <w:numPr>
          <w:ilvl w:val="0"/>
          <w:numId w:val="6"/>
        </w:numPr>
        <w:rPr>
          <w:rFonts w:hint="eastAsia" w:ascii="宋体" w:hAnsi="宋体" w:eastAsia="宋体" w:cs="宋体"/>
          <w:b/>
          <w:color w:val="auto"/>
          <w:sz w:val="24"/>
          <w:szCs w:val="21"/>
          <w:highlight w:val="none"/>
        </w:rPr>
      </w:pPr>
      <w:bookmarkStart w:id="117" w:name="_Toc128"/>
      <w:bookmarkStart w:id="118" w:name="_Toc249515285"/>
      <w:bookmarkStart w:id="119" w:name="_Toc249525166"/>
      <w:bookmarkStart w:id="120" w:name="_Toc385992332"/>
      <w:bookmarkStart w:id="121" w:name="_Toc249515397"/>
      <w:bookmarkStart w:id="122" w:name="_Toc70687146"/>
      <w:bookmarkStart w:id="123" w:name="_Toc389620171"/>
      <w:bookmarkStart w:id="124" w:name="_Toc184043019"/>
      <w:r>
        <w:rPr>
          <w:rFonts w:hint="eastAsia" w:ascii="宋体" w:hAnsi="宋体" w:eastAsia="宋体" w:cs="宋体"/>
          <w:b/>
          <w:color w:val="auto"/>
          <w:sz w:val="24"/>
          <w:szCs w:val="21"/>
          <w:highlight w:val="none"/>
        </w:rPr>
        <w:t xml:space="preserve">    通知</w:t>
      </w:r>
      <w:bookmarkEnd w:id="117"/>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5.1    对与本项目有关的通知，采购人或采购代理机构将以书面（包括书面材料、信函、传真、电子邮件等，下同）的形式，送达所有与通知有关的已获取了磋商文件的供应商（潜在供应商），传真号码以供应商登记的为准。供应商应于收到通知后按规定时间以书面方式予以回复确认。因登记有误或传真线路故障导致通知延迟送达或无法送达，采购人或采购代理机构不承担责任。</w:t>
      </w:r>
    </w:p>
    <w:p>
      <w:pPr>
        <w:pStyle w:val="5"/>
        <w:rPr>
          <w:rFonts w:hint="eastAsia" w:ascii="宋体" w:hAnsi="宋体" w:eastAsia="宋体" w:cs="宋体"/>
          <w:b/>
          <w:color w:val="auto"/>
          <w:sz w:val="24"/>
          <w:szCs w:val="21"/>
          <w:highlight w:val="none"/>
        </w:rPr>
      </w:pPr>
      <w:bookmarkStart w:id="125" w:name="_Toc27223"/>
      <w:r>
        <w:rPr>
          <w:rFonts w:hint="eastAsia" w:ascii="宋体" w:hAnsi="宋体" w:eastAsia="宋体" w:cs="宋体"/>
          <w:b/>
          <w:color w:val="auto"/>
          <w:sz w:val="24"/>
          <w:szCs w:val="21"/>
          <w:highlight w:val="none"/>
        </w:rPr>
        <w:t>6.     磋商文件的构成</w:t>
      </w:r>
      <w:bookmarkEnd w:id="118"/>
      <w:bookmarkEnd w:id="119"/>
      <w:bookmarkEnd w:id="120"/>
      <w:bookmarkEnd w:id="121"/>
      <w:bookmarkEnd w:id="122"/>
      <w:bookmarkEnd w:id="123"/>
      <w:bookmarkEnd w:id="124"/>
      <w:bookmarkEnd w:id="125"/>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6.1    磋商文件用以阐明供应商所需提供的服务、工程或货物以及其它类似的义务、采购响应程序和合同条款。磋商文件包括如下五章内容：</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第一章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磋商公告/（或磋商邀请）</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第二章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供应商须知</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第三章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评审办法和标准</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第四章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合同草案条款</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第五章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采购内容及要求</w:t>
      </w:r>
    </w:p>
    <w:p>
      <w:pPr>
        <w:pStyle w:val="22"/>
        <w:ind w:left="838" w:leftChars="399"/>
        <w:rPr>
          <w:rFonts w:hint="eastAsia" w:ascii="宋体" w:hAnsi="宋体" w:eastAsia="宋体" w:cs="宋体"/>
          <w:color w:val="auto"/>
          <w:sz w:val="24"/>
          <w:highlight w:val="none"/>
        </w:rPr>
      </w:pPr>
      <w:r>
        <w:rPr>
          <w:rFonts w:hint="eastAsia" w:ascii="宋体" w:hAnsi="宋体" w:eastAsia="宋体" w:cs="宋体"/>
          <w:color w:val="auto"/>
          <w:sz w:val="24"/>
          <w:highlight w:val="none"/>
        </w:rPr>
        <w:t>第六章</w:t>
      </w:r>
      <w:r>
        <w:rPr>
          <w:rFonts w:hint="eastAsia" w:ascii="宋体" w:hAnsi="宋体" w:eastAsia="宋体" w:cs="宋体"/>
          <w:color w:val="auto"/>
          <w:sz w:val="24"/>
          <w:highlight w:val="none"/>
        </w:rPr>
        <w:tab/>
      </w:r>
      <w:r>
        <w:rPr>
          <w:rFonts w:hint="eastAsia" w:ascii="宋体" w:hAnsi="宋体" w:eastAsia="宋体" w:cs="宋体"/>
          <w:color w:val="auto"/>
          <w:sz w:val="24"/>
          <w:highlight w:val="none"/>
        </w:rPr>
        <w:t>磋商响应文件格式</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6.2    供应商应认真阅读磋商文件中所有的事项、格式条款和规范要求等。供应商没有对磋商文件做出全面的实质性响应是供应商的风险。采购人有权拒绝没有对磋商文件要求做出实质性响应的响应文件。</w:t>
      </w:r>
    </w:p>
    <w:p>
      <w:pPr>
        <w:pStyle w:val="5"/>
        <w:rPr>
          <w:rFonts w:hint="eastAsia" w:ascii="宋体" w:hAnsi="宋体" w:eastAsia="宋体" w:cs="宋体"/>
          <w:b/>
          <w:i w:val="0"/>
          <w:iCs w:val="0"/>
          <w:color w:val="auto"/>
          <w:sz w:val="24"/>
          <w:szCs w:val="21"/>
          <w:highlight w:val="none"/>
        </w:rPr>
      </w:pPr>
      <w:bookmarkStart w:id="126" w:name="_Toc389620172"/>
      <w:bookmarkStart w:id="127" w:name="_Toc70687147"/>
      <w:bookmarkStart w:id="128" w:name="_Toc249515398"/>
      <w:bookmarkStart w:id="129" w:name="_Toc249525167"/>
      <w:bookmarkStart w:id="130" w:name="_Toc184043020"/>
      <w:bookmarkStart w:id="131" w:name="_Toc385992333"/>
      <w:bookmarkStart w:id="132" w:name="_Toc249515286"/>
      <w:bookmarkStart w:id="133" w:name="_Toc10350"/>
      <w:bookmarkStart w:id="134" w:name="_Toc499711887"/>
      <w:bookmarkStart w:id="135" w:name="_Toc249525169"/>
      <w:bookmarkStart w:id="136" w:name="_Toc70687149"/>
      <w:bookmarkStart w:id="137" w:name="_Toc184043022"/>
      <w:bookmarkStart w:id="138" w:name="_Toc177189238"/>
      <w:bookmarkStart w:id="139" w:name="_Toc176882545"/>
      <w:bookmarkStart w:id="140" w:name="_Toc503063425"/>
      <w:bookmarkStart w:id="141" w:name="_Toc492955418"/>
      <w:bookmarkStart w:id="142" w:name="_Toc232176275"/>
      <w:bookmarkStart w:id="143" w:name="_Toc230583544"/>
      <w:bookmarkStart w:id="144" w:name="_Toc230013635"/>
      <w:bookmarkStart w:id="145" w:name="_Toc385992335"/>
      <w:bookmarkStart w:id="146" w:name="_Toc68590971"/>
      <w:bookmarkStart w:id="147" w:name="_Toc500746969"/>
      <w:bookmarkStart w:id="148" w:name="_Toc177817337"/>
      <w:bookmarkStart w:id="149" w:name="_Toc249515400"/>
      <w:bookmarkStart w:id="150" w:name="_Toc389620174"/>
      <w:bookmarkStart w:id="151" w:name="_Toc230099800"/>
      <w:bookmarkStart w:id="152" w:name="_Toc53722843"/>
      <w:bookmarkStart w:id="153" w:name="_Toc499711046"/>
      <w:bookmarkStart w:id="154" w:name="_Toc500747192"/>
      <w:bookmarkStart w:id="155" w:name="_Toc249515288"/>
      <w:bookmarkStart w:id="156" w:name="_Toc232395215"/>
      <w:bookmarkStart w:id="157" w:name="_Toc256342146"/>
      <w:bookmarkStart w:id="158" w:name="_Toc500747065"/>
      <w:bookmarkStart w:id="159" w:name="_Toc496324582"/>
      <w:bookmarkStart w:id="160" w:name="_Toc177995476"/>
      <w:r>
        <w:rPr>
          <w:rFonts w:hint="eastAsia" w:ascii="宋体" w:hAnsi="宋体" w:eastAsia="宋体" w:cs="宋体"/>
          <w:b/>
          <w:i w:val="0"/>
          <w:iCs w:val="0"/>
          <w:color w:val="auto"/>
          <w:sz w:val="24"/>
          <w:szCs w:val="21"/>
          <w:highlight w:val="none"/>
        </w:rPr>
        <w:t>7.     磋商文件的澄清</w:t>
      </w:r>
      <w:bookmarkEnd w:id="126"/>
      <w:bookmarkEnd w:id="127"/>
      <w:bookmarkEnd w:id="128"/>
      <w:bookmarkEnd w:id="129"/>
      <w:bookmarkEnd w:id="130"/>
      <w:bookmarkEnd w:id="131"/>
      <w:bookmarkEnd w:id="132"/>
      <w:r>
        <w:rPr>
          <w:rFonts w:hint="eastAsia" w:ascii="宋体" w:hAnsi="宋体" w:eastAsia="宋体" w:cs="宋体"/>
          <w:b/>
          <w:i w:val="0"/>
          <w:iCs w:val="0"/>
          <w:color w:val="auto"/>
          <w:sz w:val="24"/>
          <w:szCs w:val="21"/>
          <w:highlight w:val="none"/>
        </w:rPr>
        <w:t>和修改</w:t>
      </w:r>
      <w:bookmarkEnd w:id="133"/>
    </w:p>
    <w:p>
      <w:pPr>
        <w:tabs>
          <w:tab w:val="left" w:pos="588"/>
        </w:tabs>
        <w:spacing w:line="360" w:lineRule="auto"/>
        <w:ind w:left="840" w:hanging="840" w:hangingChars="350"/>
        <w:rPr>
          <w:rFonts w:hint="eastAsia" w:ascii="宋体" w:hAnsi="宋体" w:eastAsia="宋体" w:cs="宋体"/>
          <w:i w:val="0"/>
          <w:iCs w:val="0"/>
          <w:color w:val="auto"/>
          <w:sz w:val="24"/>
          <w:highlight w:val="none"/>
        </w:rPr>
      </w:pPr>
      <w:bookmarkStart w:id="161" w:name="_Toc70687148"/>
      <w:bookmarkStart w:id="162" w:name="_Toc389620173"/>
      <w:bookmarkStart w:id="163" w:name="_Toc385992334"/>
      <w:r>
        <w:rPr>
          <w:rFonts w:hint="eastAsia" w:ascii="宋体" w:hAnsi="宋体" w:eastAsia="宋体" w:cs="宋体"/>
          <w:i w:val="0"/>
          <w:iCs w:val="0"/>
          <w:color w:val="auto"/>
          <w:sz w:val="24"/>
          <w:highlight w:val="none"/>
        </w:rPr>
        <w:t xml:space="preserve">7.1    </w:t>
      </w:r>
      <w:bookmarkEnd w:id="161"/>
      <w:bookmarkEnd w:id="162"/>
      <w:bookmarkEnd w:id="163"/>
      <w:r>
        <w:rPr>
          <w:rFonts w:hint="eastAsia" w:ascii="宋体" w:hAnsi="宋体" w:eastAsia="宋体" w:cs="宋体"/>
          <w:i w:val="0"/>
          <w:iCs w:val="0"/>
          <w:color w:val="auto"/>
          <w:sz w:val="24"/>
          <w:highlight w:val="none"/>
        </w:rPr>
        <w:t>在首次响应文件递交截止时间前，采购人或采购代理机构可以对已发出的磋商文件进行必要的澄清或修改，澄清或修改的内容为磋商文件的组成部分。</w:t>
      </w:r>
    </w:p>
    <w:p>
      <w:pPr>
        <w:tabs>
          <w:tab w:val="left" w:pos="588"/>
        </w:tabs>
        <w:spacing w:line="360" w:lineRule="auto"/>
        <w:ind w:left="840" w:hanging="840" w:hangingChars="350"/>
        <w:rPr>
          <w:rFonts w:hint="eastAsia" w:ascii="宋体" w:hAnsi="宋体" w:eastAsia="宋体" w:cs="宋体"/>
          <w:i w:val="0"/>
          <w:iCs w:val="0"/>
          <w:color w:val="auto"/>
          <w:sz w:val="24"/>
          <w:highlight w:val="none"/>
        </w:rPr>
      </w:pPr>
      <w:r>
        <w:rPr>
          <w:rFonts w:hint="eastAsia" w:ascii="宋体" w:hAnsi="宋体" w:eastAsia="宋体" w:cs="宋体"/>
          <w:i w:val="0"/>
          <w:iCs w:val="0"/>
          <w:color w:val="auto"/>
          <w:sz w:val="24"/>
          <w:highlight w:val="none"/>
        </w:rPr>
        <w:t>7.2    磋商文件的修改将以书面形式通知所有</w:t>
      </w:r>
      <w:r>
        <w:rPr>
          <w:rFonts w:hint="eastAsia" w:ascii="宋体" w:hAnsi="宋体" w:eastAsia="宋体" w:cs="宋体"/>
          <w:i w:val="0"/>
          <w:iCs w:val="0"/>
          <w:color w:val="auto"/>
          <w:sz w:val="24"/>
          <w:highlight w:val="none"/>
          <w:lang w:val="en-US" w:eastAsia="zh-CN"/>
        </w:rPr>
        <w:t>获取</w:t>
      </w:r>
      <w:r>
        <w:rPr>
          <w:rFonts w:hint="eastAsia" w:ascii="宋体" w:hAnsi="宋体" w:eastAsia="宋体" w:cs="宋体"/>
          <w:i w:val="0"/>
          <w:iCs w:val="0"/>
          <w:color w:val="auto"/>
          <w:sz w:val="24"/>
          <w:highlight w:val="none"/>
        </w:rPr>
        <w:t>磋商文件的供应商，并对其具有约束力。供应商在收到上述通知后，应立即向采购人回函确认。</w:t>
      </w:r>
    </w:p>
    <w:p>
      <w:pPr>
        <w:tabs>
          <w:tab w:val="left" w:pos="588"/>
        </w:tabs>
        <w:spacing w:line="360" w:lineRule="auto"/>
        <w:ind w:left="840" w:hanging="840" w:hangingChars="350"/>
        <w:rPr>
          <w:rFonts w:hint="eastAsia" w:ascii="宋体" w:hAnsi="宋体" w:eastAsia="宋体" w:cs="宋体"/>
          <w:i w:val="0"/>
          <w:iCs w:val="0"/>
          <w:color w:val="auto"/>
          <w:sz w:val="24"/>
          <w:highlight w:val="none"/>
        </w:rPr>
      </w:pPr>
      <w:r>
        <w:rPr>
          <w:rFonts w:hint="eastAsia" w:ascii="宋体" w:hAnsi="宋体" w:eastAsia="宋体" w:cs="宋体"/>
          <w:i w:val="0"/>
          <w:iCs w:val="0"/>
          <w:color w:val="auto"/>
          <w:sz w:val="24"/>
          <w:highlight w:val="none"/>
        </w:rPr>
        <w:t>7.3    澄清或修改的内容可能影响响应文件编制的，采购人或采购代理机构可适当延长首次响应文件递交截止时间，并以书面形式通知所有</w:t>
      </w:r>
      <w:r>
        <w:rPr>
          <w:rFonts w:hint="eastAsia" w:ascii="宋体" w:hAnsi="宋体" w:eastAsia="宋体" w:cs="宋体"/>
          <w:i w:val="0"/>
          <w:iCs w:val="0"/>
          <w:color w:val="auto"/>
          <w:sz w:val="24"/>
          <w:highlight w:val="none"/>
          <w:lang w:val="en-US" w:eastAsia="zh-CN"/>
        </w:rPr>
        <w:t>获取</w:t>
      </w:r>
      <w:r>
        <w:rPr>
          <w:rFonts w:hint="eastAsia" w:ascii="宋体" w:hAnsi="宋体" w:eastAsia="宋体" w:cs="宋体"/>
          <w:i w:val="0"/>
          <w:iCs w:val="0"/>
          <w:color w:val="auto"/>
          <w:sz w:val="24"/>
          <w:highlight w:val="none"/>
        </w:rPr>
        <w:t>磋商文件的供应商。</w:t>
      </w:r>
    </w:p>
    <w:p>
      <w:pPr>
        <w:pStyle w:val="78"/>
        <w:spacing w:before="24" w:after="24"/>
        <w:ind w:left="3313"/>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三、响应文件的编写</w:t>
      </w:r>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pPr>
        <w:pStyle w:val="5"/>
        <w:rPr>
          <w:rFonts w:hint="eastAsia" w:ascii="宋体" w:hAnsi="宋体" w:eastAsia="宋体" w:cs="宋体"/>
          <w:b/>
          <w:color w:val="auto"/>
          <w:sz w:val="24"/>
          <w:szCs w:val="21"/>
          <w:highlight w:val="none"/>
        </w:rPr>
      </w:pPr>
      <w:bookmarkStart w:id="164" w:name="_Toc184043023"/>
      <w:bookmarkStart w:id="165" w:name="_Toc70687150"/>
      <w:bookmarkStart w:id="166" w:name="_Toc30150"/>
      <w:bookmarkStart w:id="167" w:name="_Toc249525170"/>
      <w:bookmarkStart w:id="168" w:name="_Toc249515289"/>
      <w:bookmarkStart w:id="169" w:name="_Toc249515401"/>
      <w:bookmarkStart w:id="170" w:name="_Toc385992337"/>
      <w:bookmarkStart w:id="171" w:name="_Toc389620176"/>
      <w:r>
        <w:rPr>
          <w:rFonts w:hint="eastAsia" w:ascii="宋体" w:hAnsi="宋体" w:eastAsia="宋体" w:cs="宋体"/>
          <w:b/>
          <w:color w:val="auto"/>
          <w:sz w:val="24"/>
          <w:szCs w:val="21"/>
          <w:highlight w:val="none"/>
        </w:rPr>
        <w:t>8.     响应文件语言</w:t>
      </w:r>
      <w:bookmarkEnd w:id="164"/>
      <w:bookmarkEnd w:id="165"/>
      <w:bookmarkEnd w:id="166"/>
      <w:bookmarkEnd w:id="167"/>
      <w:bookmarkEnd w:id="168"/>
      <w:bookmarkEnd w:id="169"/>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8.1    响应文件及与响应相关的所有文件均应以中文书写。</w:t>
      </w:r>
    </w:p>
    <w:p>
      <w:pPr>
        <w:pStyle w:val="5"/>
        <w:rPr>
          <w:rFonts w:hint="eastAsia" w:ascii="宋体" w:hAnsi="宋体" w:eastAsia="宋体" w:cs="宋体"/>
          <w:b/>
          <w:color w:val="auto"/>
          <w:sz w:val="24"/>
          <w:szCs w:val="21"/>
          <w:highlight w:val="none"/>
        </w:rPr>
      </w:pPr>
      <w:bookmarkStart w:id="172" w:name="_Toc249525171"/>
      <w:bookmarkStart w:id="173" w:name="_Toc184043024"/>
      <w:bookmarkStart w:id="174" w:name="_Toc249515402"/>
      <w:bookmarkStart w:id="175" w:name="_Toc18327"/>
      <w:bookmarkStart w:id="176" w:name="_Toc249515290"/>
      <w:bookmarkStart w:id="177" w:name="_Toc70687151"/>
      <w:r>
        <w:rPr>
          <w:rFonts w:hint="eastAsia" w:ascii="宋体" w:hAnsi="宋体" w:eastAsia="宋体" w:cs="宋体"/>
          <w:b/>
          <w:color w:val="auto"/>
          <w:sz w:val="24"/>
          <w:szCs w:val="21"/>
          <w:highlight w:val="none"/>
        </w:rPr>
        <w:t>9.     计量单位</w:t>
      </w:r>
      <w:bookmarkEnd w:id="170"/>
      <w:bookmarkEnd w:id="171"/>
      <w:bookmarkEnd w:id="172"/>
      <w:bookmarkEnd w:id="173"/>
      <w:bookmarkEnd w:id="174"/>
      <w:bookmarkEnd w:id="175"/>
      <w:bookmarkEnd w:id="176"/>
      <w:bookmarkEnd w:id="177"/>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9.1    除在磋商文件的技术规格中另有规定外，计量单位应使用中华人民共和国法定计量单位。</w:t>
      </w:r>
    </w:p>
    <w:p>
      <w:pPr>
        <w:pStyle w:val="5"/>
        <w:rPr>
          <w:rFonts w:hint="eastAsia" w:ascii="宋体" w:hAnsi="宋体" w:eastAsia="宋体" w:cs="宋体"/>
          <w:b/>
          <w:color w:val="auto"/>
          <w:sz w:val="24"/>
          <w:szCs w:val="21"/>
          <w:highlight w:val="none"/>
        </w:rPr>
      </w:pPr>
      <w:bookmarkStart w:id="178" w:name="_Toc249525172"/>
      <w:bookmarkStart w:id="179" w:name="_Toc385992338"/>
      <w:bookmarkStart w:id="180" w:name="_Toc389620177"/>
      <w:bookmarkStart w:id="181" w:name="_Toc249515403"/>
      <w:bookmarkStart w:id="182" w:name="_Toc249515291"/>
      <w:bookmarkStart w:id="183" w:name="_Toc184043025"/>
      <w:bookmarkStart w:id="184" w:name="_Toc29318"/>
      <w:bookmarkStart w:id="185" w:name="_Toc70687152"/>
      <w:r>
        <w:rPr>
          <w:rFonts w:hint="eastAsia" w:ascii="宋体" w:hAnsi="宋体" w:eastAsia="宋体" w:cs="宋体"/>
          <w:b/>
          <w:color w:val="auto"/>
          <w:sz w:val="24"/>
          <w:szCs w:val="21"/>
          <w:highlight w:val="none"/>
        </w:rPr>
        <w:t>10.    响应文件的组成</w:t>
      </w:r>
      <w:bookmarkEnd w:id="178"/>
      <w:bookmarkEnd w:id="179"/>
      <w:bookmarkEnd w:id="180"/>
      <w:bookmarkEnd w:id="181"/>
      <w:bookmarkEnd w:id="182"/>
      <w:bookmarkEnd w:id="183"/>
      <w:bookmarkEnd w:id="184"/>
      <w:bookmarkEnd w:id="185"/>
    </w:p>
    <w:p>
      <w:pPr>
        <w:tabs>
          <w:tab w:val="left" w:pos="588"/>
        </w:tabs>
        <w:spacing w:line="360" w:lineRule="auto"/>
        <w:ind w:left="840" w:leftChars="0" w:hanging="840" w:hangingChars="350"/>
        <w:rPr>
          <w:rFonts w:hint="eastAsia" w:ascii="宋体" w:hAnsi="宋体" w:eastAsia="宋体" w:cs="宋体"/>
          <w:i w:val="0"/>
          <w:iCs w:val="0"/>
          <w:color w:val="auto"/>
          <w:sz w:val="24"/>
          <w:highlight w:val="none"/>
        </w:rPr>
      </w:pPr>
      <w:r>
        <w:rPr>
          <w:rFonts w:hint="eastAsia" w:ascii="宋体" w:hAnsi="宋体" w:eastAsia="宋体" w:cs="宋体"/>
          <w:color w:val="auto"/>
          <w:sz w:val="24"/>
          <w:highlight w:val="none"/>
        </w:rPr>
        <w:t xml:space="preserve">10.1   </w:t>
      </w:r>
      <w:r>
        <w:rPr>
          <w:rFonts w:hint="eastAsia" w:ascii="宋体" w:hAnsi="宋体" w:eastAsia="宋体" w:cs="宋体"/>
          <w:i w:val="0"/>
          <w:iCs w:val="0"/>
          <w:color w:val="auto"/>
          <w:sz w:val="24"/>
          <w:highlight w:val="none"/>
        </w:rPr>
        <w:t>供应商编写的响应文件</w:t>
      </w:r>
      <w:r>
        <w:rPr>
          <w:rFonts w:hint="eastAsia" w:ascii="宋体" w:hAnsi="宋体" w:eastAsia="宋体" w:cs="宋体"/>
          <w:b/>
          <w:i w:val="0"/>
          <w:iCs w:val="0"/>
          <w:color w:val="auto"/>
          <w:sz w:val="24"/>
          <w:highlight w:val="none"/>
        </w:rPr>
        <w:t>由资格证明文件、商务及技术文件两部分</w:t>
      </w:r>
      <w:r>
        <w:rPr>
          <w:rFonts w:hint="eastAsia" w:ascii="宋体" w:hAnsi="宋体" w:eastAsia="宋体" w:cs="宋体"/>
          <w:i w:val="0"/>
          <w:iCs w:val="0"/>
          <w:color w:val="auto"/>
          <w:sz w:val="24"/>
          <w:highlight w:val="none"/>
        </w:rPr>
        <w:t>组成。供应商应完整地按照磋商文件提供的响应文件格式及要求编写响应文件。响应文件中资格审查和符合性审查涉及的事项不满足要求的，其响应文件将被认定为无效。</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   供应商提供的以上材料必须真实有效，任何一项的虚假将导致其响应被拒绝。</w:t>
      </w:r>
    </w:p>
    <w:p>
      <w:pPr>
        <w:pStyle w:val="5"/>
        <w:rPr>
          <w:rFonts w:hint="eastAsia" w:ascii="宋体" w:hAnsi="宋体" w:eastAsia="宋体" w:cs="宋体"/>
          <w:b/>
          <w:color w:val="auto"/>
          <w:sz w:val="24"/>
          <w:szCs w:val="21"/>
          <w:highlight w:val="none"/>
        </w:rPr>
      </w:pPr>
      <w:bookmarkStart w:id="186" w:name="_Toc385992339"/>
      <w:bookmarkStart w:id="187" w:name="_Toc249515292"/>
      <w:bookmarkStart w:id="188" w:name="_Toc249525173"/>
      <w:bookmarkStart w:id="189" w:name="_Toc26312"/>
      <w:bookmarkStart w:id="190" w:name="_Toc184043026"/>
      <w:bookmarkStart w:id="191" w:name="_Toc249515404"/>
      <w:bookmarkStart w:id="192" w:name="_Toc70687153"/>
      <w:bookmarkStart w:id="193" w:name="_Toc389620178"/>
      <w:r>
        <w:rPr>
          <w:rFonts w:hint="eastAsia" w:ascii="宋体" w:hAnsi="宋体" w:eastAsia="宋体" w:cs="宋体"/>
          <w:b/>
          <w:color w:val="auto"/>
          <w:sz w:val="24"/>
          <w:highlight w:val="none"/>
        </w:rPr>
        <w:t>11.    响应文件格式</w:t>
      </w:r>
      <w:bookmarkEnd w:id="186"/>
      <w:bookmarkEnd w:id="187"/>
      <w:bookmarkEnd w:id="188"/>
      <w:bookmarkEnd w:id="189"/>
      <w:bookmarkEnd w:id="190"/>
      <w:bookmarkEnd w:id="191"/>
      <w:bookmarkEnd w:id="192"/>
      <w:bookmarkEnd w:id="193"/>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11.1   对于磋商文件第六章中已经提供了格式的响应文件内容，供应商必须按提供的响应文件格式进行填写和编制，没有提供格式的可自行设计。</w:t>
      </w:r>
    </w:p>
    <w:p>
      <w:pPr>
        <w:pStyle w:val="5"/>
        <w:rPr>
          <w:rFonts w:hint="eastAsia" w:ascii="宋体" w:hAnsi="宋体" w:eastAsia="宋体" w:cs="宋体"/>
          <w:b/>
          <w:color w:val="auto"/>
          <w:sz w:val="24"/>
          <w:szCs w:val="21"/>
          <w:highlight w:val="none"/>
        </w:rPr>
      </w:pPr>
      <w:bookmarkStart w:id="194" w:name="_Toc26688"/>
      <w:r>
        <w:rPr>
          <w:rFonts w:hint="eastAsia" w:ascii="宋体" w:hAnsi="宋体" w:eastAsia="宋体" w:cs="宋体"/>
          <w:b/>
          <w:color w:val="auto"/>
          <w:sz w:val="24"/>
          <w:szCs w:val="21"/>
          <w:highlight w:val="none"/>
        </w:rPr>
        <w:t>12.    响应报价</w:t>
      </w:r>
      <w:bookmarkEnd w:id="194"/>
    </w:p>
    <w:p>
      <w:pPr>
        <w:tabs>
          <w:tab w:val="left" w:pos="0"/>
          <w:tab w:val="left" w:pos="540"/>
          <w:tab w:val="left" w:pos="720"/>
        </w:tabs>
        <w:spacing w:line="360" w:lineRule="auto"/>
        <w:ind w:left="840" w:hanging="840" w:hangingChars="350"/>
        <w:rPr>
          <w:rFonts w:hint="eastAsia" w:ascii="宋体" w:hAnsi="宋体" w:eastAsia="宋体" w:cs="宋体"/>
          <w:color w:val="auto"/>
          <w:highlight w:val="none"/>
        </w:rPr>
      </w:pPr>
      <w:r>
        <w:rPr>
          <w:rFonts w:hint="eastAsia" w:ascii="宋体" w:hAnsi="宋体" w:eastAsia="宋体" w:cs="宋体"/>
          <w:color w:val="auto"/>
          <w:kern w:val="24"/>
          <w:sz w:val="24"/>
          <w:szCs w:val="21"/>
          <w:highlight w:val="none"/>
        </w:rPr>
        <w:t>12.1   响应报价应包括供应商为完成磋商文件中规定的本项目采购内容和范围所需要的全部费用，以及与所报货物、服务相关的所有税费，具体包括但不限于第五章列出的内容。供应商估算错误或漏项的风险一律由供应商承担。见</w:t>
      </w:r>
      <w:r>
        <w:rPr>
          <w:rFonts w:hint="eastAsia" w:ascii="宋体" w:hAnsi="宋体" w:eastAsia="宋体" w:cs="宋体"/>
          <w:b/>
          <w:color w:val="auto"/>
          <w:kern w:val="24"/>
          <w:sz w:val="24"/>
          <w:szCs w:val="21"/>
          <w:highlight w:val="none"/>
        </w:rPr>
        <w:t>供应商须知前附表。</w:t>
      </w:r>
    </w:p>
    <w:p>
      <w:pPr>
        <w:tabs>
          <w:tab w:val="left" w:pos="540"/>
          <w:tab w:val="left" w:pos="840"/>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12.2   供应商应在响应分项报价表中详细列出所报</w:t>
      </w:r>
      <w:r>
        <w:rPr>
          <w:rFonts w:hint="eastAsia" w:ascii="宋体" w:hAnsi="宋体" w:eastAsia="宋体" w:cs="宋体"/>
          <w:color w:val="auto"/>
          <w:kern w:val="24"/>
          <w:sz w:val="24"/>
          <w:szCs w:val="21"/>
          <w:highlight w:val="none"/>
          <w:lang w:val="en-US" w:eastAsia="zh-CN"/>
        </w:rPr>
        <w:t>服务</w:t>
      </w:r>
      <w:r>
        <w:rPr>
          <w:rFonts w:hint="eastAsia" w:ascii="宋体" w:hAnsi="宋体" w:eastAsia="宋体" w:cs="宋体"/>
          <w:color w:val="auto"/>
          <w:kern w:val="24"/>
          <w:sz w:val="24"/>
          <w:szCs w:val="21"/>
          <w:highlight w:val="none"/>
        </w:rPr>
        <w:t>的单价（如适用）和总价，并由法定代表人或其授权代表签署并加盖公章。响应分项报价表上的价格应按磋商文件第六章的格式填写。</w:t>
      </w:r>
    </w:p>
    <w:p>
      <w:pPr>
        <w:tabs>
          <w:tab w:val="left" w:pos="180"/>
          <w:tab w:val="left" w:pos="540"/>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12.3   响应分项报价表的总价应和响应报价一览表的响应报价相一致，也包括供应商为完成本项目所发生的一切费用且已包括与所报服务相关的所有税费。若响应分项报价表的总价和响应报价一览表的响应报价不一致，则供应商的报价以《响应报价一览表》的响应报价为准。</w:t>
      </w:r>
    </w:p>
    <w:p>
      <w:pPr>
        <w:tabs>
          <w:tab w:val="left" w:pos="180"/>
          <w:tab w:val="left" w:pos="540"/>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12.4   供应商的所报单价在合同执行过程中是固定不变的，未经采购人许可不得以任何理由予以变更。以可调整的价格提交的响应文件将作为非实质性响应而予以拒绝。</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12.5   供应商每次对每种</w:t>
      </w:r>
      <w:r>
        <w:rPr>
          <w:rFonts w:hint="eastAsia" w:ascii="宋体" w:hAnsi="宋体" w:eastAsia="宋体" w:cs="宋体"/>
          <w:color w:val="auto"/>
          <w:kern w:val="24"/>
          <w:sz w:val="24"/>
          <w:szCs w:val="21"/>
          <w:highlight w:val="none"/>
          <w:u w:val="single"/>
        </w:rPr>
        <w:t xml:space="preserve"> </w:t>
      </w:r>
      <w:r>
        <w:rPr>
          <w:rFonts w:hint="eastAsia" w:ascii="宋体" w:hAnsi="宋体" w:eastAsia="宋体" w:cs="宋体"/>
          <w:color w:val="auto"/>
          <w:kern w:val="24"/>
          <w:sz w:val="24"/>
          <w:szCs w:val="21"/>
          <w:highlight w:val="none"/>
          <w:u w:val="single"/>
          <w:lang w:val="en-US" w:eastAsia="zh-CN"/>
        </w:rPr>
        <w:t>服务</w:t>
      </w:r>
      <w:r>
        <w:rPr>
          <w:rFonts w:hint="eastAsia" w:ascii="宋体" w:hAnsi="宋体" w:eastAsia="宋体" w:cs="宋体"/>
          <w:color w:val="auto"/>
          <w:kern w:val="24"/>
          <w:sz w:val="24"/>
          <w:szCs w:val="21"/>
          <w:highlight w:val="none"/>
          <w:u w:val="single"/>
        </w:rPr>
        <w:t xml:space="preserve"> </w:t>
      </w:r>
      <w:r>
        <w:rPr>
          <w:rFonts w:hint="eastAsia" w:ascii="宋体" w:hAnsi="宋体" w:eastAsia="宋体" w:cs="宋体"/>
          <w:color w:val="auto"/>
          <w:kern w:val="24"/>
          <w:sz w:val="24"/>
          <w:szCs w:val="21"/>
          <w:highlight w:val="none"/>
        </w:rPr>
        <w:t>只允许有一个报价，采购人不接受有任何选择的报价。</w:t>
      </w:r>
    </w:p>
    <w:p>
      <w:pPr>
        <w:tabs>
          <w:tab w:val="left" w:pos="180"/>
          <w:tab w:val="left" w:pos="540"/>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sz w:val="24"/>
          <w:highlight w:val="none"/>
        </w:rPr>
        <w:t>12.6   供应商根据本须知12.2条规定将响应报价分成几部分并按</w:t>
      </w:r>
      <w:r>
        <w:rPr>
          <w:rFonts w:hint="eastAsia" w:ascii="宋体" w:hAnsi="宋体" w:eastAsia="宋体" w:cs="宋体"/>
          <w:color w:val="auto"/>
          <w:kern w:val="24"/>
          <w:sz w:val="24"/>
          <w:szCs w:val="21"/>
          <w:highlight w:val="none"/>
        </w:rPr>
        <w:t>磋商文件第六章提供的格式填写“响应分项报价表”，只是为了方便采购人对响应文件进行比较，并不限制采购人以其它方式签订合同的权力。</w:t>
      </w:r>
    </w:p>
    <w:p>
      <w:pPr>
        <w:pStyle w:val="5"/>
        <w:rPr>
          <w:rFonts w:hint="eastAsia" w:ascii="宋体" w:hAnsi="宋体" w:eastAsia="宋体" w:cs="宋体"/>
          <w:b/>
          <w:color w:val="auto"/>
          <w:sz w:val="24"/>
          <w:szCs w:val="21"/>
          <w:highlight w:val="none"/>
        </w:rPr>
      </w:pPr>
      <w:bookmarkStart w:id="195" w:name="_Toc249525175"/>
      <w:bookmarkStart w:id="196" w:name="_Toc385992341"/>
      <w:bookmarkStart w:id="197" w:name="_Toc389620180"/>
      <w:bookmarkStart w:id="198" w:name="_Toc184043028"/>
      <w:bookmarkStart w:id="199" w:name="_Toc249515406"/>
      <w:bookmarkStart w:id="200" w:name="_Toc249515294"/>
      <w:bookmarkStart w:id="201" w:name="_Toc70687155"/>
      <w:bookmarkStart w:id="202" w:name="_Toc20687"/>
      <w:r>
        <w:rPr>
          <w:rFonts w:hint="eastAsia" w:ascii="宋体" w:hAnsi="宋体" w:eastAsia="宋体" w:cs="宋体"/>
          <w:b/>
          <w:color w:val="auto"/>
          <w:sz w:val="24"/>
          <w:szCs w:val="21"/>
          <w:highlight w:val="none"/>
        </w:rPr>
        <w:t>13.    报价货币</w:t>
      </w:r>
      <w:bookmarkEnd w:id="195"/>
      <w:bookmarkEnd w:id="196"/>
      <w:bookmarkEnd w:id="197"/>
      <w:bookmarkEnd w:id="198"/>
      <w:bookmarkEnd w:id="199"/>
      <w:bookmarkEnd w:id="200"/>
      <w:bookmarkEnd w:id="201"/>
      <w:bookmarkEnd w:id="202"/>
    </w:p>
    <w:p>
      <w:pPr>
        <w:tabs>
          <w:tab w:val="left" w:pos="180"/>
          <w:tab w:val="left" w:pos="540"/>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12.3   磋商响应函、响应报价一览表、响应分项报价表、最后报价表等所有报价一律用人民币填报。采购人不接受任何非人民币币种的报价。</w:t>
      </w:r>
      <w:bookmarkStart w:id="203" w:name="_Toc385992342"/>
      <w:bookmarkStart w:id="204" w:name="_Toc389620181"/>
    </w:p>
    <w:bookmarkEnd w:id="203"/>
    <w:bookmarkEnd w:id="204"/>
    <w:p>
      <w:pPr>
        <w:pStyle w:val="5"/>
        <w:rPr>
          <w:rFonts w:hint="eastAsia" w:ascii="宋体" w:hAnsi="宋体" w:eastAsia="宋体" w:cs="宋体"/>
          <w:b/>
          <w:color w:val="auto"/>
          <w:kern w:val="24"/>
          <w:sz w:val="24"/>
          <w:szCs w:val="21"/>
          <w:highlight w:val="none"/>
        </w:rPr>
      </w:pPr>
      <w:bookmarkStart w:id="205" w:name="止观"/>
      <w:bookmarkEnd w:id="205"/>
      <w:r>
        <w:rPr>
          <w:rFonts w:hint="eastAsia" w:ascii="宋体" w:hAnsi="宋体" w:eastAsia="宋体" w:cs="宋体"/>
          <w:b/>
          <w:color w:val="auto"/>
          <w:sz w:val="24"/>
          <w:szCs w:val="21"/>
          <w:highlight w:val="none"/>
        </w:rPr>
        <w:t>14.    磋商保证金</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sz w:val="24"/>
          <w:szCs w:val="21"/>
          <w:highlight w:val="none"/>
        </w:rPr>
        <w:t>14.1   本项目须在磋商前向采购代理机构提供</w:t>
      </w:r>
      <w:r>
        <w:rPr>
          <w:rFonts w:hint="eastAsia" w:ascii="宋体" w:hAnsi="宋体" w:eastAsia="宋体" w:cs="宋体"/>
          <w:b/>
          <w:color w:val="auto"/>
          <w:sz w:val="24"/>
          <w:szCs w:val="21"/>
          <w:highlight w:val="none"/>
        </w:rPr>
        <w:t>供应商须知前附表</w:t>
      </w:r>
      <w:r>
        <w:rPr>
          <w:rFonts w:hint="eastAsia" w:ascii="宋体" w:hAnsi="宋体" w:eastAsia="宋体" w:cs="宋体"/>
          <w:color w:val="auto"/>
          <w:sz w:val="24"/>
          <w:szCs w:val="21"/>
          <w:highlight w:val="none"/>
        </w:rPr>
        <w:t>规定金额的保证金，并作为其响应文件的一部分。</w:t>
      </w:r>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14.2   保证金的货币为人民币，并采用下列任何一种非现金形式向采购代理机构递交：</w:t>
      </w:r>
    </w:p>
    <w:p>
      <w:pPr>
        <w:numPr>
          <w:ilvl w:val="0"/>
          <w:numId w:val="7"/>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电汇；</w:t>
      </w:r>
    </w:p>
    <w:p>
      <w:pPr>
        <w:numPr>
          <w:ilvl w:val="0"/>
          <w:numId w:val="7"/>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银行转账；</w:t>
      </w:r>
    </w:p>
    <w:p>
      <w:pPr>
        <w:numPr>
          <w:ilvl w:val="0"/>
          <w:numId w:val="7"/>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支票、汇票、本票、金融机构或担保机构出具的保函等非现金形式。</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14.3   保证金以保函形式交纳的，供应商须按磋商文件附件1格式和内容开具保函，并将保函原件附在磋商响应文件中或随磋商响应文件同时递交，否则视为无效文件。联合体参加磋商的，可以由联合体中的一方或者共同提交保证金，以一方提交保证金的，对联合体各方均具有约束力。</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14.4   凡没有根据本须知第14.1条的规定随附保证金的响应文件，将被视为非响应性予以拒绝。</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14.5   未成交供应商的保证金, 采购代理机构将在成交通知书发出后5个工作日内退还。</w:t>
      </w:r>
    </w:p>
    <w:p>
      <w:pPr>
        <w:tabs>
          <w:tab w:val="left" w:pos="588"/>
        </w:tabs>
        <w:spacing w:line="360" w:lineRule="auto"/>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14.6   成交供应商的保证金在按本须知第26条规定签订合同后5个工作日退还。</w:t>
      </w:r>
    </w:p>
    <w:p>
      <w:pPr>
        <w:tabs>
          <w:tab w:val="left" w:pos="588"/>
        </w:tabs>
        <w:spacing w:line="360" w:lineRule="auto"/>
        <w:ind w:left="840" w:hanging="840" w:hangingChars="350"/>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14.7   成交供应商有下列情形之一的，采购代理机构不予退还其交纳的保证金，并在项目财政主管部门备案；情节严重的，由财政部门将其列入不良行为纪录名单予以通报，在一至三年内禁止参加政府采购活动：</w:t>
      </w:r>
    </w:p>
    <w:p>
      <w:pPr>
        <w:numPr>
          <w:ilvl w:val="0"/>
          <w:numId w:val="8"/>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供应商在提交响应文件截止时间后撤销响应文件的；</w:t>
      </w:r>
    </w:p>
    <w:p>
      <w:pPr>
        <w:numPr>
          <w:ilvl w:val="0"/>
          <w:numId w:val="8"/>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供应商在响应文件中提供虚假材料的；</w:t>
      </w:r>
    </w:p>
    <w:p>
      <w:pPr>
        <w:numPr>
          <w:ilvl w:val="0"/>
          <w:numId w:val="8"/>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 xml:space="preserve">除因不可抗力外，成交供应商在规定期限内未能根据本须知第26条规定签订合同； </w:t>
      </w:r>
    </w:p>
    <w:p>
      <w:pPr>
        <w:numPr>
          <w:ilvl w:val="0"/>
          <w:numId w:val="8"/>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供应商与采购人、其他供应商或者采购代理机构恶意串通的；</w:t>
      </w:r>
    </w:p>
    <w:p>
      <w:pPr>
        <w:numPr>
          <w:ilvl w:val="0"/>
          <w:numId w:val="8"/>
        </w:numPr>
        <w:tabs>
          <w:tab w:val="left" w:pos="588"/>
        </w:tabs>
        <w:spacing w:line="360" w:lineRule="auto"/>
        <w:ind w:hanging="5"/>
        <w:rPr>
          <w:rFonts w:hint="eastAsia" w:ascii="宋体" w:hAnsi="宋体" w:eastAsia="宋体" w:cs="宋体"/>
          <w:color w:val="auto"/>
          <w:kern w:val="24"/>
          <w:sz w:val="24"/>
          <w:szCs w:val="21"/>
          <w:highlight w:val="none"/>
        </w:rPr>
      </w:pPr>
      <w:r>
        <w:rPr>
          <w:rFonts w:hint="eastAsia" w:ascii="宋体" w:hAnsi="宋体" w:eastAsia="宋体" w:cs="宋体"/>
          <w:color w:val="auto"/>
          <w:kern w:val="24"/>
          <w:sz w:val="24"/>
          <w:szCs w:val="21"/>
          <w:highlight w:val="none"/>
        </w:rPr>
        <w:t>成交供应商未按本须知第29条规定缴纳服务费。</w:t>
      </w:r>
    </w:p>
    <w:p>
      <w:pPr>
        <w:pStyle w:val="5"/>
        <w:rPr>
          <w:rFonts w:hint="eastAsia" w:ascii="宋体" w:hAnsi="宋体" w:eastAsia="宋体" w:cs="宋体"/>
          <w:b/>
          <w:color w:val="auto"/>
          <w:sz w:val="24"/>
          <w:szCs w:val="21"/>
          <w:highlight w:val="none"/>
        </w:rPr>
      </w:pPr>
      <w:bookmarkStart w:id="206" w:name="_Toc249515296"/>
      <w:bookmarkStart w:id="207" w:name="_Toc7949"/>
      <w:bookmarkStart w:id="208" w:name="_Toc249525177"/>
      <w:bookmarkStart w:id="209" w:name="_Toc249515408"/>
      <w:r>
        <w:rPr>
          <w:rFonts w:hint="eastAsia" w:ascii="宋体" w:hAnsi="宋体" w:eastAsia="宋体" w:cs="宋体"/>
          <w:b/>
          <w:color w:val="auto"/>
          <w:sz w:val="24"/>
          <w:szCs w:val="21"/>
          <w:highlight w:val="none"/>
        </w:rPr>
        <w:t>15.    磋商有效期</w:t>
      </w:r>
      <w:bookmarkEnd w:id="206"/>
      <w:bookmarkEnd w:id="207"/>
      <w:bookmarkEnd w:id="208"/>
      <w:bookmarkEnd w:id="209"/>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15.1   磋商有效期见</w:t>
      </w:r>
      <w:r>
        <w:rPr>
          <w:rFonts w:hint="eastAsia" w:ascii="宋体" w:hAnsi="宋体" w:eastAsia="宋体" w:cs="宋体"/>
          <w:b/>
          <w:color w:val="auto"/>
          <w:sz w:val="24"/>
          <w:highlight w:val="none"/>
        </w:rPr>
        <w:t>本须知前附表</w:t>
      </w:r>
      <w:r>
        <w:rPr>
          <w:rFonts w:hint="eastAsia" w:ascii="宋体" w:hAnsi="宋体" w:eastAsia="宋体" w:cs="宋体"/>
          <w:color w:val="auto"/>
          <w:sz w:val="24"/>
          <w:highlight w:val="none"/>
        </w:rPr>
        <w:t>。在磋商有效期内，所有响应文件均保持有效。响应文件的有效期比本须知规定的有效期短的，将被视为非实质响应，采购人有权拒绝。</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15.2   特殊情况下，采购人可于原磋商有效期满之前要求供应商同意延长有效期，要求与答复均应为书面形式。供应商可以拒绝上述要求，其投标保证金不被没收。对于同意该要求的供应商，既不要求也不允许其修改响应文件，但将要求其相应延长磋商保证金的有效期，有关退还和保证金不予退还的规定在磋商有效期的延长期内继续有效。</w:t>
      </w:r>
    </w:p>
    <w:p>
      <w:pPr>
        <w:pStyle w:val="5"/>
        <w:rPr>
          <w:rFonts w:hint="eastAsia" w:ascii="宋体" w:hAnsi="宋体" w:eastAsia="宋体" w:cs="宋体"/>
          <w:b/>
          <w:color w:val="auto"/>
          <w:sz w:val="24"/>
          <w:szCs w:val="21"/>
          <w:highlight w:val="none"/>
        </w:rPr>
      </w:pPr>
      <w:bookmarkStart w:id="210" w:name="_Toc70687160"/>
      <w:bookmarkStart w:id="211" w:name="_Toc184043033"/>
      <w:bookmarkStart w:id="212" w:name="_Toc16612"/>
      <w:bookmarkStart w:id="213" w:name="_Toc249515297"/>
      <w:bookmarkStart w:id="214" w:name="_Toc249525178"/>
      <w:bookmarkStart w:id="215" w:name="_Toc389620185"/>
      <w:bookmarkStart w:id="216" w:name="_Toc385992346"/>
      <w:bookmarkStart w:id="217" w:name="_Toc249515409"/>
      <w:r>
        <w:rPr>
          <w:rFonts w:hint="eastAsia" w:ascii="宋体" w:hAnsi="宋体" w:eastAsia="宋体" w:cs="宋体"/>
          <w:b/>
          <w:color w:val="auto"/>
          <w:sz w:val="24"/>
          <w:szCs w:val="21"/>
          <w:highlight w:val="none"/>
        </w:rPr>
        <w:t>16.    响应文件的制作和签署</w:t>
      </w:r>
      <w:bookmarkEnd w:id="210"/>
      <w:bookmarkEnd w:id="211"/>
      <w:bookmarkEnd w:id="212"/>
      <w:bookmarkEnd w:id="213"/>
      <w:bookmarkEnd w:id="214"/>
      <w:bookmarkEnd w:id="215"/>
      <w:bookmarkEnd w:id="216"/>
      <w:bookmarkEnd w:id="217"/>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16.1   供应商应准备一份响应文件正本和“</w:t>
      </w:r>
      <w:r>
        <w:rPr>
          <w:rFonts w:hint="eastAsia" w:ascii="宋体" w:hAnsi="宋体" w:eastAsia="宋体" w:cs="宋体"/>
          <w:b/>
          <w:color w:val="auto"/>
          <w:sz w:val="24"/>
          <w:highlight w:val="none"/>
        </w:rPr>
        <w:t>供应商须知前附表</w:t>
      </w:r>
      <w:r>
        <w:rPr>
          <w:rFonts w:hint="eastAsia" w:ascii="宋体" w:hAnsi="宋体" w:eastAsia="宋体" w:cs="宋体"/>
          <w:color w:val="auto"/>
          <w:sz w:val="24"/>
          <w:highlight w:val="none"/>
        </w:rPr>
        <w:t>”中规定数目的副本，每套响应文件须清楚地标明“正本”、“副本”。若正本和副本不符，以正本为准。</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16.2   响应文件须用中文编写，并采用A4纸张装订成册。装订须牢固，不易拆散和换页，采用软胶装，不得采用活页方式装订，封面不建议硬装。</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16.3   响应文件的正本，一律用不褪色的墨水书写或打印，签字页加盖供应商单位公章，并由供应商的法定代表人或其授权的代理人签署。响应文件的副本可采用正本的复印件。</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16.4   任何行间插字、涂改或增删，必须由响应文件签字人将姓或首字母在旁边签字才有效。</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16.5   采购人不接受以电报、电话、传真、电子邮件形式递交的响应文件。</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16.6   供应商在磋商过程中，签订、履行、通知等事项的书面文件中的单位盖章、印章、公章等处均应使用与供应商全称相一致的公章，不得使用其他形式（如带有“专用章”等字样）的印章。如响应过程中供应商使用专用章，须提供特别说明函，明确该专用章作为相关响应文件的盖章，其效力等同于公章（该特别说明函须同时加盖供应商公章和供应商专用章）。</w:t>
      </w:r>
    </w:p>
    <w:p>
      <w:pPr>
        <w:tabs>
          <w:tab w:val="left" w:pos="588"/>
        </w:tabs>
        <w:spacing w:line="360" w:lineRule="auto"/>
        <w:ind w:left="840" w:hanging="840" w:hangingChars="350"/>
        <w:rPr>
          <w:rFonts w:hint="eastAsia" w:ascii="宋体" w:hAnsi="宋体" w:eastAsia="宋体" w:cs="宋体"/>
          <w:color w:val="auto"/>
          <w:sz w:val="24"/>
          <w:highlight w:val="none"/>
        </w:rPr>
      </w:pPr>
      <w:bookmarkStart w:id="218" w:name="_Hlt491765640"/>
      <w:bookmarkEnd w:id="218"/>
      <w:bookmarkStart w:id="219" w:name="_Toc177995477"/>
      <w:bookmarkStart w:id="220" w:name="_Toc500747066"/>
      <w:bookmarkStart w:id="221" w:name="_Toc177189239"/>
      <w:bookmarkStart w:id="222" w:name="_Toc176882546"/>
      <w:bookmarkStart w:id="223" w:name="_Toc385992347"/>
      <w:bookmarkStart w:id="224" w:name="_Toc230013636"/>
      <w:bookmarkStart w:id="225" w:name="_Toc177817338"/>
      <w:bookmarkStart w:id="226" w:name="_Toc232176276"/>
      <w:bookmarkStart w:id="227" w:name="_Toc499711047"/>
      <w:bookmarkStart w:id="228" w:name="_Toc70687161"/>
      <w:bookmarkStart w:id="229" w:name="_Toc249525179"/>
      <w:bookmarkStart w:id="230" w:name="_Toc499711888"/>
      <w:bookmarkStart w:id="231" w:name="_Toc496324583"/>
      <w:bookmarkStart w:id="232" w:name="_Toc503063426"/>
      <w:bookmarkStart w:id="233" w:name="_Toc230583545"/>
      <w:bookmarkStart w:id="234" w:name="_Toc249515298"/>
      <w:bookmarkStart w:id="235" w:name="_Toc53722844"/>
      <w:bookmarkStart w:id="236" w:name="_Toc256342147"/>
      <w:bookmarkStart w:id="237" w:name="_Toc184043034"/>
      <w:bookmarkStart w:id="238" w:name="_Toc500747193"/>
      <w:bookmarkStart w:id="239" w:name="_Toc230099801"/>
      <w:bookmarkStart w:id="240" w:name="_Toc249515410"/>
      <w:bookmarkStart w:id="241" w:name="_Toc232395216"/>
      <w:bookmarkStart w:id="242" w:name="_Toc389620186"/>
      <w:bookmarkStart w:id="243" w:name="_Toc500746970"/>
      <w:bookmarkStart w:id="244" w:name="_Toc492955419"/>
      <w:r>
        <w:rPr>
          <w:rFonts w:hint="eastAsia" w:ascii="宋体" w:hAnsi="宋体" w:eastAsia="宋体" w:cs="宋体"/>
          <w:color w:val="auto"/>
          <w:sz w:val="24"/>
          <w:highlight w:val="none"/>
        </w:rPr>
        <w:t>16.7   响应文件应按照“资格证明文件”和“商务及技术文件”分成两部分，并用不可拆装的方式分别装订成册。</w:t>
      </w:r>
    </w:p>
    <w:p>
      <w:pPr>
        <w:pStyle w:val="78"/>
        <w:spacing w:before="24" w:after="24"/>
        <w:jc w:val="center"/>
        <w:rPr>
          <w:rFonts w:hint="eastAsia" w:ascii="宋体" w:hAnsi="宋体" w:eastAsia="宋体" w:cs="宋体"/>
          <w:color w:val="auto"/>
          <w:sz w:val="30"/>
          <w:szCs w:val="30"/>
          <w:highlight w:val="none"/>
        </w:rPr>
      </w:pPr>
      <w:bookmarkStart w:id="245" w:name="_Toc68590972"/>
      <w:r>
        <w:rPr>
          <w:rFonts w:hint="eastAsia" w:ascii="宋体" w:hAnsi="宋体" w:eastAsia="宋体" w:cs="宋体"/>
          <w:color w:val="auto"/>
          <w:sz w:val="30"/>
          <w:szCs w:val="30"/>
          <w:highlight w:val="none"/>
        </w:rPr>
        <w:t>四、响应文件的密封和递交</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pPr>
        <w:rPr>
          <w:rFonts w:hint="eastAsia" w:ascii="宋体" w:hAnsi="宋体" w:eastAsia="宋体" w:cs="宋体"/>
          <w:color w:val="auto"/>
          <w:highlight w:val="none"/>
        </w:rPr>
      </w:pPr>
    </w:p>
    <w:p>
      <w:pPr>
        <w:pStyle w:val="5"/>
        <w:rPr>
          <w:rFonts w:hint="eastAsia" w:ascii="宋体" w:hAnsi="宋体" w:eastAsia="宋体" w:cs="宋体"/>
          <w:b/>
          <w:color w:val="auto"/>
          <w:sz w:val="24"/>
          <w:szCs w:val="21"/>
          <w:highlight w:val="none"/>
        </w:rPr>
      </w:pPr>
      <w:bookmarkStart w:id="246" w:name="_Toc249515299"/>
      <w:bookmarkStart w:id="247" w:name="_Toc70687162"/>
      <w:bookmarkStart w:id="248" w:name="_Toc184043035"/>
      <w:bookmarkStart w:id="249" w:name="_Toc385992348"/>
      <w:bookmarkStart w:id="250" w:name="_Toc389620187"/>
      <w:bookmarkStart w:id="251" w:name="_Toc4042"/>
      <w:bookmarkStart w:id="252" w:name="_Toc249525180"/>
      <w:bookmarkStart w:id="253" w:name="_Toc249515411"/>
      <w:r>
        <w:rPr>
          <w:rFonts w:hint="eastAsia" w:ascii="宋体" w:hAnsi="宋体" w:eastAsia="宋体" w:cs="宋体"/>
          <w:b/>
          <w:color w:val="auto"/>
          <w:sz w:val="24"/>
          <w:szCs w:val="21"/>
          <w:highlight w:val="none"/>
        </w:rPr>
        <w:t>17.    响应文件的密封和标记</w:t>
      </w:r>
      <w:bookmarkEnd w:id="246"/>
      <w:bookmarkEnd w:id="247"/>
      <w:bookmarkEnd w:id="248"/>
      <w:bookmarkEnd w:id="249"/>
      <w:bookmarkEnd w:id="250"/>
      <w:bookmarkEnd w:id="251"/>
      <w:bookmarkEnd w:id="252"/>
      <w:bookmarkEnd w:id="253"/>
    </w:p>
    <w:p>
      <w:pPr>
        <w:tabs>
          <w:tab w:val="left" w:pos="588"/>
        </w:tabs>
        <w:spacing w:line="360" w:lineRule="auto"/>
        <w:ind w:left="960" w:hanging="960" w:hangingChars="400"/>
        <w:rPr>
          <w:rFonts w:hint="eastAsia" w:ascii="宋体" w:hAnsi="宋体" w:eastAsia="宋体" w:cs="宋体"/>
          <w:color w:val="auto"/>
          <w:sz w:val="24"/>
          <w:highlight w:val="none"/>
        </w:rPr>
      </w:pPr>
      <w:bookmarkStart w:id="254" w:name="_Toc389620188"/>
      <w:bookmarkStart w:id="255" w:name="_Toc385992349"/>
      <w:bookmarkStart w:id="256" w:name="_Toc70687163"/>
      <w:bookmarkStart w:id="257" w:name="_Toc184043036"/>
      <w:r>
        <w:rPr>
          <w:rFonts w:hint="eastAsia" w:ascii="宋体" w:hAnsi="宋体" w:eastAsia="宋体" w:cs="宋体"/>
          <w:color w:val="auto"/>
          <w:sz w:val="24"/>
          <w:highlight w:val="none"/>
        </w:rPr>
        <w:t>17.1   供应商应将纸质竞争性磋商响应文件一正两副、电子版（U盘）统一密封在一个密封袋中，加贴封条，封口处应加盖公章或授权代表签字。</w:t>
      </w:r>
    </w:p>
    <w:p>
      <w:pPr>
        <w:tabs>
          <w:tab w:val="left" w:pos="588"/>
        </w:tabs>
        <w:spacing w:line="360" w:lineRule="auto"/>
        <w:ind w:left="960" w:hanging="960" w:hanging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17.2   密封袋（箱）上标识的内容见供应商须知前附表。响应文件如果未按上述规定密封和标记，采购代理机构应当拒绝接收。</w:t>
      </w:r>
    </w:p>
    <w:p>
      <w:pPr>
        <w:tabs>
          <w:tab w:val="left" w:pos="588"/>
        </w:tabs>
        <w:spacing w:line="360" w:lineRule="auto"/>
        <w:ind w:left="960" w:hanging="960" w:hangingChars="4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17.3   电子版磋商相应文件递交</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17.3   书面方式不能准确描述采购需求或者需要对样品进行主观判断以确认是否满足采购需求的情况下需提交样品。成交单位样品不予退还，成为合同内容的一部分，做为验收依据。样品的要求见</w:t>
      </w:r>
      <w:r>
        <w:rPr>
          <w:rFonts w:hint="eastAsia" w:ascii="宋体" w:hAnsi="宋体" w:eastAsia="宋体" w:cs="宋体"/>
          <w:b/>
          <w:color w:val="auto"/>
          <w:sz w:val="24"/>
          <w:highlight w:val="none"/>
        </w:rPr>
        <w:t>供应商须知前附表</w:t>
      </w:r>
      <w:r>
        <w:rPr>
          <w:rFonts w:hint="eastAsia" w:ascii="宋体" w:hAnsi="宋体" w:eastAsia="宋体" w:cs="宋体"/>
          <w:color w:val="auto"/>
          <w:sz w:val="24"/>
          <w:highlight w:val="none"/>
        </w:rPr>
        <w:t>。</w:t>
      </w:r>
    </w:p>
    <w:bookmarkEnd w:id="254"/>
    <w:bookmarkEnd w:id="255"/>
    <w:p>
      <w:pPr>
        <w:pStyle w:val="5"/>
        <w:rPr>
          <w:rFonts w:hint="eastAsia" w:ascii="宋体" w:hAnsi="宋体" w:eastAsia="宋体" w:cs="宋体"/>
          <w:b/>
          <w:color w:val="auto"/>
          <w:sz w:val="24"/>
          <w:szCs w:val="21"/>
          <w:highlight w:val="none"/>
        </w:rPr>
      </w:pPr>
      <w:bookmarkStart w:id="258" w:name="_Toc249515300"/>
      <w:bookmarkStart w:id="259" w:name="_Toc249515412"/>
      <w:bookmarkStart w:id="260" w:name="_Toc31171"/>
      <w:bookmarkStart w:id="261" w:name="_Toc249525181"/>
      <w:r>
        <w:rPr>
          <w:rFonts w:hint="eastAsia" w:ascii="宋体" w:hAnsi="宋体" w:eastAsia="宋体" w:cs="宋体"/>
          <w:b/>
          <w:color w:val="auto"/>
          <w:sz w:val="24"/>
          <w:szCs w:val="21"/>
          <w:highlight w:val="none"/>
        </w:rPr>
        <w:t>18.    响应文件递交截止时间</w:t>
      </w:r>
      <w:bookmarkEnd w:id="256"/>
      <w:bookmarkEnd w:id="257"/>
      <w:bookmarkEnd w:id="258"/>
      <w:bookmarkEnd w:id="259"/>
      <w:bookmarkEnd w:id="260"/>
      <w:bookmarkEnd w:id="261"/>
    </w:p>
    <w:p>
      <w:pPr>
        <w:tabs>
          <w:tab w:val="left" w:pos="588"/>
        </w:tabs>
        <w:spacing w:line="360" w:lineRule="auto"/>
        <w:ind w:left="840" w:hanging="840" w:hangingChars="350"/>
        <w:rPr>
          <w:rFonts w:hint="eastAsia" w:ascii="宋体" w:hAnsi="宋体" w:eastAsia="宋体" w:cs="宋体"/>
          <w:color w:val="auto"/>
          <w:sz w:val="24"/>
          <w:highlight w:val="none"/>
        </w:rPr>
      </w:pPr>
      <w:bookmarkStart w:id="262" w:name="_Toc184043037"/>
      <w:bookmarkStart w:id="263" w:name="_Toc70687164"/>
      <w:bookmarkStart w:id="264" w:name="_Toc389620189"/>
      <w:bookmarkStart w:id="265" w:name="_Toc385992350"/>
      <w:r>
        <w:rPr>
          <w:rFonts w:hint="eastAsia" w:ascii="宋体" w:hAnsi="宋体" w:eastAsia="宋体" w:cs="宋体"/>
          <w:color w:val="auto"/>
          <w:sz w:val="24"/>
          <w:highlight w:val="none"/>
        </w:rPr>
        <w:t>18.1   响应文件递交截止时间和地点见供应商须知前附表。</w:t>
      </w:r>
    </w:p>
    <w:p>
      <w:pPr>
        <w:tabs>
          <w:tab w:val="left" w:pos="588"/>
        </w:tabs>
        <w:spacing w:line="360" w:lineRule="auto"/>
        <w:ind w:left="840" w:hanging="840" w:hangingChars="35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18.2.   电子版磋商响应文件递交</w:t>
      </w:r>
    </w:p>
    <w:p>
      <w:pPr>
        <w:tabs>
          <w:tab w:val="left" w:pos="588"/>
        </w:tabs>
        <w:spacing w:line="360" w:lineRule="auto"/>
        <w:ind w:left="958" w:leftChars="456" w:firstLine="120" w:firstLine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应根据竞争性磋商文件的要求使用电子交易平台提供的标书制作工具完成竞争性磋商响应文件的编制、签章和加密（加密和解密须用同一个数字证书），并在磋商截止时间前完成电子化竞争性磋商响应文件的上传，确保上传的电子化竞争性磋商响应文件的完整性、准确性及保密性。</w:t>
      </w:r>
    </w:p>
    <w:p>
      <w:pPr>
        <w:tabs>
          <w:tab w:val="left" w:pos="588"/>
        </w:tabs>
        <w:spacing w:line="360" w:lineRule="auto"/>
        <w:ind w:left="840" w:hanging="840" w:hangingChars="350"/>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rPr>
        <w:t>18.</w:t>
      </w:r>
      <w:r>
        <w:rPr>
          <w:rFonts w:hint="eastAsia" w:ascii="宋体" w:hAnsi="宋体" w:eastAsia="宋体" w:cs="宋体"/>
          <w:i w:val="0"/>
          <w:iCs w:val="0"/>
          <w:color w:val="auto"/>
          <w:sz w:val="24"/>
          <w:highlight w:val="none"/>
          <w:lang w:val="en-US" w:eastAsia="zh-CN"/>
        </w:rPr>
        <w:t>3</w:t>
      </w:r>
      <w:r>
        <w:rPr>
          <w:rFonts w:hint="eastAsia" w:ascii="宋体" w:hAnsi="宋体" w:eastAsia="宋体" w:cs="宋体"/>
          <w:i w:val="0"/>
          <w:iCs w:val="0"/>
          <w:color w:val="auto"/>
          <w:sz w:val="24"/>
          <w:highlight w:val="none"/>
        </w:rPr>
        <w:t xml:space="preserve">   </w:t>
      </w:r>
      <w:r>
        <w:rPr>
          <w:rFonts w:hint="eastAsia" w:ascii="宋体" w:hAnsi="宋体" w:eastAsia="宋体" w:cs="宋体"/>
          <w:i w:val="0"/>
          <w:iCs w:val="0"/>
          <w:color w:val="auto"/>
          <w:sz w:val="24"/>
          <w:highlight w:val="none"/>
          <w:lang w:val="en-US" w:eastAsia="zh-CN"/>
        </w:rPr>
        <w:t>纸质版磋商响应文件递交</w:t>
      </w:r>
    </w:p>
    <w:p>
      <w:pPr>
        <w:tabs>
          <w:tab w:val="left" w:pos="588"/>
        </w:tabs>
        <w:spacing w:line="360" w:lineRule="auto"/>
        <w:ind w:left="718" w:leftChars="342" w:firstLine="0" w:firstLineChars="0"/>
        <w:rPr>
          <w:rFonts w:hint="eastAsia" w:ascii="宋体" w:hAnsi="宋体" w:eastAsia="宋体" w:cs="宋体"/>
          <w:i w:val="0"/>
          <w:iCs w:val="0"/>
          <w:color w:val="auto"/>
          <w:sz w:val="24"/>
          <w:highlight w:val="none"/>
        </w:rPr>
      </w:pPr>
      <w:r>
        <w:rPr>
          <w:rFonts w:hint="eastAsia" w:ascii="宋体" w:hAnsi="宋体" w:eastAsia="宋体" w:cs="宋体"/>
          <w:i w:val="0"/>
          <w:iCs w:val="0"/>
          <w:color w:val="auto"/>
          <w:sz w:val="24"/>
          <w:highlight w:val="none"/>
        </w:rPr>
        <w:t>供应商须由其合法的授权人在响应文件递交截止时间之前</w:t>
      </w:r>
      <w:r>
        <w:rPr>
          <w:rFonts w:hint="eastAsia" w:ascii="宋体" w:hAnsi="宋体" w:eastAsia="宋体" w:cs="宋体"/>
          <w:i w:val="0"/>
          <w:iCs w:val="0"/>
          <w:color w:val="auto"/>
          <w:sz w:val="24"/>
          <w:highlight w:val="none"/>
          <w:lang w:val="en-US" w:eastAsia="zh-CN"/>
        </w:rPr>
        <w:t>根据供应商须知前附表要求</w:t>
      </w:r>
      <w:r>
        <w:rPr>
          <w:rFonts w:hint="eastAsia" w:ascii="宋体" w:hAnsi="宋体" w:eastAsia="宋体" w:cs="宋体"/>
          <w:i w:val="0"/>
          <w:iCs w:val="0"/>
          <w:color w:val="auto"/>
          <w:sz w:val="24"/>
          <w:highlight w:val="none"/>
        </w:rPr>
        <w:t>将响应文件在响应文件递交地点送达采购人并签字确认。供应商须承担因未送达并签字所造成的一切责任。</w:t>
      </w:r>
    </w:p>
    <w:p>
      <w:pPr>
        <w:tabs>
          <w:tab w:val="left" w:pos="588"/>
        </w:tabs>
        <w:spacing w:line="360" w:lineRule="auto"/>
        <w:ind w:left="840" w:hanging="840" w:hangingChars="350"/>
        <w:rPr>
          <w:rFonts w:hint="eastAsia" w:ascii="宋体" w:hAnsi="宋体" w:eastAsia="宋体" w:cs="宋体"/>
          <w:i w:val="0"/>
          <w:iCs w:val="0"/>
          <w:color w:val="auto"/>
          <w:sz w:val="24"/>
          <w:highlight w:val="none"/>
        </w:rPr>
      </w:pPr>
      <w:r>
        <w:rPr>
          <w:rFonts w:hint="eastAsia" w:ascii="宋体" w:hAnsi="宋体" w:eastAsia="宋体" w:cs="宋体"/>
          <w:i w:val="0"/>
          <w:iCs w:val="0"/>
          <w:color w:val="auto"/>
          <w:sz w:val="24"/>
          <w:highlight w:val="none"/>
        </w:rPr>
        <w:t>18.3   采购人可以按本须知第7条规定，通知修改磋商文件，适当延长响应文件递交截止时间。在此情况下，采购人和供应商受响应文件递交截止时间制约的所有权利和义务均应延长至新的截止期。</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18.4   采购人可以按本须知第7条规定，通知修改磋商文件，适当延长响应文件递交截止时间。在此情况下，采购人和供应商受响应文件递交截止时间制约的所有权利和义务均应延长至新的截止期。</w:t>
      </w:r>
    </w:p>
    <w:p>
      <w:pPr>
        <w:pStyle w:val="5"/>
        <w:rPr>
          <w:rFonts w:hint="eastAsia" w:ascii="宋体" w:hAnsi="宋体" w:eastAsia="宋体" w:cs="宋体"/>
          <w:b/>
          <w:color w:val="auto"/>
          <w:sz w:val="24"/>
          <w:szCs w:val="21"/>
          <w:highlight w:val="none"/>
        </w:rPr>
      </w:pPr>
      <w:bookmarkStart w:id="266" w:name="_Toc7175"/>
      <w:bookmarkStart w:id="267" w:name="_Toc249515413"/>
      <w:bookmarkStart w:id="268" w:name="_Toc249515301"/>
      <w:bookmarkStart w:id="269" w:name="_Toc249525182"/>
      <w:r>
        <w:rPr>
          <w:rFonts w:hint="eastAsia" w:ascii="宋体" w:hAnsi="宋体" w:eastAsia="宋体" w:cs="宋体"/>
          <w:b/>
          <w:color w:val="auto"/>
          <w:sz w:val="24"/>
          <w:szCs w:val="21"/>
          <w:highlight w:val="none"/>
        </w:rPr>
        <w:t>19.    迟交的响应文件</w:t>
      </w:r>
      <w:bookmarkEnd w:id="262"/>
      <w:bookmarkEnd w:id="263"/>
      <w:bookmarkEnd w:id="264"/>
      <w:bookmarkEnd w:id="265"/>
      <w:bookmarkEnd w:id="266"/>
      <w:bookmarkEnd w:id="267"/>
      <w:bookmarkEnd w:id="268"/>
      <w:bookmarkEnd w:id="269"/>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19.1   采购人将拒绝接收第18条规定的响应文件递交截止时间后递交的任何响应文件。</w:t>
      </w:r>
    </w:p>
    <w:p>
      <w:pPr>
        <w:pStyle w:val="5"/>
        <w:rPr>
          <w:rFonts w:hint="eastAsia" w:ascii="宋体" w:hAnsi="宋体" w:eastAsia="宋体" w:cs="宋体"/>
          <w:b/>
          <w:color w:val="auto"/>
          <w:sz w:val="24"/>
          <w:szCs w:val="21"/>
          <w:highlight w:val="none"/>
        </w:rPr>
      </w:pPr>
      <w:bookmarkStart w:id="270" w:name="_Toc385992351"/>
      <w:bookmarkStart w:id="271" w:name="_Toc249515414"/>
      <w:bookmarkStart w:id="272" w:name="_Toc70687165"/>
      <w:bookmarkStart w:id="273" w:name="_Toc184043038"/>
      <w:bookmarkStart w:id="274" w:name="_Toc389620190"/>
      <w:bookmarkStart w:id="275" w:name="_Toc249515302"/>
      <w:bookmarkStart w:id="276" w:name="_Toc10272"/>
      <w:bookmarkStart w:id="277" w:name="_Toc249525183"/>
      <w:r>
        <w:rPr>
          <w:rFonts w:hint="eastAsia" w:ascii="宋体" w:hAnsi="宋体" w:eastAsia="宋体" w:cs="宋体"/>
          <w:b/>
          <w:color w:val="auto"/>
          <w:sz w:val="24"/>
          <w:szCs w:val="21"/>
          <w:highlight w:val="none"/>
        </w:rPr>
        <w:t>20.    响应文件的修改和撤</w:t>
      </w:r>
      <w:bookmarkEnd w:id="270"/>
      <w:bookmarkEnd w:id="271"/>
      <w:bookmarkEnd w:id="272"/>
      <w:bookmarkEnd w:id="273"/>
      <w:bookmarkEnd w:id="274"/>
      <w:bookmarkEnd w:id="275"/>
      <w:bookmarkEnd w:id="276"/>
      <w:bookmarkEnd w:id="277"/>
      <w:r>
        <w:rPr>
          <w:rFonts w:hint="eastAsia" w:ascii="宋体" w:hAnsi="宋体" w:eastAsia="宋体" w:cs="宋体"/>
          <w:b/>
          <w:color w:val="auto"/>
          <w:sz w:val="24"/>
          <w:szCs w:val="21"/>
          <w:highlight w:val="none"/>
        </w:rPr>
        <w:t>回</w:t>
      </w:r>
    </w:p>
    <w:p>
      <w:pPr>
        <w:tabs>
          <w:tab w:val="left" w:pos="588"/>
        </w:tabs>
        <w:spacing w:line="360" w:lineRule="auto"/>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供应商在提交响应文件后可对其响应文件进行修改或撤回，但该修改或撤回的书面通知须在响应文件递交截止时间之前送达响应文件递交地点，且该通知需其法定代表人或经正式授权的供应商代表签字方为有效。</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20.1   供应商对响应文件修改的书面材料或撤回的通知应按第16和17条规定进行编写、密封、标注和递送，并注明“修改响应文件”或“撤回响应文件”字样。</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   在响应文件递交截止时间之后，供应商不得对其响应文件做任何修改。</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20.3   供应商不得在响应文件递交截止时间起至响应文件有效期期满前撤销其响应文件。</w:t>
      </w:r>
    </w:p>
    <w:p>
      <w:pPr>
        <w:pStyle w:val="78"/>
        <w:spacing w:before="24" w:after="24"/>
        <w:ind w:left="3313"/>
        <w:rPr>
          <w:rFonts w:hint="eastAsia" w:ascii="宋体" w:hAnsi="宋体" w:eastAsia="宋体" w:cs="宋体"/>
          <w:color w:val="auto"/>
          <w:sz w:val="30"/>
          <w:szCs w:val="30"/>
          <w:highlight w:val="none"/>
        </w:rPr>
      </w:pPr>
      <w:bookmarkStart w:id="278" w:name="_Hlt491765712"/>
      <w:bookmarkEnd w:id="278"/>
      <w:bookmarkStart w:id="279" w:name="_Hlt497729441"/>
      <w:bookmarkEnd w:id="279"/>
      <w:bookmarkStart w:id="280" w:name="_Toc256342148"/>
      <w:bookmarkStart w:id="281" w:name="_Toc249515415"/>
      <w:bookmarkStart w:id="282" w:name="_Toc249515303"/>
      <w:bookmarkStart w:id="283" w:name="_Toc249525184"/>
      <w:bookmarkStart w:id="284" w:name="_Toc68590973"/>
      <w:bookmarkStart w:id="285" w:name="_Toc499711048"/>
      <w:bookmarkStart w:id="286" w:name="_Toc500747067"/>
      <w:bookmarkStart w:id="287" w:name="_Toc176882547"/>
      <w:bookmarkStart w:id="288" w:name="_Toc500747194"/>
      <w:bookmarkStart w:id="289" w:name="_Toc492955420"/>
      <w:bookmarkStart w:id="290" w:name="_Toc389620191"/>
      <w:bookmarkStart w:id="291" w:name="_Toc500746971"/>
      <w:bookmarkStart w:id="292" w:name="_Toc177189240"/>
      <w:bookmarkStart w:id="293" w:name="_Toc499711889"/>
      <w:bookmarkStart w:id="294" w:name="_Toc177995478"/>
      <w:bookmarkStart w:id="295" w:name="_Toc385992352"/>
      <w:bookmarkStart w:id="296" w:name="_Toc177817339"/>
      <w:bookmarkStart w:id="297" w:name="_Toc496324584"/>
      <w:bookmarkStart w:id="298" w:name="_Toc70687166"/>
      <w:bookmarkStart w:id="299" w:name="_Toc53722845"/>
      <w:bookmarkStart w:id="300" w:name="_Toc503063427"/>
      <w:bookmarkStart w:id="301" w:name="_Toc184043039"/>
      <w:r>
        <w:rPr>
          <w:rFonts w:hint="eastAsia" w:ascii="宋体" w:hAnsi="宋体" w:eastAsia="宋体" w:cs="宋体"/>
          <w:color w:val="auto"/>
          <w:sz w:val="30"/>
          <w:szCs w:val="30"/>
          <w:highlight w:val="none"/>
        </w:rPr>
        <w:t>五、评审与</w:t>
      </w:r>
      <w:bookmarkEnd w:id="280"/>
      <w:bookmarkEnd w:id="281"/>
      <w:bookmarkEnd w:id="282"/>
      <w:bookmarkEnd w:id="283"/>
      <w:r>
        <w:rPr>
          <w:rFonts w:hint="eastAsia" w:ascii="宋体" w:hAnsi="宋体" w:eastAsia="宋体" w:cs="宋体"/>
          <w:color w:val="auto"/>
          <w:sz w:val="30"/>
          <w:szCs w:val="30"/>
          <w:highlight w:val="none"/>
        </w:rPr>
        <w:t>磋商</w:t>
      </w:r>
      <w:bookmarkEnd w:id="284"/>
    </w:p>
    <w:p>
      <w:pPr>
        <w:pStyle w:val="5"/>
        <w:numPr>
          <w:ilvl w:val="0"/>
          <w:numId w:val="9"/>
        </w:numPr>
        <w:rPr>
          <w:rFonts w:hint="eastAsia" w:ascii="宋体" w:hAnsi="宋体" w:eastAsia="宋体" w:cs="宋体"/>
          <w:b/>
          <w:color w:val="auto"/>
          <w:sz w:val="24"/>
          <w:highlight w:val="none"/>
        </w:rPr>
      </w:pPr>
      <w:bookmarkStart w:id="302" w:name="_Toc249515305"/>
      <w:bookmarkStart w:id="303" w:name="_Toc16042"/>
      <w:bookmarkStart w:id="304" w:name="_Toc249515417"/>
      <w:bookmarkStart w:id="305" w:name="_Toc249525186"/>
      <w:r>
        <w:rPr>
          <w:rFonts w:hint="eastAsia" w:ascii="宋体" w:hAnsi="宋体" w:eastAsia="宋体" w:cs="宋体"/>
          <w:b/>
          <w:color w:val="auto"/>
          <w:sz w:val="24"/>
          <w:highlight w:val="none"/>
        </w:rPr>
        <w:t xml:space="preserve">   磋商小组</w:t>
      </w:r>
      <w:bookmarkEnd w:id="302"/>
      <w:bookmarkEnd w:id="303"/>
      <w:bookmarkEnd w:id="304"/>
      <w:bookmarkEnd w:id="305"/>
    </w:p>
    <w:p>
      <w:pPr>
        <w:pStyle w:val="28"/>
        <w:adjustRightInd w:val="0"/>
        <w:snapToGrid w:val="0"/>
        <w:ind w:left="840" w:hanging="840" w:hangingChars="350"/>
        <w:rPr>
          <w:rFonts w:hint="eastAsia" w:ascii="宋体" w:hAnsi="宋体" w:eastAsia="宋体" w:cs="宋体"/>
          <w:b/>
          <w:color w:val="auto"/>
          <w:sz w:val="24"/>
          <w:highlight w:val="none"/>
        </w:rPr>
      </w:pPr>
      <w:r>
        <w:rPr>
          <w:rFonts w:hint="eastAsia" w:ascii="宋体" w:hAnsi="宋体" w:eastAsia="宋体" w:cs="宋体"/>
          <w:color w:val="auto"/>
          <w:sz w:val="24"/>
          <w:szCs w:val="24"/>
          <w:highlight w:val="none"/>
        </w:rPr>
        <w:t>21.1   在磋商开始前组建磋商小组，磋商小组由采购人代表和有关专家组成。专家从政府采购评审专家库相关专业中随机抽取。磋商小组组成见</w:t>
      </w:r>
      <w:r>
        <w:rPr>
          <w:rFonts w:hint="eastAsia" w:ascii="宋体" w:hAnsi="宋体" w:eastAsia="宋体" w:cs="宋体"/>
          <w:b/>
          <w:color w:val="auto"/>
          <w:sz w:val="24"/>
          <w:highlight w:val="none"/>
        </w:rPr>
        <w:t>供应商须知前附表。</w:t>
      </w:r>
    </w:p>
    <w:p>
      <w:pPr>
        <w:pStyle w:val="28"/>
        <w:adjustRightInd w:val="0"/>
        <w:snapToGrid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   磋商小组职责</w:t>
      </w:r>
    </w:p>
    <w:p>
      <w:pPr>
        <w:pStyle w:val="28"/>
        <w:adjustRightInd w:val="0"/>
        <w:snapToGrid w:val="0"/>
        <w:ind w:left="840" w:left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（1）确认竞争性磋商文件；</w:t>
      </w:r>
    </w:p>
    <w:p>
      <w:pPr>
        <w:pStyle w:val="28"/>
        <w:adjustRightInd w:val="0"/>
        <w:snapToGrid w:val="0"/>
        <w:ind w:left="840" w:left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（2）审查通过了资格审查的供应商响应文件并做出评价；</w:t>
      </w:r>
    </w:p>
    <w:p>
      <w:pPr>
        <w:pStyle w:val="28"/>
        <w:adjustRightInd w:val="0"/>
        <w:snapToGrid w:val="0"/>
        <w:ind w:left="840" w:left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（3）要求供应商解释或者澄清其响应文件；</w:t>
      </w:r>
    </w:p>
    <w:p>
      <w:pPr>
        <w:pStyle w:val="28"/>
        <w:adjustRightInd w:val="0"/>
        <w:snapToGrid w:val="0"/>
        <w:ind w:left="840" w:left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（4）编写评审报告；</w:t>
      </w:r>
    </w:p>
    <w:p>
      <w:pPr>
        <w:pStyle w:val="28"/>
        <w:adjustRightInd w:val="0"/>
        <w:snapToGrid w:val="0"/>
        <w:ind w:left="840" w:leftChars="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（5）告知采购人、采购代理机构在评审过程中发现的供应商的违法违规行为。</w:t>
      </w:r>
    </w:p>
    <w:p>
      <w:pPr>
        <w:pStyle w:val="28"/>
        <w:adjustRightInd w:val="0"/>
        <w:snapToGrid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   磋商小组义务</w:t>
      </w:r>
    </w:p>
    <w:p>
      <w:pPr>
        <w:pStyle w:val="28"/>
        <w:adjustRightInd w:val="0"/>
        <w:snapToGrid w:val="0"/>
        <w:ind w:left="838" w:leftChars="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（1）遵纪客观、公正、审慎的原则；</w:t>
      </w:r>
    </w:p>
    <w:p>
      <w:pPr>
        <w:pStyle w:val="28"/>
        <w:adjustRightInd w:val="0"/>
        <w:snapToGrid w:val="0"/>
        <w:ind w:left="838" w:leftChars="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（2）根据磋商文件的规定评审程序、评审方法和评审标准独立进行评审，对个人的评审意见承担法律责任；</w:t>
      </w:r>
    </w:p>
    <w:p>
      <w:pPr>
        <w:pStyle w:val="28"/>
        <w:adjustRightInd w:val="0"/>
        <w:snapToGrid w:val="0"/>
        <w:ind w:left="838" w:leftChars="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（3）参与评审报告的起草；</w:t>
      </w:r>
    </w:p>
    <w:p>
      <w:pPr>
        <w:pStyle w:val="28"/>
        <w:adjustRightInd w:val="0"/>
        <w:snapToGrid w:val="0"/>
        <w:ind w:left="838" w:leftChars="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（4）配合采购人、采购代理机构答复供应商提出的质疑；</w:t>
      </w:r>
    </w:p>
    <w:p>
      <w:pPr>
        <w:pStyle w:val="28"/>
        <w:adjustRightInd w:val="0"/>
        <w:snapToGrid w:val="0"/>
        <w:ind w:left="838" w:leftChars="39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（5）配合财政部门的投诉处理和监督检查工作。</w:t>
      </w:r>
    </w:p>
    <w:p>
      <w:pPr>
        <w:pStyle w:val="28"/>
        <w:adjustRightInd w:val="0"/>
        <w:snapToGrid w:val="0"/>
        <w:ind w:left="840" w:hanging="840" w:hangingChars="3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确认磋商文件：磋商小组对磋商文件进行审阅，无修改进行签字确认，有修改，修改内容经采购人确认后，磋商小组以书面形式通知所有供应商。</w:t>
      </w:r>
    </w:p>
    <w:p>
      <w:pPr>
        <w:pStyle w:val="5"/>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22.    磋商小组成员有下列情形之一的，应当回避：</w:t>
      </w:r>
    </w:p>
    <w:p>
      <w:pPr>
        <w:pStyle w:val="5"/>
        <w:tabs>
          <w:tab w:val="left" w:pos="360"/>
        </w:tabs>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22.1   参加采购活动前3年内与供应商存在劳动关系；</w:t>
      </w:r>
    </w:p>
    <w:p>
      <w:pPr>
        <w:pStyle w:val="5"/>
        <w:tabs>
          <w:tab w:val="left" w:pos="360"/>
        </w:tabs>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22.2   参加采购活动前3年内担任供应商的董事、监事；</w:t>
      </w:r>
    </w:p>
    <w:p>
      <w:pPr>
        <w:pStyle w:val="5"/>
        <w:tabs>
          <w:tab w:val="left" w:pos="360"/>
        </w:tabs>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22.3   参加采购活动前3年内是供应商的控股股东或者实际控制人；</w:t>
      </w:r>
    </w:p>
    <w:p>
      <w:pPr>
        <w:pStyle w:val="5"/>
        <w:tabs>
          <w:tab w:val="left" w:pos="360"/>
        </w:tabs>
        <w:ind w:left="840" w:hanging="840" w:hangingChars="35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22.4   与供应商的法定代表人或者负责人有夫妻、直系血亲、三代以内旁系血亲或者近姻亲关系；</w:t>
      </w:r>
    </w:p>
    <w:p>
      <w:pPr>
        <w:pStyle w:val="5"/>
        <w:tabs>
          <w:tab w:val="left" w:pos="360"/>
        </w:tabs>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22.5   与供应商有其他可能影响政府采购活动公平、公正进行的关系。</w:t>
      </w:r>
    </w:p>
    <w:p>
      <w:pPr>
        <w:pStyle w:val="5"/>
        <w:rPr>
          <w:rFonts w:hint="eastAsia" w:ascii="宋体" w:hAnsi="宋体" w:eastAsia="宋体" w:cs="宋体"/>
          <w:b/>
          <w:color w:val="auto"/>
          <w:sz w:val="24"/>
          <w:szCs w:val="21"/>
          <w:highlight w:val="none"/>
        </w:rPr>
      </w:pPr>
      <w:bookmarkStart w:id="306" w:name="_Toc249525187"/>
      <w:bookmarkStart w:id="307" w:name="_Toc83547667"/>
      <w:bookmarkStart w:id="308" w:name="_Toc249515418"/>
      <w:bookmarkStart w:id="309" w:name="_Toc20608"/>
      <w:bookmarkStart w:id="310" w:name="_Toc249515306"/>
      <w:r>
        <w:rPr>
          <w:rFonts w:hint="eastAsia" w:ascii="宋体" w:hAnsi="宋体" w:eastAsia="宋体" w:cs="宋体"/>
          <w:b/>
          <w:color w:val="auto"/>
          <w:sz w:val="24"/>
          <w:szCs w:val="21"/>
          <w:highlight w:val="none"/>
        </w:rPr>
        <w:t>23.    磋商程序</w:t>
      </w:r>
    </w:p>
    <w:p>
      <w:pPr>
        <w:pStyle w:val="5"/>
        <w:tabs>
          <w:tab w:val="left" w:pos="360"/>
        </w:tabs>
        <w:rPr>
          <w:rFonts w:hint="eastAsia" w:ascii="宋体" w:hAnsi="宋体" w:eastAsia="宋体" w:cs="宋体"/>
          <w:b/>
          <w:color w:val="auto"/>
          <w:sz w:val="24"/>
          <w:szCs w:val="21"/>
          <w:highlight w:val="none"/>
        </w:rPr>
      </w:pPr>
      <w:bookmarkStart w:id="311" w:name="_Toc58504507"/>
      <w:r>
        <w:rPr>
          <w:rFonts w:hint="eastAsia" w:ascii="宋体" w:hAnsi="宋体" w:eastAsia="宋体" w:cs="宋体"/>
          <w:b/>
          <w:color w:val="auto"/>
          <w:sz w:val="24"/>
          <w:szCs w:val="21"/>
          <w:highlight w:val="none"/>
        </w:rPr>
        <w:t>23.1   磋商会议</w:t>
      </w:r>
      <w:bookmarkEnd w:id="311"/>
    </w:p>
    <w:p>
      <w:pPr>
        <w:pStyle w:val="22"/>
        <w:ind w:left="840" w:leftChars="400"/>
        <w:rPr>
          <w:rFonts w:hint="eastAsia" w:ascii="宋体" w:hAnsi="宋体" w:eastAsia="宋体" w:cs="宋体"/>
          <w:color w:val="auto"/>
          <w:sz w:val="24"/>
          <w:szCs w:val="32"/>
          <w:highlight w:val="none"/>
        </w:rPr>
      </w:pPr>
      <w:bookmarkStart w:id="312" w:name="_Toc58504508"/>
      <w:r>
        <w:rPr>
          <w:rFonts w:hint="eastAsia" w:ascii="宋体" w:hAnsi="宋体" w:eastAsia="宋体" w:cs="宋体"/>
          <w:color w:val="auto"/>
          <w:sz w:val="24"/>
          <w:szCs w:val="32"/>
          <w:highlight w:val="none"/>
        </w:rPr>
        <w:t>（1）在磋商文件规定的时间和地点，由采购代理机构组织磋商工作，供应商须委派代表参加，签名以证明其出席。</w:t>
      </w:r>
      <w:bookmarkEnd w:id="312"/>
    </w:p>
    <w:p>
      <w:pPr>
        <w:pStyle w:val="22"/>
        <w:ind w:left="840" w:leftChars="400"/>
        <w:rPr>
          <w:rFonts w:hint="eastAsia" w:ascii="宋体" w:hAnsi="宋体" w:eastAsia="宋体" w:cs="宋体"/>
          <w:color w:val="auto"/>
          <w:sz w:val="24"/>
          <w:szCs w:val="32"/>
          <w:highlight w:val="none"/>
        </w:rPr>
      </w:pPr>
      <w:bookmarkStart w:id="313" w:name="_Toc58504509"/>
      <w:r>
        <w:rPr>
          <w:rFonts w:hint="eastAsia" w:ascii="宋体" w:hAnsi="宋体" w:eastAsia="宋体" w:cs="宋体"/>
          <w:color w:val="auto"/>
          <w:sz w:val="24"/>
          <w:szCs w:val="32"/>
          <w:highlight w:val="none"/>
        </w:rPr>
        <w:t>（2）各供应商或其推荐的代表与采购监督人共同检查响应文件的密封情况，经检查无误后，签字确认。</w:t>
      </w:r>
      <w:bookmarkEnd w:id="313"/>
    </w:p>
    <w:p>
      <w:pPr>
        <w:pStyle w:val="22"/>
        <w:ind w:left="840" w:leftChars="400"/>
        <w:rPr>
          <w:rFonts w:hint="eastAsia" w:ascii="宋体" w:hAnsi="宋体" w:eastAsia="宋体" w:cs="宋体"/>
          <w:color w:val="auto"/>
          <w:sz w:val="24"/>
          <w:szCs w:val="32"/>
          <w:highlight w:val="none"/>
        </w:rPr>
      </w:pPr>
      <w:bookmarkStart w:id="314" w:name="_Toc58504510"/>
      <w:r>
        <w:rPr>
          <w:rFonts w:hint="eastAsia" w:ascii="宋体" w:hAnsi="宋体" w:eastAsia="宋体" w:cs="宋体"/>
          <w:color w:val="auto"/>
          <w:sz w:val="24"/>
          <w:szCs w:val="32"/>
          <w:highlight w:val="none"/>
        </w:rPr>
        <w:t>（3）采购代理机构工作人员按照顺序，将各供应商首次响应文件的份数等内容公布，无异议后，由供应商法定代表人（或授权代表人）和监督人签字确认。</w:t>
      </w:r>
      <w:bookmarkEnd w:id="314"/>
    </w:p>
    <w:p>
      <w:pPr>
        <w:pStyle w:val="5"/>
        <w:tabs>
          <w:tab w:val="left" w:pos="360"/>
        </w:tabs>
        <w:rPr>
          <w:rFonts w:hint="eastAsia" w:ascii="宋体" w:hAnsi="宋体" w:eastAsia="宋体" w:cs="宋体"/>
          <w:b/>
          <w:color w:val="auto"/>
          <w:sz w:val="24"/>
          <w:szCs w:val="21"/>
          <w:highlight w:val="none"/>
        </w:rPr>
      </w:pPr>
      <w:bookmarkStart w:id="315" w:name="_Toc58504511"/>
      <w:r>
        <w:rPr>
          <w:rFonts w:hint="eastAsia" w:ascii="宋体" w:hAnsi="宋体" w:eastAsia="宋体" w:cs="宋体"/>
          <w:b/>
          <w:color w:val="auto"/>
          <w:sz w:val="24"/>
          <w:szCs w:val="21"/>
          <w:highlight w:val="none"/>
        </w:rPr>
        <w:t>23.2   响应文件</w:t>
      </w:r>
      <w:bookmarkEnd w:id="306"/>
      <w:bookmarkEnd w:id="307"/>
      <w:bookmarkEnd w:id="308"/>
      <w:bookmarkEnd w:id="309"/>
      <w:bookmarkEnd w:id="310"/>
      <w:r>
        <w:rPr>
          <w:rFonts w:hint="eastAsia" w:ascii="宋体" w:hAnsi="宋体" w:eastAsia="宋体" w:cs="宋体"/>
          <w:b/>
          <w:color w:val="auto"/>
          <w:sz w:val="24"/>
          <w:szCs w:val="21"/>
          <w:highlight w:val="none"/>
        </w:rPr>
        <w:t>评审</w:t>
      </w:r>
      <w:bookmarkEnd w:id="315"/>
    </w:p>
    <w:p>
      <w:pPr>
        <w:tabs>
          <w:tab w:val="left" w:pos="360"/>
          <w:tab w:val="left" w:pos="588"/>
        </w:tabs>
        <w:spacing w:line="360" w:lineRule="auto"/>
        <w:ind w:left="840" w:hanging="843" w:hangingChars="350"/>
        <w:rPr>
          <w:rFonts w:hint="eastAsia" w:ascii="宋体" w:hAnsi="宋体" w:eastAsia="宋体" w:cs="宋体"/>
          <w:color w:val="auto"/>
          <w:sz w:val="24"/>
          <w:highlight w:val="none"/>
        </w:rPr>
      </w:pPr>
      <w:bookmarkStart w:id="316" w:name="_Toc83547671"/>
      <w:r>
        <w:rPr>
          <w:rFonts w:hint="eastAsia" w:ascii="宋体" w:hAnsi="宋体" w:eastAsia="宋体" w:cs="宋体"/>
          <w:b/>
          <w:color w:val="auto"/>
          <w:sz w:val="24"/>
          <w:highlight w:val="none"/>
        </w:rPr>
        <w:t>23.2.1 响应文件的资格性审查</w:t>
      </w:r>
      <w:r>
        <w:rPr>
          <w:rFonts w:hint="eastAsia" w:ascii="宋体" w:hAnsi="宋体" w:eastAsia="宋体" w:cs="宋体"/>
          <w:color w:val="auto"/>
          <w:sz w:val="24"/>
          <w:highlight w:val="none"/>
        </w:rPr>
        <w:t>。依据《政府采购法》第二十三条和磋商文件的规定，</w:t>
      </w:r>
      <w:r>
        <w:rPr>
          <w:rFonts w:hint="eastAsia" w:ascii="宋体" w:hAnsi="宋体" w:eastAsia="宋体" w:cs="宋体"/>
          <w:b/>
          <w:color w:val="auto"/>
          <w:sz w:val="24"/>
          <w:highlight w:val="none"/>
        </w:rPr>
        <w:t>采购人负责</w:t>
      </w:r>
      <w:r>
        <w:rPr>
          <w:rFonts w:hint="eastAsia" w:ascii="宋体" w:hAnsi="宋体" w:eastAsia="宋体" w:cs="宋体"/>
          <w:color w:val="auto"/>
          <w:sz w:val="24"/>
          <w:highlight w:val="none"/>
        </w:rPr>
        <w:t>对响应文件中的资格证明文件、信用查询记录等进行审查，以确认供应商具备相应资格。资格性审查出现下列情况者（但不限于），按无效文件处理：</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highlight w:val="none"/>
        </w:rPr>
        <w:t>（</w:t>
      </w:r>
      <w:r>
        <w:rPr>
          <w:rFonts w:hint="eastAsia" w:ascii="宋体" w:hAnsi="宋体" w:eastAsia="宋体" w:cs="宋体"/>
          <w:color w:val="auto"/>
          <w:sz w:val="24"/>
          <w:highlight w:val="none"/>
        </w:rPr>
        <w:t>1）供应商不符合《中华人民共和国政府采购法》第二十二条的规定和特定资格条件要求的。</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（2）供应商没有经过正常渠道购买或免费领取磋商文件或供应商的名称与获取磋商文件单位的名称不符。</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（3）磋商响应文件中未提交法定代表人授权书（法定代表人直接参加磋商未按要求提交其有效身份证）或授权书的合法性或有效性不符合磋商文件规定。授权代表本单位证明的有效性或符合性不符合要求的。</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（4）信用查询中列入失信被执行人、重大税收违法案件当事人名单、政府采购严重违法失信行为记录名单及其他不符合《中华人民共和国政府采购法》第二十二条规定条件的供应商。</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（5）采购人或采购代理机构通过“信用中国”网站(www.creditchina.gov.cn)、中国政府采购网(www.ccgp.gov.cn) 等查询相关主体信用记录，并将查询网页打印、存档备查。</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（6）查询时间为磋商文件发售期至评审截止时间前，此段时间段外，网站信息发生的任何变更均不作为资格审查依据。</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供应商不良信用记录以采购人或采购代理机构查询结果为准。供应商自行提供的与网站信息不一致的其他证明材料亦不作为资格审查依据。</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7）(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pStyle w:val="22"/>
        <w:ind w:left="840" w:hanging="843" w:hangingChars="350"/>
        <w:rPr>
          <w:rFonts w:hint="eastAsia" w:ascii="宋体" w:hAnsi="宋体" w:eastAsia="宋体" w:cs="宋体"/>
          <w:color w:val="auto"/>
          <w:sz w:val="24"/>
          <w:highlight w:val="none"/>
        </w:rPr>
      </w:pPr>
      <w:r>
        <w:rPr>
          <w:rFonts w:hint="eastAsia" w:ascii="宋体" w:hAnsi="宋体" w:eastAsia="宋体" w:cs="宋体"/>
          <w:b/>
          <w:color w:val="auto"/>
          <w:sz w:val="24"/>
          <w:highlight w:val="none"/>
        </w:rPr>
        <w:t>23.2.2 磋商响应文件有效性、完整性和响应程度审查：磋商小组</w:t>
      </w:r>
      <w:r>
        <w:rPr>
          <w:rFonts w:hint="eastAsia" w:ascii="宋体" w:hAnsi="宋体" w:eastAsia="宋体" w:cs="宋体"/>
          <w:color w:val="auto"/>
          <w:sz w:val="24"/>
          <w:highlight w:val="none"/>
        </w:rPr>
        <w:t>负责对通过资格审查的响应文件的有效性、完整性和响应性进行审查，以确定是否满足磋商文件要求，出现下列情况者（但不限于），按无效文件处理。</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（1）供应商未按磋商文件要求加盖单位公章。</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（2）磋商响应文件未按磋商文件要求进行法定代表人或其授权代表签字。</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（3）无有效期或有效期达不到磋商文件的要求。</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（4）供应商首次磋商报价出现选择性报价。</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（5）首次磋商报价超出采购预算。</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（6）响应文件中对合同草案条款附加了采购人难以接受的条件。</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（7）磋商内容出现漏项或数量与要求不符，出现重大负偏差。</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（8）响应文件中技术指标达不到采购要求，降低了产品档次或影响产品性能、功能。</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（9）响应报价与市场价偏离较大，低于成本，形成不正当竞争。</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（10）供应商提供虚假证明，开具虚假资质，出现虚假应答或故意隐瞒行为。</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（11）保证金未提交或未提交至指定账户、或提交保证金不符合磋商文件要求的。 </w:t>
      </w:r>
    </w:p>
    <w:p>
      <w:pPr>
        <w:pStyle w:val="5"/>
        <w:tabs>
          <w:tab w:val="left" w:pos="360"/>
        </w:tabs>
        <w:rPr>
          <w:rFonts w:hint="eastAsia" w:ascii="宋体" w:hAnsi="宋体" w:eastAsia="宋体" w:cs="宋体"/>
          <w:b/>
          <w:color w:val="auto"/>
          <w:sz w:val="24"/>
          <w:szCs w:val="21"/>
          <w:highlight w:val="none"/>
        </w:rPr>
      </w:pPr>
      <w:bookmarkStart w:id="317" w:name="_Toc58504512"/>
      <w:r>
        <w:rPr>
          <w:rFonts w:hint="eastAsia" w:ascii="宋体" w:hAnsi="宋体" w:eastAsia="宋体" w:cs="宋体"/>
          <w:b/>
          <w:color w:val="auto"/>
          <w:sz w:val="24"/>
          <w:szCs w:val="21"/>
          <w:highlight w:val="none"/>
        </w:rPr>
        <w:t>23.3   磋商</w:t>
      </w:r>
      <w:bookmarkEnd w:id="317"/>
    </w:p>
    <w:p>
      <w:pPr>
        <w:pStyle w:val="22"/>
        <w:ind w:left="840" w:hanging="840" w:hangingChars="350"/>
        <w:rPr>
          <w:rFonts w:hint="eastAsia" w:ascii="宋体" w:hAnsi="宋体" w:eastAsia="宋体" w:cs="宋体"/>
          <w:color w:val="auto"/>
          <w:sz w:val="24"/>
          <w:highlight w:val="none"/>
        </w:rPr>
      </w:pPr>
      <w:bookmarkStart w:id="318" w:name="_Toc58504513"/>
      <w:r>
        <w:rPr>
          <w:rFonts w:hint="eastAsia" w:ascii="宋体" w:hAnsi="宋体" w:eastAsia="宋体" w:cs="宋体"/>
          <w:color w:val="auto"/>
          <w:sz w:val="24"/>
          <w:highlight w:val="none"/>
        </w:rPr>
        <w:t>23.3.1 磋商小组集中与各供应商分别进行磋商，并给所有参加磋商供应商平等的磋商机会。</w:t>
      </w:r>
      <w:bookmarkEnd w:id="318"/>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23.3.2 磋商小组在对响应文件的有效性、完整性和响应程度进行审核时，以</w:t>
      </w:r>
      <w:r>
        <w:rPr>
          <w:rFonts w:hint="eastAsia" w:ascii="宋体" w:hAnsi="宋体" w:eastAsia="宋体" w:cs="宋体"/>
          <w:b/>
          <w:color w:val="auto"/>
          <w:sz w:val="24"/>
          <w:highlight w:val="none"/>
        </w:rPr>
        <w:t>书面形式</w:t>
      </w:r>
      <w:r>
        <w:rPr>
          <w:rFonts w:hint="eastAsia" w:ascii="宋体" w:hAnsi="宋体" w:eastAsia="宋体" w:cs="宋体"/>
          <w:color w:val="auto"/>
          <w:sz w:val="24"/>
          <w:highlight w:val="none"/>
        </w:rPr>
        <w:t>要求供应商对响应文件中含义不明确、同类问题表述不一致、或者明显文字和计算错误的内容在约定时间内做出必要的澄清、说明或更正。供应商澄清、说明或者更正应当由法定代表人或者授权代表签字或者加盖公章。澄清、说明或者更正不得超出响应范围，或者改变响应文件的实质性内容。</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23.3.3 磋商过程中，磋商小组可以根据磋商文件和磋商情况实质性变动采购需求中的技术、服务要求以及合同草案条款，但不得变动磋商文件中的其他内容。实质性变动的内容，需经采购人代表确认，并成为磋商文件的有效组成部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23.3.4 如出现下述情形之一的，视为供应商主动退出磋商，其响应将被拒绝：</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（1）供应商未按要求确认磋商小组确定的本项目最终技术需求的；</w:t>
      </w:r>
    </w:p>
    <w:p>
      <w:pPr>
        <w:pStyle w:val="22"/>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（2）最后报价未实质性响应磋商小组确定的本项目最终技术需求的，或附有采购人无法接受的条件的。</w:t>
      </w:r>
    </w:p>
    <w:p>
      <w:pPr>
        <w:pStyle w:val="22"/>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23.4   最后报价</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23.4.1 磋商结束后，磋商小组要求所有实质性响应的供应商在规定时间内提交最后报价，提交最后报价的供应商不少于3家。最后报价是供应商响应文件的有效组成部分。</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23.4.2 最后报价应按报价的格式内容填写，并且同时提交最后响应报价表、最后报价明细表、最后节能、环境标志产品明细表等内容。各供应商在提交响应文件时，应对最后报价加盖供应商红色公章，且由法定代表人（或授权代表人）签字。</w:t>
      </w:r>
    </w:p>
    <w:p>
      <w:pPr>
        <w:pStyle w:val="5"/>
        <w:rPr>
          <w:rFonts w:hint="eastAsia" w:ascii="宋体" w:hAnsi="宋体" w:eastAsia="宋体" w:cs="宋体"/>
          <w:b/>
          <w:bCs/>
          <w:color w:val="auto"/>
          <w:sz w:val="24"/>
          <w:szCs w:val="21"/>
          <w:highlight w:val="none"/>
        </w:rPr>
      </w:pPr>
      <w:bookmarkStart w:id="319" w:name="_Toc151193860"/>
      <w:bookmarkStart w:id="320" w:name="_Toc164229241"/>
      <w:bookmarkStart w:id="321" w:name="_Toc13753"/>
      <w:bookmarkStart w:id="322" w:name="_Toc249525191"/>
      <w:bookmarkStart w:id="323" w:name="_Toc149720839"/>
      <w:bookmarkStart w:id="324" w:name="_Toc150509297"/>
      <w:bookmarkStart w:id="325" w:name="_Toc151193716"/>
      <w:bookmarkStart w:id="326" w:name="_Toc151190173"/>
      <w:bookmarkStart w:id="327" w:name="_Toc520356170"/>
      <w:bookmarkStart w:id="328" w:name="_Toc151193644"/>
      <w:bookmarkStart w:id="329" w:name="_Toc164608660"/>
      <w:bookmarkStart w:id="330" w:name="_Toc127161460"/>
      <w:bookmarkStart w:id="331" w:name="_Toc150480784"/>
      <w:bookmarkStart w:id="332" w:name="_Toc127151546"/>
      <w:bookmarkStart w:id="333" w:name="_Toc249515310"/>
      <w:bookmarkStart w:id="334" w:name="_Toc150774646"/>
      <w:bookmarkStart w:id="335" w:name="_Toc249515422"/>
      <w:bookmarkStart w:id="336" w:name="_Ref467307010"/>
      <w:bookmarkStart w:id="337" w:name="_Toc151193934"/>
      <w:bookmarkStart w:id="338" w:name="_Toc195842911"/>
      <w:bookmarkStart w:id="339" w:name="_Toc151193788"/>
      <w:bookmarkStart w:id="340" w:name="_Toc164608815"/>
      <w:bookmarkStart w:id="341" w:name="_Toc127151747"/>
      <w:bookmarkStart w:id="342" w:name="_Toc164229387"/>
      <w:bookmarkStart w:id="343" w:name="_Toc142311048"/>
      <w:bookmarkStart w:id="344" w:name="_Toc164351640"/>
      <w:bookmarkStart w:id="345" w:name="_Toc150774751"/>
      <w:r>
        <w:rPr>
          <w:rFonts w:hint="eastAsia" w:ascii="宋体" w:hAnsi="宋体" w:eastAsia="宋体" w:cs="宋体"/>
          <w:b/>
          <w:bCs/>
          <w:color w:val="auto"/>
          <w:sz w:val="24"/>
          <w:szCs w:val="21"/>
          <w:highlight w:val="none"/>
        </w:rPr>
        <w:t>24.    评审办法及</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hint="eastAsia" w:ascii="宋体" w:hAnsi="宋体" w:eastAsia="宋体" w:cs="宋体"/>
          <w:b/>
          <w:bCs/>
          <w:color w:val="auto"/>
          <w:sz w:val="24"/>
          <w:szCs w:val="21"/>
          <w:highlight w:val="none"/>
        </w:rPr>
        <w:t>落实政府采购政策，详见第三章。</w:t>
      </w:r>
    </w:p>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16"/>
    <w:p>
      <w:pPr>
        <w:pStyle w:val="78"/>
        <w:spacing w:before="24" w:after="24"/>
        <w:jc w:val="center"/>
        <w:rPr>
          <w:rFonts w:hint="eastAsia" w:ascii="宋体" w:hAnsi="宋体" w:eastAsia="宋体" w:cs="宋体"/>
          <w:color w:val="auto"/>
          <w:sz w:val="30"/>
          <w:szCs w:val="30"/>
          <w:highlight w:val="none"/>
        </w:rPr>
      </w:pPr>
      <w:bookmarkStart w:id="346" w:name="_Hlt497729446"/>
      <w:bookmarkEnd w:id="346"/>
      <w:bookmarkStart w:id="347" w:name="_Hlt491765714"/>
      <w:bookmarkEnd w:id="347"/>
      <w:bookmarkStart w:id="348" w:name="_Toc256342149"/>
      <w:bookmarkStart w:id="349" w:name="_Toc232176278"/>
      <w:bookmarkStart w:id="350" w:name="_Toc232395218"/>
      <w:bookmarkStart w:id="351" w:name="_Toc249515311"/>
      <w:bookmarkStart w:id="352" w:name="_Toc249515423"/>
      <w:bookmarkStart w:id="353" w:name="_Toc249525192"/>
      <w:bookmarkStart w:id="354" w:name="_Toc68590974"/>
      <w:bookmarkStart w:id="355" w:name="_Toc500747195"/>
      <w:bookmarkStart w:id="356" w:name="_Toc177817340"/>
      <w:bookmarkStart w:id="357" w:name="_Toc70687174"/>
      <w:bookmarkStart w:id="358" w:name="_Toc184043047"/>
      <w:bookmarkStart w:id="359" w:name="_Toc496324585"/>
      <w:bookmarkStart w:id="360" w:name="_Toc177995479"/>
      <w:bookmarkStart w:id="361" w:name="_Toc389620199"/>
      <w:bookmarkStart w:id="362" w:name="_Toc499711049"/>
      <w:bookmarkStart w:id="363" w:name="_Toc385992360"/>
      <w:bookmarkStart w:id="364" w:name="_Toc176882548"/>
      <w:bookmarkStart w:id="365" w:name="_Toc500746972"/>
      <w:bookmarkStart w:id="366" w:name="_Toc503063428"/>
      <w:bookmarkStart w:id="367" w:name="_Toc492955421"/>
      <w:bookmarkStart w:id="368" w:name="_Toc177189241"/>
      <w:bookmarkStart w:id="369" w:name="_Toc500747068"/>
      <w:bookmarkStart w:id="370" w:name="_Toc53722846"/>
      <w:bookmarkStart w:id="371" w:name="_Toc499711890"/>
      <w:r>
        <w:rPr>
          <w:rFonts w:hint="eastAsia" w:ascii="宋体" w:hAnsi="宋体" w:eastAsia="宋体" w:cs="宋体"/>
          <w:color w:val="auto"/>
          <w:sz w:val="30"/>
          <w:szCs w:val="30"/>
          <w:highlight w:val="none"/>
        </w:rPr>
        <w:t>六、确定成交单位、授予合同</w:t>
      </w:r>
      <w:bookmarkEnd w:id="348"/>
      <w:bookmarkEnd w:id="349"/>
      <w:bookmarkEnd w:id="350"/>
      <w:bookmarkEnd w:id="351"/>
      <w:bookmarkEnd w:id="352"/>
      <w:bookmarkEnd w:id="353"/>
      <w:bookmarkEnd w:id="354"/>
    </w:p>
    <w:p>
      <w:pPr>
        <w:rPr>
          <w:rFonts w:hint="eastAsia" w:ascii="宋体" w:hAnsi="宋体" w:eastAsia="宋体" w:cs="宋体"/>
          <w:color w:val="auto"/>
          <w:highlight w:val="none"/>
        </w:rPr>
      </w:pPr>
    </w:p>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Pr>
        <w:pStyle w:val="5"/>
        <w:numPr>
          <w:ilvl w:val="0"/>
          <w:numId w:val="10"/>
        </w:numPr>
        <w:rPr>
          <w:rFonts w:hint="eastAsia" w:ascii="宋体" w:hAnsi="宋体" w:eastAsia="宋体" w:cs="宋体"/>
          <w:b/>
          <w:bCs/>
          <w:color w:val="auto"/>
          <w:sz w:val="24"/>
          <w:szCs w:val="21"/>
          <w:highlight w:val="none"/>
        </w:rPr>
      </w:pPr>
      <w:bookmarkStart w:id="372" w:name="_Toc249515312"/>
      <w:bookmarkStart w:id="373" w:name="_Toc249515424"/>
      <w:bookmarkStart w:id="374" w:name="_Toc184043048"/>
      <w:bookmarkStart w:id="375" w:name="_Toc249525193"/>
      <w:bookmarkStart w:id="376" w:name="_Toc70687175"/>
      <w:bookmarkStart w:id="377" w:name="_Toc385992361"/>
      <w:bookmarkStart w:id="378" w:name="_Toc27151"/>
      <w:bookmarkStart w:id="379" w:name="_Toc389620200"/>
      <w:r>
        <w:rPr>
          <w:rFonts w:hint="eastAsia" w:ascii="宋体" w:hAnsi="宋体" w:eastAsia="宋体" w:cs="宋体"/>
          <w:b/>
          <w:bCs/>
          <w:color w:val="auto"/>
          <w:sz w:val="24"/>
          <w:szCs w:val="21"/>
          <w:highlight w:val="none"/>
        </w:rPr>
        <w:t xml:space="preserve">   确定成交</w:t>
      </w:r>
      <w:bookmarkEnd w:id="372"/>
      <w:bookmarkEnd w:id="373"/>
      <w:bookmarkEnd w:id="374"/>
      <w:bookmarkEnd w:id="375"/>
      <w:bookmarkEnd w:id="376"/>
      <w:bookmarkEnd w:id="377"/>
      <w:bookmarkEnd w:id="378"/>
      <w:bookmarkEnd w:id="379"/>
      <w:r>
        <w:rPr>
          <w:rFonts w:hint="eastAsia" w:ascii="宋体" w:hAnsi="宋体" w:eastAsia="宋体" w:cs="宋体"/>
          <w:b/>
          <w:bCs/>
          <w:color w:val="auto"/>
          <w:sz w:val="24"/>
          <w:szCs w:val="21"/>
          <w:highlight w:val="none"/>
        </w:rPr>
        <w:t>单位</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25.1   采购代理机构应在评审结束后两个工作日内，将评审报告送采购人。</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25.2   采购人在收到评审报告后五个工作日内，根据评审报告对评审过程及结果进行严格审核后确定成交供应商，复函采购代理机构。</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25.3   采购代理机构在接到采购人的成交复函后，两个工作日内在财政部门指定的政府采购信息发布媒体上公告，公告期限为一个工作日，并向成交供应商发出成交通知书。成交通知书是合同文件的组成部分。</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25.4   采购代理机构将评审过程及成交供应商情况书面报监督机构备案。</w:t>
      </w:r>
      <w:bookmarkStart w:id="380" w:name="_Toc389620203"/>
      <w:bookmarkStart w:id="381" w:name="_Toc385992364"/>
    </w:p>
    <w:bookmarkEnd w:id="380"/>
    <w:bookmarkEnd w:id="381"/>
    <w:p>
      <w:pPr>
        <w:pStyle w:val="5"/>
        <w:rPr>
          <w:rFonts w:hint="eastAsia" w:ascii="宋体" w:hAnsi="宋体" w:eastAsia="宋体" w:cs="宋体"/>
          <w:b/>
          <w:bCs/>
          <w:color w:val="auto"/>
          <w:sz w:val="24"/>
          <w:szCs w:val="21"/>
          <w:highlight w:val="none"/>
        </w:rPr>
      </w:pPr>
      <w:bookmarkStart w:id="382" w:name="_Toc385992365"/>
      <w:bookmarkStart w:id="383" w:name="_Toc389620204"/>
      <w:r>
        <w:rPr>
          <w:rFonts w:hint="eastAsia" w:ascii="宋体" w:hAnsi="宋体" w:eastAsia="宋体" w:cs="宋体"/>
          <w:b/>
          <w:bCs/>
          <w:color w:val="auto"/>
          <w:sz w:val="24"/>
          <w:szCs w:val="21"/>
          <w:highlight w:val="none"/>
        </w:rPr>
        <w:t>26.    合同</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26.1   自成交通知书发出后三十日内，按照磋商文件和成交供应商响应文件的约定，采购人与成交供应商洽谈合同条款，并签订合同。磋商文件及成交供应商的响应文件均作为合同的组成部分。</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26.2   确定成交单位后，成交供应商因自身原因未按程序签订合同，采购人将取消其成交资格，同时报请监督机构备案，没收其保证金。在此情况下，采购人可按评审结果顺序将合同授予下一成交候选人或重新采购。</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26.3   成交供应商签订合同后，持合同原件到采购代理机构，或采购代理机构根据陕西省政府采购网合同备案结果办理保证金退还手续。</w:t>
      </w:r>
    </w:p>
    <w:p>
      <w:pPr>
        <w:pStyle w:val="5"/>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27.    询问与质疑 </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27.1   供应商对政府采购活动事项有疑问的，可以向采购人提出询问。</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27.2   供应商认为采购文件、采购过程和中标、成交结果使自己的权益受到损害的，可以在知道或者应知其权益受到损害之日起七个工作日内，以书面形式向采购人提出质疑。</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27.3   质疑供应商在法定质疑期内须一次性提出针对同一采购程序环节的质疑。</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27.4   供应商提出质疑应当提交质疑函和必要的证明材料。质疑函应当包括下列内容：</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供应商的姓名或者名称、地址、邮编、联系人及联系电话；</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质疑项目的名称、编号；</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具体、明确的质疑事项和与质疑事项相关的请求；</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事实依据；</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必要的法律依据；</w:t>
      </w:r>
    </w:p>
    <w:p>
      <w:pPr>
        <w:pStyle w:val="68"/>
        <w:numPr>
          <w:ilvl w:val="0"/>
          <w:numId w:val="11"/>
        </w:numPr>
        <w:tabs>
          <w:tab w:val="left" w:pos="588"/>
        </w:tabs>
        <w:spacing w:line="360" w:lineRule="auto"/>
        <w:ind w:left="846" w:hanging="6" w:firstLineChars="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提出质疑的日期。</w:t>
      </w:r>
    </w:p>
    <w:p>
      <w:pPr>
        <w:pStyle w:val="68"/>
        <w:tabs>
          <w:tab w:val="left" w:pos="588"/>
        </w:tabs>
        <w:spacing w:line="360" w:lineRule="auto"/>
        <w:ind w:left="838" w:leftChars="399"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供应商为自然人的，应当由本人签字；供应商为法人或者其他组织的，应当由法定代表人或负责人签字或盖章，同时其授权代表签字，并加盖公章。</w:t>
      </w:r>
    </w:p>
    <w:p>
      <w:pPr>
        <w:tabs>
          <w:tab w:val="left" w:pos="588"/>
        </w:tabs>
        <w:spacing w:line="360" w:lineRule="auto"/>
        <w:ind w:left="960" w:hanging="960" w:hanging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27.5   符合要求的质疑，采购代理机构将予以受理并答复。</w:t>
      </w:r>
    </w:p>
    <w:p>
      <w:pPr>
        <w:tabs>
          <w:tab w:val="left" w:pos="588"/>
        </w:tabs>
        <w:spacing w:line="360" w:lineRule="auto"/>
        <w:ind w:left="840" w:leftChars="4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联系人：</w:t>
      </w:r>
      <w:r>
        <w:rPr>
          <w:rFonts w:hint="eastAsia" w:ascii="宋体" w:hAnsi="宋体" w:eastAsia="宋体" w:cs="宋体"/>
          <w:color w:val="auto"/>
          <w:sz w:val="24"/>
          <w:highlight w:val="none"/>
          <w:lang w:val="en-US" w:eastAsia="zh-CN"/>
        </w:rPr>
        <w:t>任工</w:t>
      </w:r>
      <w:r>
        <w:rPr>
          <w:rFonts w:hint="eastAsia" w:ascii="宋体" w:hAnsi="宋体" w:eastAsia="宋体" w:cs="宋体"/>
          <w:color w:val="auto"/>
          <w:sz w:val="24"/>
          <w:highlight w:val="none"/>
        </w:rPr>
        <w:t>，联系电话：</w:t>
      </w:r>
      <w:r>
        <w:rPr>
          <w:rFonts w:hint="eastAsia" w:ascii="宋体" w:hAnsi="宋体" w:eastAsia="宋体" w:cs="宋体"/>
          <w:color w:val="auto"/>
          <w:sz w:val="24"/>
          <w:highlight w:val="none"/>
          <w:lang w:val="en-US" w:eastAsia="zh-CN"/>
        </w:rPr>
        <w:t>15389336651</w:t>
      </w:r>
    </w:p>
    <w:p>
      <w:pPr>
        <w:tabs>
          <w:tab w:val="left" w:pos="588"/>
        </w:tabs>
        <w:spacing w:line="360" w:lineRule="auto"/>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27.6   供应商进行虚假和恶意质疑的，采购代理机构将提供相关资料报监督机构，按其情况进行相应处理。</w:t>
      </w:r>
    </w:p>
    <w:bookmarkEnd w:id="382"/>
    <w:bookmarkEnd w:id="383"/>
    <w:p>
      <w:pPr>
        <w:pStyle w:val="5"/>
        <w:rPr>
          <w:rFonts w:hint="eastAsia" w:ascii="宋体" w:hAnsi="宋体" w:eastAsia="宋体" w:cs="宋体"/>
          <w:b/>
          <w:bCs/>
          <w:color w:val="auto"/>
          <w:sz w:val="24"/>
          <w:szCs w:val="21"/>
          <w:highlight w:val="none"/>
        </w:rPr>
      </w:pPr>
      <w:bookmarkStart w:id="384" w:name="_Toc25547"/>
      <w:r>
        <w:rPr>
          <w:rFonts w:hint="eastAsia" w:ascii="宋体" w:hAnsi="宋体" w:eastAsia="宋体" w:cs="宋体"/>
          <w:b/>
          <w:bCs/>
          <w:color w:val="auto"/>
          <w:sz w:val="24"/>
          <w:szCs w:val="21"/>
          <w:highlight w:val="none"/>
        </w:rPr>
        <w:t>28.    履约保证金</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28.1   履约保证金金额见</w:t>
      </w:r>
      <w:r>
        <w:rPr>
          <w:rFonts w:hint="eastAsia" w:ascii="宋体" w:hAnsi="宋体" w:eastAsia="宋体" w:cs="宋体"/>
          <w:b/>
          <w:color w:val="auto"/>
          <w:sz w:val="24"/>
          <w:highlight w:val="none"/>
        </w:rPr>
        <w:t>供应商须知前附表</w:t>
      </w:r>
      <w:r>
        <w:rPr>
          <w:rFonts w:hint="eastAsia" w:ascii="宋体" w:hAnsi="宋体" w:eastAsia="宋体" w:cs="宋体"/>
          <w:color w:val="auto"/>
          <w:sz w:val="24"/>
          <w:highlight w:val="none"/>
        </w:rPr>
        <w:t>。</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28.2   履约保证金缴纳时间：合同签订前必须交纳至（采购人）。</w:t>
      </w:r>
    </w:p>
    <w:bookmarkEnd w:id="384"/>
    <w:p>
      <w:pPr>
        <w:tabs>
          <w:tab w:val="left" w:pos="588"/>
        </w:tabs>
        <w:spacing w:line="360" w:lineRule="auto"/>
        <w:ind w:left="840" w:hanging="840" w:hangingChars="350"/>
        <w:rPr>
          <w:rFonts w:hint="eastAsia" w:ascii="宋体" w:hAnsi="宋体" w:eastAsia="宋体" w:cs="宋体"/>
          <w:color w:val="auto"/>
          <w:sz w:val="24"/>
          <w:highlight w:val="none"/>
        </w:rPr>
      </w:pPr>
      <w:bookmarkStart w:id="385" w:name="_Toc1585"/>
      <w:r>
        <w:rPr>
          <w:rFonts w:hint="eastAsia" w:ascii="宋体" w:hAnsi="宋体" w:eastAsia="宋体" w:cs="宋体"/>
          <w:color w:val="auto"/>
          <w:sz w:val="24"/>
          <w:highlight w:val="none"/>
        </w:rPr>
        <w:t>28.3   履约保证金缴纳形式：成交供应商应当以支票、汇票、本票、保函（格式见附件2）等非现金形式缴纳。</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28.4   履约保证金收取单位名称：</w:t>
      </w:r>
    </w:p>
    <w:p>
      <w:pPr>
        <w:tabs>
          <w:tab w:val="left" w:pos="588"/>
        </w:tabs>
        <w:spacing w:line="360" w:lineRule="auto"/>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p>
      <w:pPr>
        <w:tabs>
          <w:tab w:val="left" w:pos="588"/>
        </w:tabs>
        <w:spacing w:line="360" w:lineRule="auto"/>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pPr>
        <w:tabs>
          <w:tab w:val="left" w:pos="588"/>
        </w:tabs>
        <w:spacing w:line="360" w:lineRule="auto"/>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               联系电话：/</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28.5   履约保证金退还的方式、时间、条件：/</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28.6   履约保证金不予退还的情况：/</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28.7   逾期退还履约保证金的违约责任：/</w:t>
      </w:r>
    </w:p>
    <w:p>
      <w:pPr>
        <w:pStyle w:val="5"/>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29.    成交服务费</w:t>
      </w:r>
    </w:p>
    <w:p>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29.1   成交供应商在领取成交通知书前，须向采购代理机构支付成交服务费</w:t>
      </w:r>
      <w:r>
        <w:rPr>
          <w:rFonts w:hint="eastAsia" w:ascii="宋体" w:hAnsi="宋体" w:eastAsia="宋体" w:cs="宋体"/>
          <w:color w:val="auto"/>
          <w:sz w:val="24"/>
          <w:highlight w:val="none"/>
          <w:lang w:eastAsia="zh-CN"/>
        </w:rPr>
        <w:t>。</w:t>
      </w:r>
    </w:p>
    <w:p>
      <w:pPr>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29.2   成交单位的代理服务费交纳信息</w:t>
      </w:r>
    </w:p>
    <w:p>
      <w:pPr>
        <w:tabs>
          <w:tab w:val="left" w:pos="588"/>
        </w:tabs>
        <w:spacing w:line="360" w:lineRule="auto"/>
        <w:ind w:left="838" w:leftChars="342" w:hanging="120" w:hanging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保证金户名：中盛精诚工程项目管理有限公司西安第一分公司</w:t>
      </w:r>
    </w:p>
    <w:p>
      <w:pPr>
        <w:tabs>
          <w:tab w:val="left" w:pos="588"/>
        </w:tabs>
        <w:spacing w:line="360" w:lineRule="auto"/>
        <w:ind w:left="838" w:leftChars="342" w:hanging="120" w:hanging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开 户银 行：中国建设银行股份有限公司西安经济技术开发区支行 </w:t>
      </w:r>
    </w:p>
    <w:p>
      <w:pPr>
        <w:tabs>
          <w:tab w:val="left" w:pos="588"/>
        </w:tabs>
        <w:spacing w:line="360" w:lineRule="auto"/>
        <w:ind w:left="838" w:leftChars="342" w:hanging="120" w:hanging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账      号：61050193004100002174</w:t>
      </w:r>
    </w:p>
    <w:p>
      <w:pPr>
        <w:tabs>
          <w:tab w:val="left" w:pos="588"/>
        </w:tabs>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联  系  人：王鹂  电话：029-81316677</w:t>
      </w:r>
    </w:p>
    <w:p>
      <w:pPr>
        <w:pStyle w:val="5"/>
        <w:numPr>
          <w:ilvl w:val="0"/>
          <w:numId w:val="12"/>
        </w:numPr>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 xml:space="preserve">  采购人追加采购数量的权力</w:t>
      </w:r>
      <w:bookmarkEnd w:id="385"/>
    </w:p>
    <w:p>
      <w:pPr>
        <w:tabs>
          <w:tab w:val="left" w:pos="588"/>
        </w:tabs>
        <w:spacing w:line="360" w:lineRule="auto"/>
        <w:ind w:left="840" w:leftChars="400"/>
        <w:rPr>
          <w:rFonts w:hint="eastAsia" w:ascii="宋体" w:hAnsi="宋体" w:eastAsia="宋体" w:cs="宋体"/>
          <w:color w:val="auto"/>
          <w:sz w:val="24"/>
          <w:highlight w:val="none"/>
        </w:rPr>
      </w:pPr>
      <w:bookmarkStart w:id="386" w:name="_Toc385992366"/>
      <w:bookmarkStart w:id="387" w:name="_Toc389620205"/>
      <w:r>
        <w:rPr>
          <w:rFonts w:hint="eastAsia" w:ascii="宋体" w:hAnsi="宋体" w:eastAsia="宋体" w:cs="宋体"/>
          <w:color w:val="auto"/>
          <w:sz w:val="24"/>
          <w:highlight w:val="none"/>
        </w:rPr>
        <w:t>在合同履行中，采购人需追加与合同标的相同服务的，在不改变合同其他条款的前提下，采购人有权与成交供应商协商签订补充合同，但所有补充合同的采购金额不得超过原合同采购金额的10%。</w:t>
      </w:r>
    </w:p>
    <w:p>
      <w:pPr>
        <w:pStyle w:val="5"/>
        <w:numPr>
          <w:ilvl w:val="0"/>
          <w:numId w:val="12"/>
        </w:numPr>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 xml:space="preserve">   其他情况</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31.1   磋商截止时间结束后，递交响应文件或者经评审的实质性响应磋商文件的供应商不足三家，采购代理机构应当终止竞争性磋商活动，发布项目终止公告并说明原因，重新开展采购活动。政府购买服务项目符合（财库〔2015〕124号）的情况除外。</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31.2   连续两次进行竞争性磋商活动，因符合磋商要求供应商不足3家，经请示政府采购管理部门同意后，可继续进行竞争性磋商活动。</w:t>
      </w:r>
    </w:p>
    <w:p>
      <w:pPr>
        <w:pStyle w:val="5"/>
        <w:numPr>
          <w:ilvl w:val="0"/>
          <w:numId w:val="12"/>
        </w:numPr>
        <w:rPr>
          <w:rFonts w:hint="eastAsia" w:ascii="宋体" w:hAnsi="宋体" w:eastAsia="宋体" w:cs="宋体"/>
          <w:b/>
          <w:bCs/>
          <w:color w:val="auto"/>
          <w:sz w:val="24"/>
          <w:szCs w:val="21"/>
          <w:highlight w:val="none"/>
        </w:rPr>
      </w:pPr>
      <w:r>
        <w:rPr>
          <w:rFonts w:hint="eastAsia" w:ascii="宋体" w:hAnsi="宋体" w:eastAsia="宋体" w:cs="宋体"/>
          <w:b/>
          <w:bCs/>
          <w:color w:val="auto"/>
          <w:sz w:val="24"/>
          <w:szCs w:val="21"/>
          <w:highlight w:val="none"/>
        </w:rPr>
        <w:t xml:space="preserve">   政府采购信用担保及融资</w:t>
      </w:r>
    </w:p>
    <w:p>
      <w:pPr>
        <w:pStyle w:val="22"/>
        <w:ind w:left="840" w:hanging="840" w:hangingChars="350"/>
        <w:rPr>
          <w:rFonts w:hint="eastAsia" w:ascii="宋体" w:hAnsi="宋体" w:eastAsia="宋体" w:cs="宋体"/>
          <w:color w:val="auto"/>
          <w:sz w:val="24"/>
          <w:highlight w:val="none"/>
        </w:rPr>
      </w:pPr>
      <w:r>
        <w:rPr>
          <w:rFonts w:hint="eastAsia" w:ascii="宋体" w:hAnsi="宋体" w:eastAsia="宋体" w:cs="宋体"/>
          <w:color w:val="auto"/>
          <w:sz w:val="24"/>
          <w:highlight w:val="none"/>
        </w:rPr>
        <w:t>32.1   供应商递交的履约担保函应符合本磋商文件的规定。</w:t>
      </w:r>
    </w:p>
    <w:p>
      <w:pPr>
        <w:spacing w:line="360" w:lineRule="auto"/>
        <w:ind w:left="850" w:hanging="849" w:hangingChars="354"/>
        <w:rPr>
          <w:rFonts w:hint="eastAsia" w:ascii="宋体" w:hAnsi="宋体" w:eastAsia="宋体" w:cs="宋体"/>
          <w:color w:val="auto"/>
          <w:sz w:val="24"/>
          <w:highlight w:val="none"/>
        </w:rPr>
      </w:pPr>
      <w:r>
        <w:rPr>
          <w:rFonts w:hint="eastAsia" w:ascii="宋体" w:hAnsi="宋体" w:eastAsia="宋体" w:cs="宋体"/>
          <w:color w:val="auto"/>
          <w:sz w:val="24"/>
          <w:highlight w:val="none"/>
        </w:rPr>
        <w:t>32.2   为缓解中小企业融资困难，陕西省财政厅出台了《陕西省中小企业政府采购信用融资办法》（陕财办采﹝2018﹞23号），中标供应商如有融资需求，可登录“陕西省政府采购网-陕西省政府采购信用融资平台（http://www.ccgp-shaanxi.gov.cn/zcdservice/zcd/shanxi/）”了解详情。</w:t>
      </w:r>
    </w:p>
    <w:p>
      <w:pPr>
        <w:pStyle w:val="22"/>
        <w:tabs>
          <w:tab w:val="left" w:pos="567"/>
        </w:tabs>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政府采购信用融资，是指银行业金融机构（以下简称银行）以政府采购诚信考核和信用审查为基础，凭借政府采购合同，按优于一般中小企业的贷款利率直接向申请贷款的供应商发放贷款的一种融资方式。</w:t>
      </w:r>
    </w:p>
    <w:p>
      <w:pPr>
        <w:pStyle w:val="22"/>
        <w:tabs>
          <w:tab w:val="left" w:pos="567"/>
        </w:tabs>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pPr>
        <w:pStyle w:val="22"/>
        <w:tabs>
          <w:tab w:val="left" w:pos="567"/>
        </w:tabs>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银行为参与政府采购融资的中小企业提供的产品，应以信用贷款为主，贷款利率应当优于一般中小企业的贷款利率水平，并将产品信息（包括贷款发放条件、利率优惠、贷款金额）等在陕西政府采购网予以展示。</w:t>
      </w:r>
    </w:p>
    <w:p>
      <w:pPr>
        <w:pStyle w:val="22"/>
        <w:tabs>
          <w:tab w:val="left" w:pos="567"/>
        </w:tabs>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pPr>
        <w:pStyle w:val="22"/>
        <w:tabs>
          <w:tab w:val="left" w:pos="567"/>
        </w:tabs>
        <w:ind w:left="840" w:left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p>
    <w:p>
      <w:pPr>
        <w:pStyle w:val="22"/>
        <w:tabs>
          <w:tab w:val="left" w:pos="567"/>
        </w:tabs>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省级政府采购项目贷款银行信息：</w:t>
      </w:r>
    </w:p>
    <w:p>
      <w:pPr>
        <w:rPr>
          <w:rFonts w:hint="eastAsia" w:ascii="宋体" w:hAnsi="宋体" w:eastAsia="宋体" w:cs="宋体"/>
          <w:b/>
          <w:color w:val="auto"/>
          <w:szCs w:val="21"/>
          <w:highlight w:val="none"/>
        </w:rPr>
      </w:pPr>
      <w:r>
        <w:rPr>
          <w:rFonts w:hint="eastAsia" w:ascii="宋体" w:hAnsi="宋体" w:eastAsia="宋体" w:cs="宋体"/>
          <w:color w:val="auto"/>
          <w:highlight w:val="none"/>
        </w:rPr>
        <w:t xml:space="preserve"> </w:t>
      </w:r>
      <w:r>
        <w:rPr>
          <w:rFonts w:hint="eastAsia" w:ascii="宋体" w:hAnsi="宋体" w:eastAsia="宋体" w:cs="宋体"/>
          <w:b/>
          <w:color w:val="auto"/>
          <w:szCs w:val="21"/>
          <w:highlight w:val="none"/>
        </w:rPr>
        <w:t>一、陕西建行（E政通）</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陕西省分行营业部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西安市南广济街38号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白玉皓</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13201603166</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西安莲湖路支行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西安市莲湖路35号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刘  冲</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17702902131</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西安曲江支行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西安市雁塔南路2216号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樊理君</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18691568151</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西安高新区支行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西安市高新路42号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卞斯超</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15191075651</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西安经开区支行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西安市未央路125号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惠  媛</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17792256100</w:t>
      </w:r>
    </w:p>
    <w:p>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西安南大街支行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西安市南大街15号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乔  鉴</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18089136919</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西安和平路支行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西安市和平路101号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  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18691816821</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西安兴庆路支行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西安市兴庆路61号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李  妍</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13892880386</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西安新城支行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西安市南新街29号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朱子君</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18629286269</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西安长安区支行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西安市长安区青年街2号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王淑芸</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13572289603</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咸阳分行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咸阳市西兰路4号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邰  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13299079906</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宝鸡市红旗路36号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李  倩</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18629019817</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铜川分行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铜川市新区正阳路与长虹路十字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张小波</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18691932636</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榆林市高新技术产业园区创业大厦</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张君君</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15991929275</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延安市宝塔区中心街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陈进佃</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15609110557</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汉中分行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汉中市石灰巷21号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王晨旭</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15319375850</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安康分行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安康市育才路102号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张少帅</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13165762680</w:t>
      </w:r>
    </w:p>
    <w:p>
      <w:pPr>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商洛分行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商洛市名人街广电大楼下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郭  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17809267188</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二、北京银行（政府订单贷）</w:t>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西安分行营业部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刘晓伟</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总经理助理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029-61828763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18066630518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西安高新开发区支行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梁凡</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行长助理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029-61828531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18681945597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西安曲江文创支行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蒋超</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室经理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029-65667366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15891737329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西安经济技术开发区支行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孟庆龙</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行长助理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029-61828272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13991990373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西安长缨路支行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范凯</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副行长</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029-68717760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13991315609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长安区西长安街支行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陈明</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行长助理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029-85724301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18149209660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泾渭工业园支行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杨奕</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室经理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029-68213773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15934802021</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北客站科技支行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周洁</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副行长</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029-61828129</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18629518636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解放路支行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王莉</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行长助理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029-61828185</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15802966196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            奥宝森</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室经理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0911-8076038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15592925222</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三、工商银行（政采贷）</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张岭</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0912-6183827</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15353386777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郭进</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0917-3238282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18991749262</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安康分行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郑婕</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0915-3236275</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15667856663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铜川分行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彭东东</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0919-2151878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17392898832</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党莹</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经理助理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0911-2380826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15291142933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汉中分行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杨薇薇</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部门副经理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0916-2606773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18591607453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渭南分行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张欢</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09132095066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15229730006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咸阳分行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袁霖</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029-33259370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18591006506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商洛分行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张铮</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经理助理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0914-2310908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18691410305</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商洛分行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余勇博</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0914-2310908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18092802280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巩越</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029-87609419</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18629450680</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四、中信银行 （政采e贷）</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西安市朱雀大街中段1号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曹晓聪</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13759957407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咸阳分行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秦皇中路绿苑大厦</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杭群</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13992016859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宝鸡市高新大道50号财富大厦B座</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王尧</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13636762976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渭南分行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渭南市朝阳大街中段信达广场世纪明珠大厦</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杨阳</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18191815559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榆林市高新区长兴路248号中信银行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刘洪巍</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13636885556</w:t>
      </w:r>
    </w:p>
    <w:p>
      <w:pPr>
        <w:ind w:left="1680" w:leftChars="200" w:hanging="1260" w:hangingChars="6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汉中分行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汉中市汉台区西二环路与劳动西路东南汉中滨江•公园壹号（产业孵化区）3B号楼</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陈真</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18509165068</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五、中国光大银行（阳光政采贷）</w:t>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r>
        <w:rPr>
          <w:rFonts w:hint="eastAsia" w:ascii="宋体" w:hAnsi="宋体" w:eastAsia="宋体" w:cs="宋体"/>
          <w:b/>
          <w:color w:val="auto"/>
          <w:szCs w:val="21"/>
          <w:highlight w:val="none"/>
        </w:rPr>
        <w:tab/>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杨 欢</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0917-3451055</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18329677163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尚云鹏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0912-3548019</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18690473126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延安分行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汪昊田</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0911-8011831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13509115500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咸阳分行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侯 佳</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32100021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15229500088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营销一部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李 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87236311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13772031109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营销二部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朱翰辰</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87236201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17791788078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营业部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张翔琮</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87236306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18829235568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电子城支行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张曼玉</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88247071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18009298787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明德门支行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 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85350770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13991249430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东大街支行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刘 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87438914</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15029673754</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经济开发区支行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陆家俊</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86525176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18629303397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凤城九路支行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宋 宜</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89155022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18966911622</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兴庆路支行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司 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83290033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18629251819</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长乐西路支行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 超</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82566208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15877390201</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友谊路支行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贠程敏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88422067</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18792795210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边家村支行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 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85251673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15309223048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北关支行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菅新培</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86248203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18092169361</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南郊支行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程 拓</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85265234</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13772491661</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西关正街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马 瑜</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89548109</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13772337373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丈八东路支行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杨筱凡</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81026910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15129044185</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雁塔路支行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闫梓闶</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82222501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18691561524</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唐延路支行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尉二宝</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88329478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13991930150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枫林绿洲支行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杨 嘉</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87302120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13609199490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南关正街支行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郭 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85230722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18066610983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南二环支行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刘 超</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88362861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18192080396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曲江支行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田 鹏</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81205890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13991937977</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太白路支行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马振林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68912880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15353736656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明光路支行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刘二渭</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81623506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13201793405</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凤城二路支行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 洋</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86680267</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13720423343</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昆明路支行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 洁</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84592506</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13991821278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丈八北路支行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郭 浩</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81875192</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15667087662</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新城支行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余振东</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87251680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18066617238</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六、浦发银行 （政采e贷）</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吴晨雨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029-63603803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15991724645</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陈福全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029-63603441</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17782511994</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韩瑾</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029-63603443</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18202909790</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李瑞雪</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客户经理</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029-63603445</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18220862398</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陈晓晓</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0912-2216068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15691269965</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榆林分行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郭小东</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0912-2216008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15291820586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张一岚</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0917-8662919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18690008816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宝鸡分行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朱强</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 xml:space="preserve">0917-8662926 </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13909176381</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渭南分行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王晓峰</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0913-3357080</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13992363166</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咸阳分行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薛晗</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公司业务部</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029-32083788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15109226216</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七、兴业银行（政采贷）</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朱靖</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总监</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029-87482998</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13363979983</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八、中国民生银行（政采贷）</w:t>
      </w:r>
    </w:p>
    <w:p>
      <w:pPr>
        <w:ind w:left="2310" w:leftChars="200" w:hanging="1890" w:hangingChars="9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民生银行西安分行  联系人：陈经理 联系电话：61815275 /18821669199</w:t>
      </w:r>
      <w:r>
        <w:rPr>
          <w:rFonts w:hint="eastAsia" w:ascii="宋体" w:hAnsi="宋体" w:eastAsia="宋体" w:cs="宋体"/>
          <w:color w:val="auto"/>
          <w:szCs w:val="21"/>
          <w:highlight w:val="none"/>
        </w:rPr>
        <w:br w:type="textWrapping"/>
      </w:r>
      <w:r>
        <w:rPr>
          <w:rFonts w:hint="eastAsia" w:ascii="宋体" w:hAnsi="宋体" w:eastAsia="宋体" w:cs="宋体"/>
          <w:color w:val="auto"/>
          <w:szCs w:val="21"/>
          <w:highlight w:val="none"/>
        </w:rPr>
        <w:t xml:space="preserve">联系人：王经理 联系电话：61815280 /18591953690 </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九、浙商银行 （政采贷）</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西安分行</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西安市雁塔区科技路259号</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曹金辉</w:t>
      </w:r>
      <w:r>
        <w:rPr>
          <w:rFonts w:hint="eastAsia" w:ascii="宋体" w:hAnsi="宋体" w:eastAsia="宋体" w:cs="宋体"/>
          <w:color w:val="auto"/>
          <w:szCs w:val="21"/>
          <w:highlight w:val="none"/>
        </w:rPr>
        <w:tab/>
      </w:r>
      <w:r>
        <w:rPr>
          <w:rFonts w:hint="eastAsia" w:ascii="宋体" w:hAnsi="宋体" w:eastAsia="宋体" w:cs="宋体"/>
          <w:color w:val="auto"/>
          <w:szCs w:val="21"/>
          <w:highlight w:val="none"/>
        </w:rPr>
        <w:t>18710993980</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十、 招商银行（政采贷） </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招商银行西安分行   联系人：任瑾；85438988</w:t>
      </w:r>
    </w:p>
    <w:p>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十一、 长安银行（小微贷） </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长安银行西安曲江新区支行 地址：西安市曲江新区雁南一路3号  </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联系人：陈瑶 13629266833 </w:t>
      </w:r>
    </w:p>
    <w:bookmarkEnd w:id="386"/>
    <w:bookmarkEnd w:id="387"/>
    <w:p>
      <w:pPr>
        <w:rPr>
          <w:rFonts w:hint="eastAsia" w:ascii="宋体" w:hAnsi="宋体" w:eastAsia="宋体" w:cs="宋体"/>
          <w:b/>
          <w:color w:val="auto"/>
          <w:szCs w:val="21"/>
          <w:highlight w:val="none"/>
        </w:rPr>
      </w:pPr>
      <w:bookmarkStart w:id="388" w:name="_Toc184114070"/>
      <w:bookmarkStart w:id="389" w:name="_Toc230013637"/>
      <w:bookmarkStart w:id="390" w:name="_Toc230099802"/>
      <w:bookmarkStart w:id="391" w:name="_Toc184025279"/>
      <w:r>
        <w:rPr>
          <w:rFonts w:hint="eastAsia" w:ascii="宋体" w:hAnsi="宋体" w:eastAsia="宋体" w:cs="宋体"/>
          <w:b/>
          <w:color w:val="auto"/>
          <w:szCs w:val="21"/>
          <w:highlight w:val="none"/>
        </w:rPr>
        <w:t>十二、网商银行（合同贷）</w:t>
      </w:r>
      <w:r>
        <w:rPr>
          <w:rFonts w:hint="eastAsia" w:ascii="宋体" w:hAnsi="宋体" w:eastAsia="宋体" w:cs="宋体"/>
          <w:b/>
          <w:color w:val="auto"/>
          <w:szCs w:val="21"/>
          <w:highlight w:val="none"/>
        </w:rPr>
        <w:br w:type="textWrapping"/>
      </w:r>
      <w:r>
        <w:rPr>
          <w:rFonts w:hint="eastAsia" w:ascii="宋体" w:hAnsi="宋体" w:eastAsia="宋体" w:cs="宋体"/>
          <w:b/>
          <w:color w:val="auto"/>
          <w:szCs w:val="21"/>
          <w:highlight w:val="none"/>
        </w:rPr>
        <w:t>十三、中国邮政储蓄银行陕西省分行（政采贷）</w:t>
      </w:r>
    </w:p>
    <w:p>
      <w:pPr>
        <w:pStyle w:val="22"/>
        <w:tabs>
          <w:tab w:val="left" w:pos="567"/>
        </w:tabs>
        <w:rPr>
          <w:rFonts w:hint="eastAsia" w:ascii="宋体" w:hAnsi="宋体" w:eastAsia="宋体" w:cs="宋体"/>
          <w:color w:val="auto"/>
          <w:sz w:val="24"/>
          <w:highlight w:val="none"/>
        </w:rPr>
      </w:pPr>
      <w:r>
        <w:rPr>
          <w:rFonts w:hint="eastAsia" w:ascii="宋体" w:hAnsi="宋体" w:eastAsia="宋体" w:cs="宋体"/>
          <w:color w:val="auto"/>
          <w:sz w:val="24"/>
          <w:highlight w:val="none"/>
        </w:rPr>
        <w:t>渭南市政府采购贷款银行信息：</w:t>
      </w:r>
    </w:p>
    <w:tbl>
      <w:tblPr>
        <w:tblStyle w:val="50"/>
        <w:tblW w:w="5006" w:type="pct"/>
        <w:tblInd w:w="0" w:type="dxa"/>
        <w:tblLayout w:type="autofit"/>
        <w:tblCellMar>
          <w:top w:w="0" w:type="dxa"/>
          <w:left w:w="108" w:type="dxa"/>
          <w:bottom w:w="0" w:type="dxa"/>
          <w:right w:w="108" w:type="dxa"/>
        </w:tblCellMar>
      </w:tblPr>
      <w:tblGrid>
        <w:gridCol w:w="1328"/>
        <w:gridCol w:w="2212"/>
        <w:gridCol w:w="2303"/>
        <w:gridCol w:w="3454"/>
      </w:tblGrid>
      <w:tr>
        <w:tblPrEx>
          <w:tblCellMar>
            <w:top w:w="0" w:type="dxa"/>
            <w:left w:w="108" w:type="dxa"/>
            <w:bottom w:w="0" w:type="dxa"/>
            <w:right w:w="108" w:type="dxa"/>
          </w:tblCellMar>
        </w:tblPrEx>
        <w:trPr>
          <w:trHeight w:val="487" w:hRule="atLeast"/>
        </w:trPr>
        <w:tc>
          <w:tcPr>
            <w:tcW w:w="71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序号</w:t>
            </w:r>
          </w:p>
        </w:tc>
        <w:tc>
          <w:tcPr>
            <w:tcW w:w="1189"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单位名称</w:t>
            </w:r>
          </w:p>
        </w:tc>
        <w:tc>
          <w:tcPr>
            <w:tcW w:w="123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联系人</w:t>
            </w:r>
          </w:p>
        </w:tc>
        <w:tc>
          <w:tcPr>
            <w:tcW w:w="1857"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联系电话</w:t>
            </w: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建设银行</w:t>
            </w:r>
          </w:p>
        </w:tc>
        <w:tc>
          <w:tcPr>
            <w:tcW w:w="123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top"/>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郭煜庆 田宇</w:t>
            </w:r>
          </w:p>
        </w:tc>
        <w:tc>
          <w:tcPr>
            <w:tcW w:w="1857"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top"/>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13892535580</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17797059890</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2</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浦发银行</w:t>
            </w:r>
          </w:p>
        </w:tc>
        <w:tc>
          <w:tcPr>
            <w:tcW w:w="123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孙哲龙 蒙波</w:t>
            </w:r>
          </w:p>
        </w:tc>
        <w:tc>
          <w:tcPr>
            <w:tcW w:w="1857"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13892383911</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15249035320</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3</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中信银行</w:t>
            </w:r>
          </w:p>
        </w:tc>
        <w:tc>
          <w:tcPr>
            <w:tcW w:w="123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杨洋 耿浩</w:t>
            </w:r>
          </w:p>
        </w:tc>
        <w:tc>
          <w:tcPr>
            <w:tcW w:w="1857"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18191815559</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13193388328</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4</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兴业银行</w:t>
            </w:r>
          </w:p>
        </w:tc>
        <w:tc>
          <w:tcPr>
            <w:tcW w:w="1238"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权奥星</w:t>
            </w:r>
          </w:p>
        </w:tc>
        <w:tc>
          <w:tcPr>
            <w:tcW w:w="1857"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15706090239</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5</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工商银行</w:t>
            </w:r>
          </w:p>
        </w:tc>
        <w:tc>
          <w:tcPr>
            <w:tcW w:w="123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张剑 张欢</w:t>
            </w:r>
          </w:p>
        </w:tc>
        <w:tc>
          <w:tcPr>
            <w:tcW w:w="1857"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18191356300</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15229730006</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312" w:hRule="atLeast"/>
        </w:trPr>
        <w:tc>
          <w:tcPr>
            <w:tcW w:w="714"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6</w:t>
            </w:r>
          </w:p>
        </w:tc>
        <w:tc>
          <w:tcPr>
            <w:tcW w:w="1189"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长安银行</w:t>
            </w:r>
          </w:p>
        </w:tc>
        <w:tc>
          <w:tcPr>
            <w:tcW w:w="1238"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李华</w:t>
            </w:r>
          </w:p>
        </w:tc>
        <w:tc>
          <w:tcPr>
            <w:tcW w:w="1857" w:type="pct"/>
            <w:vMerge w:val="restar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13335331958</w:t>
            </w:r>
          </w:p>
        </w:tc>
      </w:tr>
      <w:tr>
        <w:tblPrEx>
          <w:tblCellMar>
            <w:top w:w="0" w:type="dxa"/>
            <w:left w:w="108" w:type="dxa"/>
            <w:bottom w:w="0" w:type="dxa"/>
            <w:right w:w="108" w:type="dxa"/>
          </w:tblCellMar>
        </w:tblPrEx>
        <w:trPr>
          <w:trHeight w:val="312" w:hRule="atLeast"/>
        </w:trPr>
        <w:tc>
          <w:tcPr>
            <w:tcW w:w="714"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189"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238"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c>
          <w:tcPr>
            <w:tcW w:w="1857" w:type="pct"/>
            <w:vMerge w:val="continue"/>
            <w:tcBorders>
              <w:top w:val="single" w:color="000000" w:sz="4" w:space="0"/>
              <w:left w:val="single" w:color="000000" w:sz="4" w:space="0"/>
              <w:bottom w:val="single" w:color="000000" w:sz="4" w:space="0"/>
              <w:right w:val="single" w:color="000000" w:sz="4" w:space="0"/>
            </w:tcBorders>
            <w:noWrap/>
            <w:vAlign w:val="center"/>
          </w:tcPr>
          <w:p>
            <w:pPr>
              <w:spacing w:line="240" w:lineRule="exact"/>
              <w:jc w:val="center"/>
              <w:rPr>
                <w:rFonts w:hint="eastAsia" w:ascii="宋体" w:hAnsi="宋体" w:eastAsia="宋体" w:cs="宋体"/>
                <w:color w:val="auto"/>
                <w:szCs w:val="21"/>
                <w:highlight w:val="none"/>
              </w:rPr>
            </w:pPr>
          </w:p>
        </w:tc>
      </w:tr>
      <w:tr>
        <w:tblPrEx>
          <w:tblCellMar>
            <w:top w:w="0" w:type="dxa"/>
            <w:left w:w="108" w:type="dxa"/>
            <w:bottom w:w="0" w:type="dxa"/>
            <w:right w:w="108" w:type="dxa"/>
          </w:tblCellMar>
        </w:tblPrEx>
        <w:trPr>
          <w:trHeight w:val="506" w:hRule="atLeast"/>
        </w:trPr>
        <w:tc>
          <w:tcPr>
            <w:tcW w:w="714"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7</w:t>
            </w:r>
          </w:p>
        </w:tc>
        <w:tc>
          <w:tcPr>
            <w:tcW w:w="1189"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邮储银行</w:t>
            </w:r>
          </w:p>
        </w:tc>
        <w:tc>
          <w:tcPr>
            <w:tcW w:w="1238" w:type="pct"/>
            <w:tcBorders>
              <w:top w:val="single" w:color="000000" w:sz="4" w:space="0"/>
              <w:left w:val="single" w:color="000000" w:sz="4" w:space="0"/>
              <w:bottom w:val="single" w:color="000000" w:sz="4" w:space="0"/>
              <w:right w:val="single" w:color="000000" w:sz="4" w:space="0"/>
            </w:tcBorders>
            <w:noWrap/>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张萱</w:t>
            </w:r>
          </w:p>
        </w:tc>
        <w:tc>
          <w:tcPr>
            <w:tcW w:w="1857" w:type="pct"/>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lang w:bidi="ar"/>
              </w:rPr>
              <w:t>13028431555</w:t>
            </w:r>
            <w:r>
              <w:rPr>
                <w:rFonts w:hint="eastAsia" w:ascii="宋体" w:hAnsi="宋体" w:eastAsia="宋体" w:cs="宋体"/>
                <w:color w:val="auto"/>
                <w:kern w:val="0"/>
                <w:szCs w:val="21"/>
                <w:highlight w:val="none"/>
                <w:lang w:bidi="ar"/>
              </w:rPr>
              <w:br w:type="textWrapping"/>
            </w:r>
            <w:r>
              <w:rPr>
                <w:rFonts w:hint="eastAsia" w:ascii="宋体" w:hAnsi="宋体" w:eastAsia="宋体" w:cs="宋体"/>
                <w:color w:val="auto"/>
                <w:kern w:val="0"/>
                <w:szCs w:val="21"/>
                <w:highlight w:val="none"/>
                <w:lang w:bidi="ar"/>
              </w:rPr>
              <w:t>18091365182</w:t>
            </w:r>
          </w:p>
        </w:tc>
      </w:tr>
    </w:tbl>
    <w:p>
      <w:pPr>
        <w:pStyle w:val="22"/>
        <w:tabs>
          <w:tab w:val="left" w:pos="567"/>
        </w:tabs>
        <w:rPr>
          <w:rFonts w:hint="eastAsia" w:ascii="宋体" w:hAnsi="宋体" w:eastAsia="宋体" w:cs="宋体"/>
          <w:color w:val="auto"/>
          <w:szCs w:val="21"/>
          <w:highlight w:val="none"/>
        </w:rPr>
      </w:pPr>
    </w:p>
    <w:p>
      <w:pPr>
        <w:pStyle w:val="22"/>
        <w:tabs>
          <w:tab w:val="left" w:pos="567"/>
        </w:tabs>
        <w:rPr>
          <w:rFonts w:hint="eastAsia" w:ascii="宋体" w:hAnsi="宋体" w:eastAsia="宋体" w:cs="宋体"/>
          <w:color w:val="auto"/>
          <w:sz w:val="24"/>
          <w:highlight w:val="none"/>
        </w:rPr>
      </w:pPr>
      <w:r>
        <w:rPr>
          <w:rFonts w:hint="eastAsia" w:ascii="宋体" w:hAnsi="宋体" w:eastAsia="宋体" w:cs="宋体"/>
          <w:color w:val="auto"/>
          <w:sz w:val="24"/>
          <w:highlight w:val="none"/>
        </w:rPr>
        <w:t>延安市政府采购贷款银行信息：</w:t>
      </w:r>
    </w:p>
    <w:tbl>
      <w:tblPr>
        <w:tblStyle w:val="51"/>
        <w:tblW w:w="9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2321"/>
        <w:gridCol w:w="3794"/>
        <w:gridCol w:w="851"/>
        <w:gridCol w:w="17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0" w:type="auto"/>
            <w:vAlign w:val="center"/>
          </w:tcPr>
          <w:p>
            <w:pPr>
              <w:spacing w:line="500" w:lineRule="exact"/>
              <w:jc w:val="center"/>
              <w:rPr>
                <w:rFonts w:hint="eastAsia" w:ascii="宋体" w:hAnsi="宋体" w:eastAsia="宋体" w:cs="宋体"/>
                <w:b/>
                <w:bCs/>
                <w:color w:val="auto"/>
                <w:kern w:val="0"/>
                <w:szCs w:val="21"/>
                <w:highlight w:val="none"/>
                <w:shd w:val="clear" w:color="auto" w:fill="FFFFFF"/>
              </w:rPr>
            </w:pPr>
            <w:r>
              <w:rPr>
                <w:rFonts w:hint="eastAsia" w:ascii="宋体" w:hAnsi="宋体" w:eastAsia="宋体" w:cs="宋体"/>
                <w:b/>
                <w:bCs/>
                <w:color w:val="auto"/>
                <w:kern w:val="0"/>
                <w:szCs w:val="21"/>
                <w:highlight w:val="none"/>
                <w:shd w:val="clear" w:color="auto" w:fill="FFFFFF"/>
              </w:rPr>
              <w:t>序号</w:t>
            </w:r>
          </w:p>
        </w:tc>
        <w:tc>
          <w:tcPr>
            <w:tcW w:w="0" w:type="auto"/>
            <w:vAlign w:val="center"/>
          </w:tcPr>
          <w:p>
            <w:pPr>
              <w:spacing w:line="500" w:lineRule="exact"/>
              <w:jc w:val="center"/>
              <w:rPr>
                <w:rFonts w:hint="eastAsia" w:ascii="宋体" w:hAnsi="宋体" w:eastAsia="宋体" w:cs="宋体"/>
                <w:b/>
                <w:bCs/>
                <w:color w:val="auto"/>
                <w:kern w:val="0"/>
                <w:szCs w:val="21"/>
                <w:highlight w:val="none"/>
                <w:shd w:val="clear" w:color="auto" w:fill="FFFFFF"/>
              </w:rPr>
            </w:pPr>
            <w:r>
              <w:rPr>
                <w:rFonts w:hint="eastAsia" w:ascii="宋体" w:hAnsi="宋体" w:eastAsia="宋体" w:cs="宋体"/>
                <w:b/>
                <w:bCs/>
                <w:color w:val="auto"/>
                <w:kern w:val="0"/>
                <w:szCs w:val="21"/>
                <w:highlight w:val="none"/>
                <w:shd w:val="clear" w:color="auto" w:fill="FFFFFF"/>
              </w:rPr>
              <w:t>银行</w:t>
            </w:r>
          </w:p>
        </w:tc>
        <w:tc>
          <w:tcPr>
            <w:tcW w:w="0" w:type="auto"/>
            <w:vAlign w:val="center"/>
          </w:tcPr>
          <w:p>
            <w:pPr>
              <w:spacing w:line="500" w:lineRule="exact"/>
              <w:jc w:val="center"/>
              <w:rPr>
                <w:rFonts w:hint="eastAsia" w:ascii="宋体" w:hAnsi="宋体" w:eastAsia="宋体" w:cs="宋体"/>
                <w:b/>
                <w:bCs/>
                <w:color w:val="auto"/>
                <w:kern w:val="0"/>
                <w:szCs w:val="21"/>
                <w:highlight w:val="none"/>
                <w:shd w:val="clear" w:color="auto" w:fill="FFFFFF"/>
              </w:rPr>
            </w:pPr>
            <w:r>
              <w:rPr>
                <w:rFonts w:hint="eastAsia" w:ascii="宋体" w:hAnsi="宋体" w:eastAsia="宋体" w:cs="宋体"/>
                <w:b/>
                <w:bCs/>
                <w:color w:val="auto"/>
                <w:kern w:val="0"/>
                <w:szCs w:val="21"/>
                <w:highlight w:val="none"/>
                <w:shd w:val="clear" w:color="auto" w:fill="FFFFFF"/>
              </w:rPr>
              <w:t>地址</w:t>
            </w:r>
          </w:p>
        </w:tc>
        <w:tc>
          <w:tcPr>
            <w:tcW w:w="0" w:type="auto"/>
            <w:vAlign w:val="center"/>
          </w:tcPr>
          <w:p>
            <w:pPr>
              <w:spacing w:line="500" w:lineRule="exact"/>
              <w:jc w:val="center"/>
              <w:rPr>
                <w:rFonts w:hint="eastAsia" w:ascii="宋体" w:hAnsi="宋体" w:eastAsia="宋体" w:cs="宋体"/>
                <w:b/>
                <w:bCs/>
                <w:color w:val="auto"/>
                <w:kern w:val="0"/>
                <w:szCs w:val="21"/>
                <w:highlight w:val="none"/>
                <w:shd w:val="clear" w:color="auto" w:fill="FFFFFF"/>
              </w:rPr>
            </w:pPr>
            <w:r>
              <w:rPr>
                <w:rFonts w:hint="eastAsia" w:ascii="宋体" w:hAnsi="宋体" w:eastAsia="宋体" w:cs="宋体"/>
                <w:b/>
                <w:bCs/>
                <w:color w:val="auto"/>
                <w:kern w:val="0"/>
                <w:szCs w:val="21"/>
                <w:highlight w:val="none"/>
                <w:shd w:val="clear" w:color="auto" w:fill="FFFFFF"/>
              </w:rPr>
              <w:t>联系人</w:t>
            </w:r>
          </w:p>
        </w:tc>
        <w:tc>
          <w:tcPr>
            <w:tcW w:w="1711" w:type="dxa"/>
            <w:vAlign w:val="center"/>
          </w:tcPr>
          <w:p>
            <w:pPr>
              <w:spacing w:line="500" w:lineRule="exact"/>
              <w:jc w:val="center"/>
              <w:rPr>
                <w:rFonts w:hint="eastAsia" w:ascii="宋体" w:hAnsi="宋体" w:eastAsia="宋体" w:cs="宋体"/>
                <w:b/>
                <w:bCs/>
                <w:color w:val="auto"/>
                <w:kern w:val="0"/>
                <w:szCs w:val="21"/>
                <w:highlight w:val="none"/>
                <w:shd w:val="clear" w:color="auto" w:fill="FFFFFF"/>
              </w:rPr>
            </w:pPr>
            <w:r>
              <w:rPr>
                <w:rFonts w:hint="eastAsia" w:ascii="宋体" w:hAnsi="宋体" w:eastAsia="宋体" w:cs="宋体"/>
                <w:b/>
                <w:bCs/>
                <w:color w:val="auto"/>
                <w:kern w:val="0"/>
                <w:szCs w:val="21"/>
                <w:highlight w:val="none"/>
                <w:shd w:val="clear" w:color="auto" w:fill="FFFFFF"/>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中国建设银行延安分行</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延安市宝塔区中心街</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惠玉</w:t>
            </w:r>
          </w:p>
        </w:tc>
        <w:tc>
          <w:tcPr>
            <w:tcW w:w="1711" w:type="dxa"/>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13892179302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2</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中国工商银行延安分行</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延安市宝塔区师范路</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姬悦</w:t>
            </w:r>
          </w:p>
        </w:tc>
        <w:tc>
          <w:tcPr>
            <w:tcW w:w="1711" w:type="dxa"/>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18391156580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3</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北京银行延安分行</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延安市宝塔区双拥大道</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奥宝森</w:t>
            </w:r>
          </w:p>
        </w:tc>
        <w:tc>
          <w:tcPr>
            <w:tcW w:w="1711" w:type="dxa"/>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15592925222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4</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邮储银行延安分行</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延安市宝塔区枣园路志丹大厦</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杨慧花</w:t>
            </w:r>
          </w:p>
        </w:tc>
        <w:tc>
          <w:tcPr>
            <w:tcW w:w="1711" w:type="dxa"/>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13909113843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5</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光大银行延安分行</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延安市宝塔区卷烟厂东信时代一、二层</w:t>
            </w:r>
          </w:p>
        </w:tc>
        <w:tc>
          <w:tcPr>
            <w:tcW w:w="0" w:type="auto"/>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汪昊田</w:t>
            </w:r>
          </w:p>
        </w:tc>
        <w:tc>
          <w:tcPr>
            <w:tcW w:w="1711" w:type="dxa"/>
            <w:vAlign w:val="center"/>
          </w:tcPr>
          <w:p>
            <w:pPr>
              <w:spacing w:line="500" w:lineRule="exact"/>
              <w:jc w:val="center"/>
              <w:rPr>
                <w:rFonts w:hint="eastAsia" w:ascii="宋体" w:hAnsi="宋体" w:eastAsia="宋体" w:cs="宋体"/>
                <w:color w:val="auto"/>
                <w:kern w:val="0"/>
                <w:szCs w:val="21"/>
                <w:highlight w:val="none"/>
                <w:shd w:val="clear" w:color="auto" w:fill="FFFFFF"/>
              </w:rPr>
            </w:pPr>
            <w:r>
              <w:rPr>
                <w:rFonts w:hint="eastAsia" w:ascii="宋体" w:hAnsi="宋体" w:eastAsia="宋体" w:cs="宋体"/>
                <w:color w:val="auto"/>
                <w:kern w:val="0"/>
                <w:szCs w:val="21"/>
                <w:highlight w:val="none"/>
                <w:shd w:val="clear" w:color="auto" w:fill="FFFFFF"/>
              </w:rPr>
              <w:t>13509115500</w:t>
            </w:r>
          </w:p>
        </w:tc>
      </w:tr>
    </w:tbl>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bookmarkEnd w:id="388"/>
    <w:bookmarkEnd w:id="389"/>
    <w:bookmarkEnd w:id="390"/>
    <w:bookmarkEnd w:id="391"/>
    <w:p>
      <w:pPr>
        <w:pStyle w:val="46"/>
        <w:spacing w:line="360" w:lineRule="auto"/>
        <w:rPr>
          <w:rStyle w:val="63"/>
          <w:rFonts w:hint="eastAsia" w:ascii="宋体" w:hAnsi="宋体" w:eastAsia="宋体" w:cs="宋体"/>
          <w:color w:val="auto"/>
          <w:sz w:val="36"/>
          <w:szCs w:val="36"/>
          <w:highlight w:val="none"/>
        </w:rPr>
      </w:pPr>
      <w:bookmarkStart w:id="392" w:name="_Toc68590975"/>
      <w:bookmarkStart w:id="393" w:name="_Toc17469"/>
      <w:bookmarkStart w:id="394" w:name="_Toc58504447"/>
      <w:r>
        <w:rPr>
          <w:rStyle w:val="63"/>
          <w:rFonts w:hint="eastAsia" w:ascii="宋体" w:hAnsi="宋体" w:eastAsia="宋体" w:cs="宋体"/>
          <w:color w:val="auto"/>
          <w:sz w:val="36"/>
          <w:szCs w:val="36"/>
          <w:highlight w:val="none"/>
        </w:rPr>
        <w:t>第三章  评审办法和标准</w:t>
      </w:r>
      <w:bookmarkEnd w:id="392"/>
    </w:p>
    <w:p>
      <w:pPr>
        <w:pStyle w:val="78"/>
        <w:spacing w:before="24" w:after="24"/>
        <w:rPr>
          <w:rFonts w:hint="eastAsia" w:ascii="宋体" w:hAnsi="宋体" w:eastAsia="宋体" w:cs="宋体"/>
          <w:color w:val="auto"/>
          <w:sz w:val="28"/>
          <w:szCs w:val="28"/>
          <w:highlight w:val="none"/>
        </w:rPr>
      </w:pPr>
      <w:bookmarkStart w:id="395" w:name="_Toc7005040"/>
      <w:bookmarkStart w:id="396" w:name="_Toc68590976"/>
      <w:r>
        <w:rPr>
          <w:rFonts w:hint="eastAsia" w:ascii="宋体" w:hAnsi="宋体" w:eastAsia="宋体" w:cs="宋体"/>
          <w:color w:val="auto"/>
          <w:sz w:val="28"/>
          <w:szCs w:val="28"/>
          <w:highlight w:val="none"/>
        </w:rPr>
        <w:t>1.评审方法</w:t>
      </w:r>
      <w:bookmarkEnd w:id="395"/>
      <w:bookmarkEnd w:id="396"/>
    </w:p>
    <w:p>
      <w:pPr>
        <w:pStyle w:val="22"/>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次评审采用综合评分法。磋商小组对满足磋商文件实质性要求的响应文件，按照本章第2条规定的评审标准进行打分，并按得分由高到低顺序推荐成交候选人，或根据采购人授权直接确定成交供应商。综合评分相等时，按照最后报价由低到高的顺序推荐；报价也相等的，按技术指标优劣顺序排列。</w:t>
      </w:r>
    </w:p>
    <w:p>
      <w:pPr>
        <w:pStyle w:val="78"/>
        <w:spacing w:before="24" w:after="24"/>
        <w:rPr>
          <w:rFonts w:hint="eastAsia" w:ascii="宋体" w:hAnsi="宋体" w:eastAsia="宋体" w:cs="宋体"/>
          <w:color w:val="auto"/>
          <w:sz w:val="28"/>
          <w:szCs w:val="28"/>
          <w:highlight w:val="none"/>
        </w:rPr>
      </w:pPr>
      <w:bookmarkStart w:id="397" w:name="_Toc7005041"/>
      <w:bookmarkStart w:id="398" w:name="_Toc68590977"/>
      <w:r>
        <w:rPr>
          <w:rFonts w:hint="eastAsia" w:ascii="宋体" w:hAnsi="宋体" w:eastAsia="宋体" w:cs="宋体"/>
          <w:color w:val="auto"/>
          <w:sz w:val="28"/>
          <w:szCs w:val="28"/>
          <w:highlight w:val="none"/>
        </w:rPr>
        <w:t>2.评审标准</w:t>
      </w:r>
      <w:bookmarkEnd w:id="397"/>
      <w:bookmarkEnd w:id="398"/>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2.1 资格审查和符合性评审标准：见附表一和附表二。</w:t>
      </w:r>
    </w:p>
    <w:p>
      <w:pPr>
        <w:pStyle w:val="22"/>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2.2 分值构成：总分100分，</w:t>
      </w:r>
      <w:r>
        <w:rPr>
          <w:rFonts w:hint="eastAsia" w:ascii="宋体" w:hAnsi="宋体" w:eastAsia="宋体" w:cs="宋体"/>
          <w:color w:val="auto"/>
          <w:sz w:val="24"/>
          <w:highlight w:val="none"/>
          <w:lang w:val="en-US" w:eastAsia="zh-CN"/>
        </w:rPr>
        <w:t>由</w:t>
      </w:r>
      <w:r>
        <w:rPr>
          <w:rFonts w:hint="eastAsia" w:ascii="宋体" w:hAnsi="宋体" w:eastAsia="宋体" w:cs="宋体"/>
          <w:color w:val="auto"/>
          <w:sz w:val="24"/>
          <w:highlight w:val="none"/>
        </w:rPr>
        <w:t>商务部分</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技术部分</w:t>
      </w:r>
      <w:r>
        <w:rPr>
          <w:rFonts w:hint="eastAsia" w:ascii="宋体" w:hAnsi="宋体" w:eastAsia="宋体" w:cs="宋体"/>
          <w:color w:val="auto"/>
          <w:sz w:val="24"/>
          <w:highlight w:val="none"/>
          <w:lang w:val="en-US" w:eastAsia="zh-CN"/>
        </w:rPr>
        <w:t>、</w:t>
      </w:r>
      <w:r>
        <w:rPr>
          <w:rFonts w:hint="eastAsia" w:ascii="宋体" w:hAnsi="宋体" w:eastAsia="宋体" w:cs="宋体"/>
          <w:color w:val="auto"/>
          <w:sz w:val="24"/>
          <w:highlight w:val="none"/>
        </w:rPr>
        <w:t>报价部分</w:t>
      </w:r>
      <w:r>
        <w:rPr>
          <w:rFonts w:hint="eastAsia" w:ascii="宋体" w:hAnsi="宋体" w:eastAsia="宋体" w:cs="宋体"/>
          <w:color w:val="auto"/>
          <w:sz w:val="24"/>
          <w:highlight w:val="none"/>
          <w:lang w:val="en-US" w:eastAsia="zh-CN"/>
        </w:rPr>
        <w:t>三部分构成。</w:t>
      </w:r>
    </w:p>
    <w:p>
      <w:pPr>
        <w:pStyle w:val="22"/>
        <w:rPr>
          <w:rFonts w:hint="eastAsia" w:ascii="宋体" w:hAnsi="宋体" w:eastAsia="宋体" w:cs="宋体"/>
          <w:color w:val="auto"/>
          <w:sz w:val="24"/>
          <w:highlight w:val="none"/>
        </w:rPr>
      </w:pPr>
      <w:bookmarkStart w:id="399" w:name="_Ref426362114"/>
      <w:r>
        <w:rPr>
          <w:rFonts w:hint="eastAsia" w:ascii="宋体" w:hAnsi="宋体" w:eastAsia="宋体" w:cs="宋体"/>
          <w:color w:val="auto"/>
          <w:sz w:val="24"/>
          <w:highlight w:val="none"/>
        </w:rPr>
        <w:t>2.3 商务和技术评审标准</w:t>
      </w:r>
      <w:bookmarkEnd w:id="399"/>
    </w:p>
    <w:p>
      <w:pPr>
        <w:pStyle w:val="22"/>
        <w:rPr>
          <w:rFonts w:hint="eastAsia" w:ascii="宋体" w:hAnsi="宋体" w:eastAsia="宋体" w:cs="宋体"/>
          <w:color w:val="auto"/>
          <w:sz w:val="24"/>
          <w:highlight w:val="none"/>
        </w:rPr>
      </w:pPr>
      <w:bookmarkStart w:id="400" w:name="_Ref426362140"/>
      <w:r>
        <w:rPr>
          <w:rFonts w:hint="eastAsia" w:ascii="宋体" w:hAnsi="宋体" w:eastAsia="宋体" w:cs="宋体"/>
          <w:color w:val="auto"/>
          <w:sz w:val="24"/>
          <w:highlight w:val="none"/>
        </w:rPr>
        <w:t>2.3.1商务部分评分标准：见附表</w:t>
      </w:r>
      <w:bookmarkEnd w:id="400"/>
      <w:r>
        <w:rPr>
          <w:rFonts w:hint="eastAsia" w:ascii="宋体" w:hAnsi="宋体" w:eastAsia="宋体" w:cs="宋体"/>
          <w:color w:val="auto"/>
          <w:sz w:val="24"/>
          <w:highlight w:val="none"/>
        </w:rPr>
        <w:t>三</w:t>
      </w:r>
    </w:p>
    <w:p>
      <w:pPr>
        <w:pStyle w:val="22"/>
        <w:rPr>
          <w:rFonts w:hint="eastAsia" w:ascii="宋体" w:hAnsi="宋体" w:eastAsia="宋体" w:cs="宋体"/>
          <w:color w:val="auto"/>
          <w:sz w:val="24"/>
          <w:highlight w:val="none"/>
        </w:rPr>
      </w:pPr>
      <w:bookmarkStart w:id="401" w:name="_Ref426362158"/>
      <w:r>
        <w:rPr>
          <w:rFonts w:hint="eastAsia" w:ascii="宋体" w:hAnsi="宋体" w:eastAsia="宋体" w:cs="宋体"/>
          <w:color w:val="auto"/>
          <w:sz w:val="24"/>
          <w:highlight w:val="none"/>
        </w:rPr>
        <w:t>2.3.2技术部分评分标准：见附表</w:t>
      </w:r>
      <w:bookmarkEnd w:id="401"/>
      <w:r>
        <w:rPr>
          <w:rFonts w:hint="eastAsia" w:ascii="宋体" w:hAnsi="宋体" w:eastAsia="宋体" w:cs="宋体"/>
          <w:color w:val="auto"/>
          <w:sz w:val="24"/>
          <w:highlight w:val="none"/>
        </w:rPr>
        <w:t>四</w:t>
      </w:r>
    </w:p>
    <w:p>
      <w:pPr>
        <w:pStyle w:val="22"/>
        <w:rPr>
          <w:rFonts w:hint="eastAsia" w:ascii="宋体" w:hAnsi="宋体" w:eastAsia="宋体" w:cs="宋体"/>
          <w:color w:val="auto"/>
          <w:sz w:val="24"/>
          <w:highlight w:val="none"/>
        </w:rPr>
      </w:pPr>
      <w:bookmarkStart w:id="402" w:name="_Ref426362176"/>
      <w:r>
        <w:rPr>
          <w:rFonts w:hint="eastAsia" w:ascii="宋体" w:hAnsi="宋体" w:eastAsia="宋体" w:cs="宋体"/>
          <w:color w:val="auto"/>
          <w:sz w:val="24"/>
          <w:highlight w:val="none"/>
        </w:rPr>
        <w:t>2.3.3报价评分标准：</w:t>
      </w:r>
      <w:bookmarkEnd w:id="402"/>
      <w:r>
        <w:rPr>
          <w:rFonts w:hint="eastAsia" w:ascii="宋体" w:hAnsi="宋体" w:eastAsia="宋体" w:cs="宋体"/>
          <w:color w:val="auto"/>
          <w:sz w:val="24"/>
          <w:highlight w:val="none"/>
        </w:rPr>
        <w:t>见附表五</w:t>
      </w:r>
    </w:p>
    <w:p>
      <w:pPr>
        <w:pStyle w:val="22"/>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（1）根据《关于进一步加大政府采购支持中小企业力度的通知》（财库</w:t>
      </w:r>
      <w:r>
        <w:rPr>
          <w:rFonts w:hint="eastAsia" w:ascii="宋体" w:hAnsi="宋体" w:eastAsia="宋体" w:cs="宋体"/>
          <w:color w:val="auto"/>
          <w:highlight w:val="none"/>
        </w:rPr>
        <w:t>〔</w:t>
      </w:r>
      <w:r>
        <w:rPr>
          <w:rFonts w:hint="eastAsia" w:ascii="宋体" w:hAnsi="宋体" w:eastAsia="宋体" w:cs="宋体"/>
          <w:color w:val="auto"/>
          <w:sz w:val="24"/>
          <w:highlight w:val="none"/>
        </w:rPr>
        <w:t>2022</w:t>
      </w:r>
      <w:r>
        <w:rPr>
          <w:rFonts w:hint="eastAsia" w:ascii="宋体" w:hAnsi="宋体" w:eastAsia="宋体" w:cs="宋体"/>
          <w:color w:val="auto"/>
          <w:highlight w:val="none"/>
        </w:rPr>
        <w:t>〕</w:t>
      </w:r>
      <w:r>
        <w:rPr>
          <w:rFonts w:hint="eastAsia" w:ascii="宋体" w:hAnsi="宋体" w:eastAsia="宋体" w:cs="宋体"/>
          <w:color w:val="auto"/>
          <w:sz w:val="24"/>
          <w:highlight w:val="none"/>
        </w:rPr>
        <w:t>19号）、《政府采购促进中小企业发展管理办法》（财库〔2020〕46号）调整供应商参与评审的价格。对小型和微型企业产品的价格给予</w:t>
      </w:r>
      <w:r>
        <w:rPr>
          <w:rFonts w:hint="eastAsia" w:ascii="宋体" w:hAnsi="宋体" w:eastAsia="宋体" w:cs="宋体"/>
          <w:color w:val="auto"/>
          <w:highlight w:val="none"/>
          <w:u w:val="single"/>
        </w:rPr>
        <w:t>（货物服务10%（通用）</w:t>
      </w:r>
      <w:r>
        <w:rPr>
          <w:rFonts w:hint="eastAsia" w:ascii="宋体" w:hAnsi="宋体" w:eastAsia="宋体" w:cs="宋体"/>
          <w:color w:val="auto"/>
          <w:sz w:val="24"/>
          <w:highlight w:val="none"/>
        </w:rPr>
        <w:t>的扣除。如允许与小微企业组成联合体或向其分包的，且合同额占总金额30%以上的，给予</w:t>
      </w:r>
      <w:r>
        <w:rPr>
          <w:rFonts w:hint="eastAsia" w:ascii="宋体" w:hAnsi="宋体" w:eastAsia="宋体" w:cs="宋体"/>
          <w:color w:val="auto"/>
          <w:highlight w:val="none"/>
          <w:u w:val="single"/>
        </w:rPr>
        <w:t>4%（工程为1%）</w:t>
      </w:r>
      <w:r>
        <w:rPr>
          <w:rFonts w:hint="eastAsia" w:ascii="宋体" w:hAnsi="宋体" w:eastAsia="宋体" w:cs="宋体"/>
          <w:color w:val="auto"/>
          <w:sz w:val="24"/>
          <w:highlight w:val="none"/>
        </w:rPr>
        <w:t>的扣除。</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注：监狱企业、残疾人福利性单位视同小微企业；残疾人福利性单位属于小型、微型企业的，不重复享受政策。</w:t>
      </w:r>
    </w:p>
    <w:p>
      <w:pPr>
        <w:pStyle w:val="22"/>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（2）评审基准价。有效响应文件中的最后报价并按本款（1）和（2）进行调整的最低报价为评审基准价。</w:t>
      </w:r>
    </w:p>
    <w:p>
      <w:pPr>
        <w:pStyle w:val="22"/>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（3）供应商报价（按本款（1）和（2）进行调整后价格）得分=(评审基准价／最后报价)×价格分满分分值</w:t>
      </w:r>
    </w:p>
    <w:p>
      <w:pPr>
        <w:tabs>
          <w:tab w:val="left" w:pos="588"/>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2.3.4 响应文件出现下列情况之一者，磋商小组在评审过程中按以下原则修正：</w:t>
      </w:r>
    </w:p>
    <w:p>
      <w:pPr>
        <w:tabs>
          <w:tab w:val="left" w:pos="588"/>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（1）大写金额与小写金额不一致的，以大写金额为准；</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（2）总价金额与按单价汇总金额不一致的，以单价金额计算结果为准；</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（3）单价金额小数点有明显错位的，应以总价为准，并修改单价；</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（4）对不同文字文本响应文件的解释发生异议的，以中文文本为准；</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（5）文字与图表不一致的，以文字为准；</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（6）正本与副本不一致的，以正本为准；</w:t>
      </w:r>
    </w:p>
    <w:p>
      <w:pPr>
        <w:tabs>
          <w:tab w:val="left" w:pos="588"/>
        </w:tabs>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rPr>
        <w:t>（7）响应文件的文字叙述与制造厂商的产品样本/检测报告不符时，以产品样本/检测报告为准。</w:t>
      </w:r>
    </w:p>
    <w:p>
      <w:pPr>
        <w:pStyle w:val="78"/>
        <w:spacing w:before="24" w:after="24"/>
        <w:rPr>
          <w:rFonts w:hint="eastAsia" w:ascii="宋体" w:hAnsi="宋体" w:eastAsia="宋体" w:cs="宋体"/>
          <w:color w:val="auto"/>
          <w:sz w:val="28"/>
          <w:szCs w:val="28"/>
          <w:highlight w:val="none"/>
        </w:rPr>
      </w:pPr>
      <w:bookmarkStart w:id="403" w:name="_Toc7005042"/>
      <w:bookmarkStart w:id="404" w:name="_Toc68590978"/>
      <w:r>
        <w:rPr>
          <w:rFonts w:hint="eastAsia" w:ascii="宋体" w:hAnsi="宋体" w:eastAsia="宋体" w:cs="宋体"/>
          <w:color w:val="auto"/>
          <w:sz w:val="28"/>
          <w:szCs w:val="28"/>
          <w:highlight w:val="none"/>
        </w:rPr>
        <w:t>3.评审程序</w:t>
      </w:r>
      <w:bookmarkEnd w:id="403"/>
      <w:bookmarkEnd w:id="404"/>
    </w:p>
    <w:p>
      <w:pPr>
        <w:pStyle w:val="22"/>
        <w:rPr>
          <w:rFonts w:hint="eastAsia" w:ascii="宋体" w:hAnsi="宋体" w:eastAsia="宋体" w:cs="宋体"/>
          <w:b/>
          <w:color w:val="auto"/>
          <w:sz w:val="24"/>
          <w:highlight w:val="none"/>
        </w:rPr>
      </w:pPr>
      <w:bookmarkStart w:id="405" w:name="_Toc7005043"/>
      <w:r>
        <w:rPr>
          <w:rFonts w:hint="eastAsia" w:ascii="宋体" w:hAnsi="宋体" w:eastAsia="宋体" w:cs="宋体"/>
          <w:b/>
          <w:color w:val="auto"/>
          <w:sz w:val="24"/>
          <w:highlight w:val="none"/>
        </w:rPr>
        <w:t>3.1资格审查及符合性审查</w:t>
      </w:r>
      <w:bookmarkEnd w:id="405"/>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3.1.1 采购人或采购代理机构按附表一所列审查标准对供应商资格进行审查，以确定供应商是否具备磋商资格。</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3.1.2 磋商小组对符合资格要求的响应文件按附表二进行符合性审查，以确定其是否满足磋商文件的实质性要求（见本章内的符合性审查表）。</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3.1.3 磋商小组在符合性审查时，可以要求供应商对响应文件中含义不明确、同类问题表述不一致或者有明显文字和计算错误的内容作出必要的澄清、说明或更正。供应商的澄清、说明或更正不得超出响应文件的范围或者改变响应文件的实质性内容。</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磋商小组不接受供应商主动提出的澄清、说明或补正。</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供应商的书面澄清、说明和补正属于响应文件的组成部分。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磋商小组对供应商提交的澄清、说明或补正有疑问的，可以要求供应商进一步澄清、说明或补正，直至满足评审小组的要求。</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3.1.4 不具备磋商文件要求的资格或未通过符合性审查的供应商，不参与磋商，由磋商小组告知该供应商。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3.1.5 通过资格审查和符合性审查的合格供应商不足3家的，不再进行评审和磋商。</w:t>
      </w:r>
    </w:p>
    <w:p>
      <w:pPr>
        <w:pStyle w:val="22"/>
        <w:rPr>
          <w:rFonts w:hint="eastAsia" w:ascii="宋体" w:hAnsi="宋体" w:eastAsia="宋体" w:cs="宋体"/>
          <w:b/>
          <w:color w:val="auto"/>
          <w:sz w:val="24"/>
          <w:highlight w:val="none"/>
        </w:rPr>
      </w:pPr>
      <w:bookmarkStart w:id="406" w:name="_Toc7005044"/>
      <w:r>
        <w:rPr>
          <w:rFonts w:hint="eastAsia" w:ascii="宋体" w:hAnsi="宋体" w:eastAsia="宋体" w:cs="宋体"/>
          <w:b/>
          <w:color w:val="auto"/>
          <w:sz w:val="24"/>
          <w:highlight w:val="none"/>
        </w:rPr>
        <w:t>3.2 磋商</w:t>
      </w:r>
      <w:bookmarkEnd w:id="406"/>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3.2.1按“供应商须知”第五条规定，由磋商小组与供应商进行磋商。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3.2.2磋商过程中，磋商小组可以根据与供应商的磋商情况，在不违反相关法律法规、强制性标准、规范情况下，并经采购人代表同意后，对磋商文件的技术标准及服务要求、拟签订合同的部分条款进行变动。变动内容是磋商文件的有效组成部分，磋商小组以书面形式通知所有参加磋商的供应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3.2.3 磋商结束后，磋商小组可以要求所有继续参加磋商的供应商在规定时间内提交最后报价函，提交最后报价函的供应商不得少于3家。</w:t>
      </w:r>
    </w:p>
    <w:p>
      <w:pPr>
        <w:pStyle w:val="22"/>
        <w:rPr>
          <w:rFonts w:hint="eastAsia" w:ascii="宋体" w:hAnsi="宋体" w:eastAsia="宋体" w:cs="宋体"/>
          <w:b/>
          <w:color w:val="auto"/>
          <w:sz w:val="24"/>
          <w:highlight w:val="none"/>
        </w:rPr>
      </w:pPr>
      <w:bookmarkStart w:id="407" w:name="_Toc7005045"/>
      <w:r>
        <w:rPr>
          <w:rFonts w:hint="eastAsia" w:ascii="宋体" w:hAnsi="宋体" w:eastAsia="宋体" w:cs="宋体"/>
          <w:b/>
          <w:color w:val="auto"/>
          <w:sz w:val="24"/>
          <w:highlight w:val="none"/>
        </w:rPr>
        <w:t>3.3评审</w:t>
      </w:r>
      <w:bookmarkEnd w:id="407"/>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3.3.1 比较与评价</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磋商小组按本章第2.3款[商务和技术评审标准]对供应商提交的响应文件（包括最后报价函）进行商务和技术评估，综合比较与评价。</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磋商小组认为供应商的报价明显低于其他参与最后报价的供应商的报价或明显低于采购预算时，有可能影响产品质量或者不能诚信履约的，应当要求其在合理的时间内提供书面说明，并提交相关证明材料；供应商不能证明其报价合理性的，磋商小组应当将其作为无效处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3.3.2 磋商小组按本章第2.3款规定的量化因素和分值进行打分，并计算出综合评估得分。</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（1）按本章第2.3.1项规定的评审因素和分值对商务部分计算出得分A；</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（2）按本章第2.3.2项规定的评审因素和分值对技术部分计算出得分B；</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（3）按本章第2.3.3项规定的评审因素和分值对报价部分计算出得分C。</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3.3.3评分分值计算保留小数点后两位，小数点后第三位“四舍五入”。</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3.3.4供应商得分=A＋B＋C</w:t>
      </w:r>
    </w:p>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3.4 评审结果</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3.4.1 除第二章“供应商须知”前附表授权直接确定成交供应商外，磋商小组按照得分由高到低的顺序推荐3名成交候选人。</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3.4.2 磋商小组完成评审后，应当向采购人提交书面评审报告。</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spacing w:line="360" w:lineRule="auto"/>
        <w:jc w:val="center"/>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附表一 资格审查表</w:t>
      </w:r>
    </w:p>
    <w:tbl>
      <w:tblPr>
        <w:tblStyle w:val="50"/>
        <w:tblW w:w="101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0"/>
        <w:gridCol w:w="3165"/>
        <w:gridCol w:w="5475"/>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80" w:type="dxa"/>
            <w:vAlign w:val="center"/>
          </w:tcPr>
          <w:p>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165" w:type="dxa"/>
            <w:vAlign w:val="center"/>
          </w:tcPr>
          <w:p>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评审内容</w:t>
            </w:r>
          </w:p>
        </w:tc>
        <w:tc>
          <w:tcPr>
            <w:tcW w:w="5475" w:type="dxa"/>
            <w:vAlign w:val="center"/>
          </w:tcPr>
          <w:p>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评审合格标准</w:t>
            </w:r>
          </w:p>
        </w:tc>
        <w:tc>
          <w:tcPr>
            <w:tcW w:w="885" w:type="dxa"/>
            <w:vAlign w:val="center"/>
          </w:tcPr>
          <w:p>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是否符合要求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w:t>
            </w:r>
          </w:p>
        </w:tc>
        <w:tc>
          <w:tcPr>
            <w:tcW w:w="3165" w:type="dxa"/>
            <w:vAlign w:val="center"/>
          </w:tcPr>
          <w:p>
            <w:pPr>
              <w:snapToGrid w:val="0"/>
              <w:jc w:val="left"/>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供应商名称</w:t>
            </w:r>
          </w:p>
        </w:tc>
        <w:tc>
          <w:tcPr>
            <w:tcW w:w="5475" w:type="dxa"/>
            <w:vAlign w:val="center"/>
          </w:tcPr>
          <w:p>
            <w:pPr>
              <w:snapToGrid w:val="0"/>
              <w:jc w:val="left"/>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与营业执照一致（符合法定工商变更程序除外）；</w:t>
            </w:r>
          </w:p>
        </w:tc>
        <w:tc>
          <w:tcPr>
            <w:tcW w:w="885" w:type="dxa"/>
            <w:vAlign w:val="center"/>
          </w:tcPr>
          <w:p>
            <w:pPr>
              <w:snapToGrid w:val="0"/>
              <w:jc w:val="center"/>
              <w:rPr>
                <w:rFonts w:hint="eastAsia" w:ascii="宋体" w:hAnsi="宋体" w:eastAsia="宋体" w:cs="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具有独立承担民事责任的能力</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提供了有效的法人或者其他组织的营业执照等证明文件，自然人的身份证明</w:t>
            </w:r>
          </w:p>
        </w:tc>
        <w:tc>
          <w:tcPr>
            <w:tcW w:w="885" w:type="dxa"/>
            <w:vAlign w:val="center"/>
          </w:tcPr>
          <w:p>
            <w:pPr>
              <w:snapToGrid w:val="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p>
        </w:tc>
        <w:tc>
          <w:tcPr>
            <w:tcW w:w="3165" w:type="dxa"/>
            <w:shd w:val="clear" w:color="auto" w:fill="auto"/>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具有健全的财务会计制度</w:t>
            </w:r>
          </w:p>
        </w:tc>
        <w:tc>
          <w:tcPr>
            <w:tcW w:w="5475" w:type="dxa"/>
            <w:shd w:val="clear" w:color="auto" w:fill="auto"/>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提供了满足磋商文件要求的经审计的财务报表或本年度基本开户银行出具的资信证明</w:t>
            </w:r>
          </w:p>
        </w:tc>
        <w:tc>
          <w:tcPr>
            <w:tcW w:w="885" w:type="dxa"/>
            <w:vAlign w:val="center"/>
          </w:tcPr>
          <w:p>
            <w:pPr>
              <w:snapToGrid w:val="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4</w:t>
            </w:r>
          </w:p>
        </w:tc>
        <w:tc>
          <w:tcPr>
            <w:tcW w:w="3165" w:type="dxa"/>
            <w:shd w:val="clear" w:color="auto" w:fill="auto"/>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具有履行合同所必需的设备和专业技术能力</w:t>
            </w:r>
          </w:p>
        </w:tc>
        <w:tc>
          <w:tcPr>
            <w:tcW w:w="5475" w:type="dxa"/>
            <w:shd w:val="clear" w:color="auto" w:fill="auto"/>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提供了可充分满足履行合同所需设备和专业技术能力的证明材料或承诺</w:t>
            </w:r>
          </w:p>
        </w:tc>
        <w:tc>
          <w:tcPr>
            <w:tcW w:w="885" w:type="dxa"/>
            <w:vAlign w:val="center"/>
          </w:tcPr>
          <w:p>
            <w:pPr>
              <w:snapToGrid w:val="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5</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有依法缴纳税收和社会保障资金的良好记录</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1.提供了磋商文件要求时间内的缴纳的纳税凭证（银行出具的缴税凭证或税务机关出具的证明的复印件，并加盖本单位公章）或免税证明（复印件加盖公章）。</w:t>
            </w:r>
          </w:p>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2.提供了磋商文件要求时间内的社会保障资金缴纳记录（专用收据或社会保险缴纳清单）或免缴纳证明（复印件加盖公章）</w:t>
            </w:r>
          </w:p>
        </w:tc>
        <w:tc>
          <w:tcPr>
            <w:tcW w:w="885" w:type="dxa"/>
            <w:vAlign w:val="center"/>
          </w:tcPr>
          <w:p>
            <w:pPr>
              <w:snapToGrid w:val="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6</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参加政府采购活动前三年内，在经营活动中没有重大违法记录</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提供了有效的参加政府采购活动前3年内在经营活动中没有重大违法记录的书面声明</w:t>
            </w:r>
          </w:p>
        </w:tc>
        <w:tc>
          <w:tcPr>
            <w:tcW w:w="885" w:type="dxa"/>
            <w:vAlign w:val="center"/>
          </w:tcPr>
          <w:p>
            <w:pPr>
              <w:snapToGrid w:val="0"/>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7</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法律、行政法规规定的其他条件</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不存在违反法律、法规的情况</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“信用中国”网站和中国政府采购网（www.ccgp.gov.cn）查询记录</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未被“信用中国”网站（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"http://www.creditchina.gov.cn）中列入失信被执行人和/" </w:instrText>
            </w:r>
            <w:r>
              <w:rPr>
                <w:rFonts w:hint="eastAsia" w:ascii="宋体" w:hAnsi="宋体" w:eastAsia="宋体" w:cs="宋体"/>
                <w:color w:val="auto"/>
                <w:highlight w:val="none"/>
              </w:rPr>
              <w:fldChar w:fldCharType="separate"/>
            </w:r>
            <w:r>
              <w:rPr>
                <w:rFonts w:hint="eastAsia" w:ascii="宋体" w:hAnsi="宋体" w:eastAsia="宋体" w:cs="宋体"/>
                <w:color w:val="auto"/>
                <w:szCs w:val="21"/>
                <w:highlight w:val="none"/>
              </w:rPr>
              <w:t>www.creditchina.gov.cn）中列入失信被执行人和/</w:t>
            </w:r>
            <w:r>
              <w:rPr>
                <w:rFonts w:hint="eastAsia" w:ascii="宋体" w:hAnsi="宋体" w:eastAsia="宋体" w:cs="宋体"/>
                <w:color w:val="auto"/>
                <w:szCs w:val="21"/>
                <w:highlight w:val="none"/>
              </w:rPr>
              <w:fldChar w:fldCharType="end"/>
            </w:r>
            <w:r>
              <w:rPr>
                <w:rFonts w:hint="eastAsia" w:ascii="宋体" w:hAnsi="宋体" w:eastAsia="宋体" w:cs="宋体"/>
                <w:color w:val="auto"/>
                <w:szCs w:val="21"/>
                <w:highlight w:val="none"/>
              </w:rPr>
              <w:t>或重大税收违法案件当事人名单的供应商、未被中国政府采购网（www.ccgp.gov.cn）列入政府采购严重违法失信行为记录名单中被财政部门禁止参加政府采购活动的供应商（处罚决定规定的时间和地域范围内）</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9</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单位负责人为同一人或者存在控股、管理关系的不同单位，不得同时参加本项目的磋商。</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提供了法人代表、控股股东、控股企业及管理、被管理单位情况声明且各供应商之间不存在单位负责人为同一人或者存在控股、管理关系情形。</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10</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为本项目提供整体设计、规范编制或者项目管理、监理、检测等服务的供应商，不得再参加本项目磋商。</w:t>
            </w:r>
          </w:p>
        </w:tc>
        <w:tc>
          <w:tcPr>
            <w:tcW w:w="5475" w:type="dxa"/>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提供了供应商未为本项目提供整体设计、规范编制或者项目管理、监理、检测等服务的声明。</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3165" w:type="dxa"/>
            <w:vAlign w:val="center"/>
          </w:tcPr>
          <w:p>
            <w:pPr>
              <w:snapToGrid w:val="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联合体</w:t>
            </w:r>
          </w:p>
        </w:tc>
        <w:tc>
          <w:tcPr>
            <w:tcW w:w="5475" w:type="dxa"/>
          </w:tcPr>
          <w:p>
            <w:pPr>
              <w:snapToGrid w:val="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本项目不允许联合体投标，提供非联合体声明。</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580" w:type="dxa"/>
            <w:vAlign w:val="center"/>
          </w:tcPr>
          <w:p>
            <w:pPr>
              <w:snapToGrid w:val="0"/>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12</w:t>
            </w:r>
          </w:p>
        </w:tc>
        <w:tc>
          <w:tcPr>
            <w:tcW w:w="3165" w:type="dxa"/>
            <w:vAlign w:val="center"/>
          </w:tcPr>
          <w:p>
            <w:pPr>
              <w:snapToGrid w:val="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项目负责人</w:t>
            </w:r>
          </w:p>
        </w:tc>
        <w:tc>
          <w:tcPr>
            <w:tcW w:w="5475" w:type="dxa"/>
          </w:tcPr>
          <w:p>
            <w:pPr>
              <w:snapToGrid w:val="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项目负责人须具备相关专业中级职称并在本单位注册</w:t>
            </w:r>
          </w:p>
        </w:tc>
        <w:tc>
          <w:tcPr>
            <w:tcW w:w="885" w:type="dxa"/>
            <w:vAlign w:val="center"/>
          </w:tcPr>
          <w:p>
            <w:pPr>
              <w:snapToGrid w:val="0"/>
              <w:ind w:left="425"/>
              <w:jc w:val="center"/>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80" w:type="dxa"/>
            <w:vAlign w:val="center"/>
          </w:tcPr>
          <w:p>
            <w:pPr>
              <w:snapToGrid w:val="0"/>
              <w:jc w:val="center"/>
              <w:rPr>
                <w:rFonts w:hint="eastAsia" w:ascii="宋体" w:hAnsi="宋体" w:eastAsia="宋体" w:cs="宋体"/>
                <w:color w:val="auto"/>
                <w:szCs w:val="21"/>
                <w:highlight w:val="none"/>
              </w:rPr>
            </w:pPr>
          </w:p>
        </w:tc>
        <w:tc>
          <w:tcPr>
            <w:tcW w:w="3165" w:type="dxa"/>
            <w:vAlign w:val="center"/>
          </w:tcPr>
          <w:p>
            <w:pPr>
              <w:snapToGrid w:val="0"/>
              <w:ind w:left="425"/>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结论</w:t>
            </w:r>
          </w:p>
        </w:tc>
        <w:tc>
          <w:tcPr>
            <w:tcW w:w="5475" w:type="dxa"/>
          </w:tcPr>
          <w:p>
            <w:pPr>
              <w:snapToGrid w:val="0"/>
              <w:jc w:val="center"/>
              <w:rPr>
                <w:rFonts w:hint="eastAsia" w:ascii="宋体" w:hAnsi="宋体" w:eastAsia="宋体" w:cs="宋体"/>
                <w:color w:val="auto"/>
                <w:szCs w:val="21"/>
                <w:highlight w:val="none"/>
              </w:rPr>
            </w:pPr>
          </w:p>
        </w:tc>
        <w:tc>
          <w:tcPr>
            <w:tcW w:w="885" w:type="dxa"/>
            <w:vAlign w:val="center"/>
          </w:tcPr>
          <w:p>
            <w:pPr>
              <w:snapToGrid w:val="0"/>
              <w:ind w:left="425"/>
              <w:jc w:val="center"/>
              <w:rPr>
                <w:rFonts w:hint="eastAsia" w:ascii="宋体" w:hAnsi="宋体" w:eastAsia="宋体" w:cs="宋体"/>
                <w:color w:val="auto"/>
                <w:szCs w:val="21"/>
                <w:highlight w:val="none"/>
              </w:rPr>
            </w:pPr>
          </w:p>
        </w:tc>
      </w:tr>
    </w:tbl>
    <w:p>
      <w:pPr>
        <w:spacing w:line="0" w:lineRule="atLeast"/>
        <w:ind w:left="425"/>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注：符合要求用“○”表示，不符合用“×”表示。有一项不符合要求，结论为不合格。</w:t>
      </w:r>
    </w:p>
    <w:p>
      <w:pPr>
        <w:spacing w:line="360" w:lineRule="auto"/>
        <w:jc w:val="center"/>
        <w:rPr>
          <w:rFonts w:hint="eastAsia" w:ascii="宋体" w:hAnsi="宋体" w:eastAsia="宋体" w:cs="宋体"/>
          <w:b/>
          <w:color w:val="auto"/>
          <w:sz w:val="28"/>
          <w:szCs w:val="28"/>
          <w:highlight w:val="none"/>
        </w:rPr>
      </w:pPr>
      <w:r>
        <w:rPr>
          <w:rFonts w:hint="eastAsia" w:ascii="宋体" w:hAnsi="宋体" w:eastAsia="宋体" w:cs="宋体"/>
          <w:color w:val="auto"/>
          <w:szCs w:val="21"/>
          <w:highlight w:val="none"/>
        </w:rPr>
        <w:br w:type="page"/>
      </w:r>
      <w:r>
        <w:rPr>
          <w:rFonts w:hint="eastAsia" w:ascii="宋体" w:hAnsi="宋体" w:eastAsia="宋体" w:cs="宋体"/>
          <w:b/>
          <w:color w:val="auto"/>
          <w:sz w:val="30"/>
          <w:szCs w:val="30"/>
          <w:highlight w:val="none"/>
        </w:rPr>
        <w:t>附表二 符合性审查表</w:t>
      </w:r>
    </w:p>
    <w:tbl>
      <w:tblPr>
        <w:tblStyle w:val="50"/>
        <w:tblW w:w="927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27"/>
        <w:gridCol w:w="1905"/>
        <w:gridCol w:w="5633"/>
        <w:gridCol w:w="131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80" w:hRule="atLeast"/>
          <w:jc w:val="center"/>
        </w:trPr>
        <w:tc>
          <w:tcPr>
            <w:tcW w:w="427" w:type="dxa"/>
            <w:vAlign w:val="center"/>
          </w:tcPr>
          <w:p>
            <w:pPr>
              <w:tabs>
                <w:tab w:val="left" w:pos="1260"/>
                <w:tab w:val="left" w:pos="1620"/>
              </w:tabs>
              <w:adjustRightInd w:val="0"/>
              <w:snapToGrid w:val="0"/>
              <w:jc w:val="center"/>
              <w:textAlignment w:val="baseline"/>
              <w:rPr>
                <w:rFonts w:hint="eastAsia" w:ascii="宋体" w:hAnsi="宋体" w:eastAsia="宋体" w:cs="宋体"/>
                <w:b/>
                <w:caps/>
                <w:color w:val="auto"/>
                <w:szCs w:val="21"/>
                <w:highlight w:val="none"/>
              </w:rPr>
            </w:pPr>
            <w:r>
              <w:rPr>
                <w:rFonts w:hint="eastAsia" w:ascii="宋体" w:hAnsi="宋体" w:eastAsia="宋体" w:cs="宋体"/>
                <w:b/>
                <w:caps/>
                <w:color w:val="auto"/>
                <w:szCs w:val="21"/>
                <w:highlight w:val="none"/>
              </w:rPr>
              <w:t>序号</w:t>
            </w: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b/>
                <w:caps/>
                <w:color w:val="auto"/>
                <w:szCs w:val="21"/>
                <w:highlight w:val="none"/>
              </w:rPr>
            </w:pPr>
            <w:r>
              <w:rPr>
                <w:rFonts w:hint="eastAsia" w:ascii="宋体" w:hAnsi="宋体" w:eastAsia="宋体" w:cs="宋体"/>
                <w:b/>
                <w:caps/>
                <w:color w:val="auto"/>
                <w:szCs w:val="21"/>
                <w:highlight w:val="none"/>
              </w:rPr>
              <w:t>评审项目</w:t>
            </w:r>
          </w:p>
        </w:tc>
        <w:tc>
          <w:tcPr>
            <w:tcW w:w="5633" w:type="dxa"/>
            <w:vAlign w:val="center"/>
          </w:tcPr>
          <w:p>
            <w:pPr>
              <w:tabs>
                <w:tab w:val="left" w:pos="1260"/>
                <w:tab w:val="left" w:pos="1620"/>
              </w:tabs>
              <w:adjustRightInd w:val="0"/>
              <w:snapToGrid w:val="0"/>
              <w:jc w:val="center"/>
              <w:textAlignment w:val="baseline"/>
              <w:rPr>
                <w:rFonts w:hint="eastAsia" w:ascii="宋体" w:hAnsi="宋体" w:eastAsia="宋体" w:cs="宋体"/>
                <w:b/>
                <w:caps/>
                <w:color w:val="auto"/>
                <w:szCs w:val="21"/>
                <w:highlight w:val="none"/>
              </w:rPr>
            </w:pPr>
            <w:r>
              <w:rPr>
                <w:rFonts w:hint="eastAsia" w:ascii="宋体" w:hAnsi="宋体" w:eastAsia="宋体" w:cs="宋体"/>
                <w:b/>
                <w:caps/>
                <w:color w:val="auto"/>
                <w:szCs w:val="21"/>
                <w:highlight w:val="none"/>
              </w:rPr>
              <w:t>评审标准</w:t>
            </w:r>
          </w:p>
        </w:tc>
        <w:tc>
          <w:tcPr>
            <w:tcW w:w="1313" w:type="dxa"/>
            <w:vAlign w:val="center"/>
          </w:tcPr>
          <w:p>
            <w:pPr>
              <w:tabs>
                <w:tab w:val="left" w:pos="1260"/>
                <w:tab w:val="left" w:pos="1620"/>
              </w:tabs>
              <w:adjustRightInd w:val="0"/>
              <w:snapToGrid w:val="0"/>
              <w:jc w:val="center"/>
              <w:textAlignment w:val="baseline"/>
              <w:rPr>
                <w:rFonts w:hint="eastAsia" w:ascii="宋体" w:hAnsi="宋体" w:eastAsia="宋体" w:cs="宋体"/>
                <w:b/>
                <w:caps/>
                <w:color w:val="auto"/>
                <w:szCs w:val="21"/>
                <w:highlight w:val="none"/>
              </w:rPr>
            </w:pPr>
            <w:r>
              <w:rPr>
                <w:rFonts w:hint="eastAsia" w:ascii="宋体" w:hAnsi="宋体" w:eastAsia="宋体" w:cs="宋体"/>
                <w:b/>
                <w:caps/>
                <w:color w:val="auto"/>
                <w:szCs w:val="21"/>
                <w:highlight w:val="none"/>
              </w:rPr>
              <w:t>评审结论</w:t>
            </w:r>
          </w:p>
          <w:p>
            <w:pPr>
              <w:tabs>
                <w:tab w:val="left" w:pos="1260"/>
                <w:tab w:val="left" w:pos="1620"/>
              </w:tabs>
              <w:adjustRightInd w:val="0"/>
              <w:snapToGrid w:val="0"/>
              <w:jc w:val="center"/>
              <w:textAlignment w:val="baseline"/>
              <w:rPr>
                <w:rFonts w:hint="eastAsia" w:ascii="宋体" w:hAnsi="宋体" w:eastAsia="宋体" w:cs="宋体"/>
                <w:b/>
                <w:caps/>
                <w:color w:val="auto"/>
                <w:szCs w:val="21"/>
                <w:highlight w:val="none"/>
              </w:rPr>
            </w:pPr>
            <w:r>
              <w:rPr>
                <w:rFonts w:hint="eastAsia" w:ascii="宋体" w:hAnsi="宋体" w:eastAsia="宋体" w:cs="宋体"/>
                <w:b/>
                <w:caps/>
                <w:color w:val="auto"/>
                <w:szCs w:val="21"/>
                <w:highlight w:val="none"/>
              </w:rPr>
              <w:t>（</w:t>
            </w:r>
            <w:r>
              <w:rPr>
                <w:rFonts w:hint="eastAsia" w:ascii="宋体" w:hAnsi="宋体" w:eastAsia="宋体" w:cs="宋体"/>
                <w:color w:val="auto"/>
                <w:szCs w:val="21"/>
                <w:highlight w:val="none"/>
              </w:rPr>
              <w:t>○</w:t>
            </w:r>
            <w:r>
              <w:rPr>
                <w:rFonts w:hint="eastAsia" w:ascii="宋体" w:hAnsi="宋体" w:eastAsia="宋体" w:cs="宋体"/>
                <w:b/>
                <w:caps/>
                <w:color w:val="auto"/>
                <w:szCs w:val="21"/>
                <w:highlight w:val="none"/>
              </w:rPr>
              <w:t>/</w:t>
            </w:r>
            <w:r>
              <w:rPr>
                <w:rFonts w:hint="eastAsia" w:ascii="宋体" w:hAnsi="宋体" w:eastAsia="宋体" w:cs="宋体"/>
                <w:color w:val="auto"/>
                <w:szCs w:val="21"/>
                <w:highlight w:val="none"/>
              </w:rPr>
              <w:t>×</w:t>
            </w:r>
            <w:r>
              <w:rPr>
                <w:rFonts w:hint="eastAsia" w:ascii="宋体" w:hAnsi="宋体" w:eastAsia="宋体" w:cs="宋体"/>
                <w:b/>
                <w:caps/>
                <w:color w:val="auto"/>
                <w:szCs w:val="21"/>
                <w:highlight w:val="none"/>
              </w:rPr>
              <w: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15"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磋商保证金</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按照磋商文件的规定提交磋商保证金（包括形式及金额）；</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20"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响应文件签署盖章</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按磋商文件格式要求加盖了供应商公章和有法定代表人或其授权代表签字或加盖人名章。</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90"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报价</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供应商报价是固定价且未超过预算金额（磋商文件有最高限价的，报价未超过最高限价）；</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22"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附加条件</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响应文件不含有采购人不能接受的附加条件；</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667"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公平竞争</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遵循公平竞争的原则，没有弄虚作假、恶意串通或妨碍其他供应商的竞争行为，损害采购人或者其他供应商的合法权益；弄虚作假、相互串通的情形见附注</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427" w:type="dxa"/>
            <w:vAlign w:val="center"/>
          </w:tcPr>
          <w:p>
            <w:pPr>
              <w:numPr>
                <w:ilvl w:val="0"/>
                <w:numId w:val="13"/>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其他无效情形</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无法律、法规和磋商文件规定的其他无效情形；</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00"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响应文件有效期</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有效期满足磋商文件要求的；</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15"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响应文件格式</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响应文件按规定的格式填写，内容完整且关键字迹清晰；</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74"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备选方案</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strike/>
                <w:color w:val="auto"/>
                <w:szCs w:val="21"/>
                <w:highlight w:val="none"/>
              </w:rPr>
            </w:pPr>
            <w:r>
              <w:rPr>
                <w:rFonts w:hint="eastAsia" w:ascii="宋体" w:hAnsi="宋体" w:eastAsia="宋体" w:cs="宋体"/>
                <w:color w:val="auto"/>
                <w:szCs w:val="21"/>
                <w:highlight w:val="none"/>
              </w:rPr>
              <w:t>供应商不得提交两份或者多份内容不同的响应文件，或者在同一份响应文件中对同一磋商项目有两个或者多个报价；</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7"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响应文件内容</w:t>
            </w:r>
          </w:p>
        </w:tc>
        <w:tc>
          <w:tcPr>
            <w:tcW w:w="5633" w:type="dxa"/>
            <w:shd w:val="clear" w:color="auto" w:fill="auto"/>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供应商提供的货物无实质性遗漏</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70"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技术响应</w:t>
            </w:r>
          </w:p>
        </w:tc>
        <w:tc>
          <w:tcPr>
            <w:tcW w:w="5633" w:type="dxa"/>
            <w:shd w:val="clear" w:color="auto" w:fill="auto"/>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符合“采购需求”要求，无重大偏差</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85"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服务</w:t>
            </w:r>
            <w:r>
              <w:rPr>
                <w:rFonts w:hint="eastAsia" w:ascii="宋体" w:hAnsi="宋体" w:eastAsia="宋体" w:cs="宋体"/>
                <w:color w:val="auto"/>
                <w:szCs w:val="21"/>
                <w:highlight w:val="none"/>
              </w:rPr>
              <w:t>期和</w:t>
            </w:r>
            <w:r>
              <w:rPr>
                <w:rFonts w:hint="eastAsia" w:ascii="宋体" w:hAnsi="宋体" w:eastAsia="宋体" w:cs="宋体"/>
                <w:color w:val="auto"/>
                <w:szCs w:val="21"/>
                <w:highlight w:val="none"/>
                <w:lang w:eastAsia="zh-CN"/>
              </w:rPr>
              <w:t>服务</w:t>
            </w:r>
            <w:r>
              <w:rPr>
                <w:rFonts w:hint="eastAsia" w:ascii="宋体" w:hAnsi="宋体" w:eastAsia="宋体" w:cs="宋体"/>
                <w:color w:val="auto"/>
                <w:szCs w:val="21"/>
                <w:highlight w:val="none"/>
              </w:rPr>
              <w:t>地点</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满足磋商文件要求；</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7" w:hRule="atLeast"/>
          <w:jc w:val="center"/>
        </w:trPr>
        <w:tc>
          <w:tcPr>
            <w:tcW w:w="427" w:type="dxa"/>
            <w:vAlign w:val="center"/>
          </w:tcPr>
          <w:p>
            <w:pPr>
              <w:numPr>
                <w:ilvl w:val="0"/>
                <w:numId w:val="14"/>
              </w:num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905" w:type="dxa"/>
            <w:vAlign w:val="center"/>
          </w:tcPr>
          <w:p>
            <w:pPr>
              <w:tabs>
                <w:tab w:val="left" w:pos="1260"/>
                <w:tab w:val="left" w:pos="1620"/>
              </w:tabs>
              <w:adjustRightInd w:val="0"/>
              <w:snapToGrid w:val="0"/>
              <w:jc w:val="center"/>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付款方式</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磋商文件不允许偏差时，响应文件无负偏差；</w:t>
            </w: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83" w:hRule="atLeast"/>
          <w:jc w:val="center"/>
        </w:trPr>
        <w:tc>
          <w:tcPr>
            <w:tcW w:w="2332" w:type="dxa"/>
            <w:gridSpan w:val="2"/>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r>
              <w:rPr>
                <w:rFonts w:hint="eastAsia" w:ascii="宋体" w:hAnsi="宋体" w:eastAsia="宋体" w:cs="宋体"/>
                <w:b/>
                <w:color w:val="auto"/>
                <w:szCs w:val="21"/>
                <w:highlight w:val="none"/>
              </w:rPr>
              <w:t>结论（通过或未通过）</w:t>
            </w:r>
          </w:p>
        </w:tc>
        <w:tc>
          <w:tcPr>
            <w:tcW w:w="563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c>
          <w:tcPr>
            <w:tcW w:w="1313" w:type="dxa"/>
            <w:vAlign w:val="center"/>
          </w:tcPr>
          <w:p>
            <w:pPr>
              <w:tabs>
                <w:tab w:val="left" w:pos="1260"/>
                <w:tab w:val="left" w:pos="1620"/>
              </w:tabs>
              <w:adjustRightInd w:val="0"/>
              <w:snapToGrid w:val="0"/>
              <w:textAlignment w:val="baseline"/>
              <w:rPr>
                <w:rFonts w:hint="eastAsia" w:ascii="宋体" w:hAnsi="宋体" w:eastAsia="宋体" w:cs="宋体"/>
                <w:color w:val="auto"/>
                <w:szCs w:val="21"/>
                <w:highlight w:val="none"/>
              </w:rPr>
            </w:pPr>
          </w:p>
        </w:tc>
      </w:tr>
    </w:tbl>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注：1、符合磋商文件要求用“○”表示，不符合用“×”表示。有一项不符合要求，结论为不合格。</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2、有下列情形之一的，视为供应商相互串通：</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（1）不同供应商的响应文件由同一单位或者个人编制；</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（2）不同供应商委托同一单位或者个人办理参与磋商事宜；</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（3）不同供应商的响应文件载明的项目管理成员或者联系人员为同一人；</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（4）不同供应商的响应文件异常一致或者报价呈规律性差异；</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（5）不同供应商的响应文件相互混装；</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（6）不同供应商的磋商保证金从同一单位或者个人的账户转出。</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3、有下列情形之一的，属于提供虚假材料谋取成交的行为：</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（1）使用伪造、变造的许可证件；</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（2）提供虚假的财务状况或者业绩；</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（3）提供虚假的项目负责人或者主要技术人员简历、劳动关系证明；</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（4）提供虚假的信用状况；</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（5）其他弄虚作假的行为。</w:t>
      </w:r>
    </w:p>
    <w:p>
      <w:pPr>
        <w:tabs>
          <w:tab w:val="left" w:pos="1260"/>
          <w:tab w:val="left" w:pos="1620"/>
        </w:tabs>
        <w:adjustRightInd w:val="0"/>
        <w:spacing w:line="360" w:lineRule="auto"/>
        <w:jc w:val="left"/>
        <w:textAlignment w:val="baseline"/>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pPr>
        <w:jc w:val="center"/>
        <w:rPr>
          <w:rFonts w:hint="eastAsia" w:ascii="宋体" w:hAnsi="宋体" w:eastAsia="宋体" w:cs="宋体"/>
          <w:b/>
          <w:color w:val="auto"/>
          <w:sz w:val="30"/>
          <w:szCs w:val="30"/>
          <w:highlight w:val="none"/>
        </w:rPr>
      </w:pPr>
      <w:bookmarkStart w:id="408" w:name="_Toc414446034"/>
      <w:bookmarkStart w:id="409" w:name="_Toc410631198"/>
      <w:bookmarkStart w:id="410" w:name="_Toc7005048"/>
      <w:r>
        <w:rPr>
          <w:rFonts w:hint="eastAsia" w:ascii="宋体" w:hAnsi="宋体" w:eastAsia="宋体" w:cs="宋体"/>
          <w:b/>
          <w:color w:val="auto"/>
          <w:sz w:val="30"/>
          <w:szCs w:val="30"/>
          <w:highlight w:val="none"/>
        </w:rPr>
        <w:t>附表三 评审因素及分值分配表</w:t>
      </w:r>
      <w:bookmarkEnd w:id="408"/>
      <w:bookmarkEnd w:id="409"/>
      <w:bookmarkEnd w:id="410"/>
      <w:r>
        <w:rPr>
          <w:rFonts w:hint="eastAsia" w:ascii="宋体" w:hAnsi="宋体" w:eastAsia="宋体" w:cs="宋体"/>
          <w:b/>
          <w:color w:val="auto"/>
          <w:sz w:val="30"/>
          <w:szCs w:val="30"/>
          <w:highlight w:val="none"/>
        </w:rPr>
        <w:t>（满分100分）</w:t>
      </w:r>
    </w:p>
    <w:tbl>
      <w:tblPr>
        <w:tblStyle w:val="51"/>
        <w:tblpPr w:leftFromText="180" w:rightFromText="180" w:vertAnchor="text" w:horzAnchor="page" w:tblpX="1435" w:tblpY="449"/>
        <w:tblOverlap w:val="never"/>
        <w:tblW w:w="98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0"/>
        <w:gridCol w:w="1134"/>
        <w:gridCol w:w="7116"/>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eastAsia="zh-CN"/>
              </w:rPr>
            </w:pPr>
            <w:bookmarkStart w:id="411" w:name="_Toc7005049"/>
            <w:r>
              <w:rPr>
                <w:rFonts w:hint="eastAsia" w:ascii="宋体" w:hAnsi="宋体" w:eastAsia="宋体" w:cs="宋体"/>
                <w:b w:val="0"/>
                <w:bCs/>
                <w:sz w:val="21"/>
                <w:szCs w:val="21"/>
                <w:lang w:val="en-US" w:eastAsia="zh-CN"/>
              </w:rPr>
              <w:t>序号</w:t>
            </w:r>
          </w:p>
        </w:tc>
        <w:tc>
          <w:tcPr>
            <w:tcW w:w="1134"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类别</w:t>
            </w:r>
          </w:p>
        </w:tc>
        <w:tc>
          <w:tcPr>
            <w:tcW w:w="7116"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评标因素</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最高评分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0" w:type="dxa"/>
            <w:gridSpan w:val="4"/>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rPr>
            </w:pPr>
            <w:r>
              <w:rPr>
                <w:rFonts w:hint="eastAsia" w:ascii="宋体" w:hAnsi="宋体" w:eastAsia="宋体" w:cs="宋体"/>
                <w:b/>
                <w:bCs w:val="0"/>
                <w:sz w:val="21"/>
                <w:szCs w:val="21"/>
                <w:lang w:val="en-US" w:eastAsia="zh-CN"/>
              </w:rPr>
              <w:t>投标价格</w:t>
            </w:r>
            <w:r>
              <w:rPr>
                <w:rFonts w:hint="eastAsia" w:ascii="宋体" w:hAnsi="宋体" w:eastAsia="宋体" w:cs="宋体"/>
                <w:b/>
                <w:bCs w:val="0"/>
                <w:sz w:val="21"/>
                <w:szCs w:val="21"/>
              </w:rPr>
              <w:t>（1</w:t>
            </w:r>
            <w:r>
              <w:rPr>
                <w:rFonts w:hint="eastAsia" w:ascii="宋体" w:hAnsi="宋体" w:eastAsia="宋体" w:cs="宋体"/>
                <w:b/>
                <w:bCs w:val="0"/>
                <w:sz w:val="21"/>
                <w:szCs w:val="21"/>
                <w:lang w:val="en-US" w:eastAsia="zh-CN"/>
              </w:rPr>
              <w:t>5</w:t>
            </w:r>
            <w:r>
              <w:rPr>
                <w:rFonts w:hint="eastAsia" w:ascii="宋体" w:hAnsi="宋体" w:eastAsia="宋体" w:cs="宋体"/>
                <w:b/>
                <w:bCs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rPr>
              <w:t>投标价格</w:t>
            </w:r>
            <w:r>
              <w:rPr>
                <w:rFonts w:hint="eastAsia" w:ascii="宋体" w:hAnsi="宋体" w:eastAsia="宋体" w:cs="宋体"/>
                <w:b w:val="0"/>
                <w:bCs/>
                <w:sz w:val="21"/>
                <w:szCs w:val="21"/>
                <w:lang w:val="en-US" w:eastAsia="zh-CN"/>
              </w:rPr>
              <w:t>15</w:t>
            </w:r>
            <w:r>
              <w:rPr>
                <w:rFonts w:hint="eastAsia" w:ascii="宋体" w:hAnsi="宋体" w:eastAsia="宋体" w:cs="宋体"/>
                <w:b w:val="0"/>
                <w:bCs/>
                <w:sz w:val="21"/>
                <w:szCs w:val="21"/>
              </w:rPr>
              <w:t>分</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评标基准价：满足招标文件要求且投标价格最低的投标报价为评标基准价，其价格分为10分。</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其他投标人的价格分统一按照下列公式计算（小数点后保留两位）：</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rPr>
              <w:t>投标报价得分=(评标基准价／投标报价)×</w:t>
            </w:r>
            <w:r>
              <w:rPr>
                <w:rFonts w:hint="eastAsia" w:ascii="宋体" w:hAnsi="宋体" w:eastAsia="宋体" w:cs="宋体"/>
                <w:b w:val="0"/>
                <w:bCs/>
                <w:sz w:val="21"/>
                <w:szCs w:val="21"/>
                <w:lang w:val="en-US" w:eastAsia="zh-CN"/>
              </w:rPr>
              <w:t>15</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备注：</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1、评分计算保留2位小数，第3位小数四舍五入。</w:t>
            </w:r>
          </w:p>
          <w:p>
            <w:pPr>
              <w:keepNext w:val="0"/>
              <w:keepLines w:val="0"/>
              <w:pageBreakBefore w:val="0"/>
              <w:numPr>
                <w:ilvl w:val="0"/>
                <w:numId w:val="15"/>
              </w:numPr>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评标委员会对满足招标文件实质性要求的投标文件，按照本章规定的评分标准进行打分，并按得分由高到低顺序推荐中标候选人，或根据招标人授权直接确定中标人，但投标报价低于其成本的除外。综合评分相等时，以投标报价低的优先；投标报价也相等的，由招标人自行确定。</w:t>
            </w:r>
          </w:p>
          <w:p>
            <w:pPr>
              <w:keepNext w:val="0"/>
              <w:keepLines w:val="0"/>
              <w:pageBreakBefore w:val="0"/>
              <w:numPr>
                <w:ilvl w:val="0"/>
                <w:numId w:val="15"/>
              </w:numPr>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投标报价不完整的，不进入评标基准价的计算，本项得0分。</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lang w:val="en-US" w:eastAsia="zh-CN"/>
              </w:rPr>
              <w:t>4、</w:t>
            </w:r>
            <w:r>
              <w:rPr>
                <w:rFonts w:hint="eastAsia" w:ascii="宋体" w:hAnsi="宋体" w:eastAsia="宋体" w:cs="宋体"/>
                <w:b w:val="0"/>
                <w:bCs/>
                <w:sz w:val="21"/>
                <w:szCs w:val="21"/>
              </w:rPr>
              <w:t>报价超过采购预算或最高限价的，按无效响应处理。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0" w:type="dxa"/>
            <w:gridSpan w:val="4"/>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bCs w:val="0"/>
                <w:sz w:val="21"/>
                <w:szCs w:val="21"/>
                <w:lang w:val="en-US" w:eastAsia="zh-CN"/>
              </w:rPr>
              <w:t>技术评审</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62</w:t>
            </w:r>
            <w:r>
              <w:rPr>
                <w:rFonts w:hint="eastAsia" w:ascii="宋体" w:hAnsi="宋体" w:eastAsia="宋体" w:cs="宋体"/>
                <w:b/>
                <w:bCs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技术</w:t>
            </w:r>
            <w:r>
              <w:rPr>
                <w:rFonts w:hint="eastAsia" w:ascii="宋体" w:hAnsi="宋体" w:eastAsia="宋体" w:cs="宋体"/>
                <w:b w:val="0"/>
                <w:bCs/>
                <w:sz w:val="21"/>
                <w:szCs w:val="21"/>
                <w:lang w:val="en-US" w:eastAsia="zh-CN"/>
              </w:rPr>
              <w:t>参数评审</w:t>
            </w:r>
          </w:p>
        </w:tc>
        <w:tc>
          <w:tcPr>
            <w:tcW w:w="7116"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val="en-US" w:eastAsia="zh-CN"/>
              </w:rPr>
            </w:pPr>
            <w:r>
              <w:rPr>
                <w:rFonts w:hint="eastAsia" w:ascii="宋体" w:hAnsi="宋体" w:eastAsia="宋体" w:cs="宋体"/>
                <w:b w:val="0"/>
                <w:bCs/>
                <w:color w:val="000000"/>
                <w:sz w:val="21"/>
                <w:szCs w:val="21"/>
                <w:lang w:val="en-US" w:eastAsia="zh-CN"/>
              </w:rPr>
              <w:t>制造商或代理商</w:t>
            </w:r>
            <w:r>
              <w:rPr>
                <w:rFonts w:hint="eastAsia" w:ascii="宋体" w:hAnsi="宋体" w:eastAsia="宋体" w:cs="宋体"/>
                <w:b w:val="0"/>
                <w:bCs/>
                <w:sz w:val="21"/>
                <w:szCs w:val="21"/>
              </w:rPr>
              <w:t>依据投标响应产品的相关技术资料（</w:t>
            </w:r>
            <w:r>
              <w:rPr>
                <w:rFonts w:hint="eastAsia" w:ascii="宋体" w:hAnsi="宋体" w:eastAsia="宋体" w:cs="宋体"/>
                <w:b w:val="0"/>
                <w:bCs/>
                <w:sz w:val="21"/>
                <w:szCs w:val="21"/>
                <w:lang w:val="en-US" w:eastAsia="zh-CN"/>
              </w:rPr>
              <w:t>提供资料</w:t>
            </w:r>
            <w:r>
              <w:rPr>
                <w:rFonts w:hint="eastAsia" w:ascii="宋体" w:hAnsi="宋体" w:eastAsia="宋体" w:cs="宋体"/>
                <w:b w:val="0"/>
                <w:bCs/>
                <w:sz w:val="21"/>
                <w:szCs w:val="21"/>
              </w:rPr>
              <w:t>包括但不限于检测报告、产品彩页、</w:t>
            </w:r>
            <w:r>
              <w:rPr>
                <w:rFonts w:hint="eastAsia" w:ascii="宋体" w:hAnsi="宋体" w:eastAsia="宋体" w:cs="宋体"/>
                <w:b w:val="0"/>
                <w:bCs/>
                <w:sz w:val="21"/>
                <w:szCs w:val="21"/>
                <w:lang w:val="en-US" w:eastAsia="zh-CN"/>
              </w:rPr>
              <w:t>系统</w:t>
            </w:r>
            <w:r>
              <w:rPr>
                <w:rFonts w:hint="eastAsia" w:ascii="宋体" w:hAnsi="宋体" w:eastAsia="宋体" w:cs="宋体"/>
                <w:b w:val="0"/>
                <w:bCs/>
                <w:sz w:val="21"/>
                <w:szCs w:val="21"/>
              </w:rPr>
              <w:t>功能截图、</w:t>
            </w:r>
            <w:r>
              <w:rPr>
                <w:rFonts w:hint="eastAsia" w:ascii="宋体" w:hAnsi="宋体" w:eastAsia="宋体" w:cs="宋体"/>
                <w:b w:val="0"/>
                <w:bCs/>
                <w:sz w:val="21"/>
                <w:szCs w:val="21"/>
                <w:lang w:val="en-US" w:eastAsia="zh-CN"/>
              </w:rPr>
              <w:t>厂商证明</w:t>
            </w:r>
            <w:r>
              <w:rPr>
                <w:rFonts w:hint="eastAsia" w:ascii="宋体" w:hAnsi="宋体" w:eastAsia="宋体" w:cs="宋体"/>
                <w:b w:val="0"/>
                <w:bCs/>
                <w:sz w:val="21"/>
                <w:szCs w:val="21"/>
              </w:rPr>
              <w:t>）等有关内容对产品技术指标进行评审。投标产品技术参数清晰、明确，满足招标文件要求得</w:t>
            </w:r>
            <w:r>
              <w:rPr>
                <w:rFonts w:hint="eastAsia" w:ascii="宋体" w:hAnsi="宋体" w:eastAsia="宋体" w:cs="宋体"/>
                <w:b w:val="0"/>
                <w:bCs/>
                <w:sz w:val="21"/>
                <w:szCs w:val="21"/>
                <w:lang w:val="en-US" w:eastAsia="zh-CN"/>
              </w:rPr>
              <w:t>26</w:t>
            </w:r>
            <w:r>
              <w:rPr>
                <w:rFonts w:hint="eastAsia" w:ascii="宋体" w:hAnsi="宋体" w:eastAsia="宋体" w:cs="宋体"/>
                <w:b w:val="0"/>
                <w:bCs/>
                <w:sz w:val="21"/>
                <w:szCs w:val="21"/>
              </w:rPr>
              <w:t>分</w:t>
            </w:r>
            <w:r>
              <w:rPr>
                <w:rFonts w:hint="eastAsia" w:ascii="宋体" w:hAnsi="宋体" w:eastAsia="宋体" w:cs="宋体"/>
                <w:b w:val="0"/>
                <w:bCs/>
                <w:sz w:val="21"/>
                <w:szCs w:val="21"/>
                <w:lang w:eastAsia="zh-CN"/>
              </w:rPr>
              <w:t>，</w:t>
            </w:r>
            <w:r>
              <w:rPr>
                <w:rFonts w:hint="eastAsia" w:ascii="宋体" w:hAnsi="宋体" w:eastAsia="宋体" w:cs="宋体"/>
                <w:b w:val="0"/>
                <w:bCs/>
                <w:sz w:val="21"/>
                <w:szCs w:val="21"/>
              </w:rPr>
              <w:t>带▲号的参数负偏离每项扣</w:t>
            </w:r>
            <w:r>
              <w:rPr>
                <w:rFonts w:hint="eastAsia" w:ascii="宋体" w:hAnsi="宋体" w:eastAsia="宋体" w:cs="宋体"/>
                <w:b w:val="0"/>
                <w:bCs/>
                <w:sz w:val="21"/>
                <w:szCs w:val="21"/>
                <w:lang w:val="en-US" w:eastAsia="zh-CN"/>
              </w:rPr>
              <w:t>2</w:t>
            </w:r>
            <w:r>
              <w:rPr>
                <w:rFonts w:hint="eastAsia" w:ascii="宋体" w:hAnsi="宋体" w:eastAsia="宋体" w:cs="宋体"/>
                <w:b w:val="0"/>
                <w:bCs/>
                <w:sz w:val="21"/>
                <w:szCs w:val="21"/>
              </w:rPr>
              <w:t>分，其他参数负偏离每项扣</w:t>
            </w:r>
            <w:r>
              <w:rPr>
                <w:rFonts w:hint="eastAsia" w:ascii="宋体" w:hAnsi="宋体" w:eastAsia="宋体" w:cs="宋体"/>
                <w:b w:val="0"/>
                <w:bCs/>
                <w:sz w:val="21"/>
                <w:szCs w:val="21"/>
                <w:lang w:val="en-US" w:eastAsia="zh-CN"/>
              </w:rPr>
              <w:t>1分</w:t>
            </w:r>
            <w:r>
              <w:rPr>
                <w:rFonts w:hint="eastAsia" w:ascii="宋体" w:hAnsi="宋体" w:eastAsia="宋体" w:cs="宋体"/>
                <w:b w:val="0"/>
                <w:bCs/>
                <w:sz w:val="21"/>
                <w:szCs w:val="21"/>
              </w:rPr>
              <w:t>，扣完为止；</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lang w:bidi="ar"/>
              </w:rPr>
              <w:t>总体技术方案</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color w:val="000000"/>
                <w:sz w:val="21"/>
                <w:szCs w:val="21"/>
                <w:lang w:val="en-US" w:eastAsia="zh-CN"/>
              </w:rPr>
              <w:t>制造商或代理商</w:t>
            </w:r>
            <w:r>
              <w:rPr>
                <w:rFonts w:hint="eastAsia" w:ascii="宋体" w:hAnsi="宋体" w:eastAsia="宋体" w:cs="宋体"/>
                <w:b w:val="0"/>
                <w:bCs/>
                <w:sz w:val="21"/>
                <w:szCs w:val="21"/>
                <w:lang w:bidi="ar"/>
              </w:rPr>
              <w:t>总体技术方案包括：（1）对本项目理解（①项目情况分析、②项目重难点分析</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lang w:bidi="ar"/>
              </w:rPr>
              <w:t>、（2）总体设计（①体系架构、②功能模块、③实现思路和关键技术</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lang w:bidi="ar"/>
              </w:rPr>
              <w:t>、（3）建设方案（①对项目建设思路、②对项目建设原则、特点、③技术要求、</w:t>
            </w:r>
            <w:r>
              <w:rPr>
                <w:rFonts w:hint="eastAsia" w:ascii="宋体" w:hAnsi="宋体" w:eastAsia="宋体" w:cs="宋体"/>
                <w:b w:val="0"/>
                <w:bCs/>
                <w:sz w:val="21"/>
                <w:szCs w:val="21"/>
                <w:lang w:val="en-US" w:eastAsia="zh-CN" w:bidi="ar"/>
              </w:rPr>
              <w:t>④</w:t>
            </w:r>
            <w:r>
              <w:rPr>
                <w:rFonts w:hint="eastAsia" w:ascii="宋体" w:hAnsi="宋体" w:eastAsia="宋体" w:cs="宋体"/>
                <w:b w:val="0"/>
                <w:bCs/>
                <w:sz w:val="21"/>
                <w:szCs w:val="21"/>
                <w:lang w:bidi="ar"/>
              </w:rPr>
              <w:t>总体目标）等内容，</w:t>
            </w:r>
            <w:r>
              <w:rPr>
                <w:rFonts w:hint="eastAsia" w:ascii="宋体" w:hAnsi="宋体" w:eastAsia="宋体" w:cs="宋体"/>
                <w:b w:val="0"/>
                <w:bCs/>
                <w:sz w:val="21"/>
                <w:szCs w:val="21"/>
                <w:highlight w:val="none"/>
                <w:lang w:val="en-US" w:eastAsia="zh-CN"/>
              </w:rPr>
              <w:t>根据响应程度得0-9分，每缺少一项内容扣1分，每项内容存在缺陷的，扣0.5分。</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lang w:bidi="ar"/>
              </w:rPr>
              <w:t>注：</w:t>
            </w:r>
            <w:r>
              <w:rPr>
                <w:rFonts w:hint="eastAsia" w:ascii="宋体" w:hAnsi="宋体" w:eastAsia="宋体" w:cs="宋体"/>
                <w:b w:val="0"/>
                <w:bCs/>
                <w:sz w:val="21"/>
                <w:szCs w:val="21"/>
              </w:rPr>
              <w:t>“内容存在缺陷”是指：方案项目名称、项目编号与本项目要求不一致，或套用其他项目方案，或引用科学原理错误，或前后内容互相矛盾，或存在与本项目无关的内容。</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3</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bidi="ar"/>
              </w:rPr>
            </w:pPr>
            <w:r>
              <w:rPr>
                <w:rFonts w:hint="eastAsia" w:ascii="宋体" w:hAnsi="宋体" w:eastAsia="宋体" w:cs="宋体"/>
                <w:b w:val="0"/>
                <w:bCs/>
                <w:sz w:val="21"/>
                <w:szCs w:val="21"/>
                <w:lang w:bidi="ar"/>
              </w:rPr>
              <w:t>项目实施方案</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color w:val="000000"/>
                <w:sz w:val="21"/>
                <w:szCs w:val="21"/>
                <w:lang w:val="en-US" w:eastAsia="zh-CN"/>
              </w:rPr>
              <w:t>制造商或代理商</w:t>
            </w:r>
            <w:r>
              <w:rPr>
                <w:rFonts w:hint="eastAsia" w:ascii="宋体" w:hAnsi="宋体" w:eastAsia="宋体" w:cs="宋体"/>
                <w:b w:val="0"/>
                <w:bCs/>
                <w:sz w:val="21"/>
                <w:szCs w:val="21"/>
                <w:lang w:bidi="ar"/>
              </w:rPr>
              <w:t>项目实施方案包括：（1）工程实施步骤或流程、（2）各阶段实施任务、（3）项目质量管理、（4）风险管理、</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lang w:val="en-US" w:eastAsia="zh-CN" w:bidi="ar"/>
              </w:rPr>
              <w:t>5）</w:t>
            </w:r>
            <w:r>
              <w:rPr>
                <w:rFonts w:hint="eastAsia" w:ascii="宋体" w:hAnsi="宋体" w:eastAsia="宋体" w:cs="宋体"/>
                <w:b w:val="0"/>
                <w:bCs/>
                <w:sz w:val="21"/>
                <w:szCs w:val="21"/>
                <w:lang w:bidi="ar"/>
              </w:rPr>
              <w:t>培训内容</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lang w:bidi="ar"/>
              </w:rPr>
              <w:t>（</w:t>
            </w:r>
            <w:r>
              <w:rPr>
                <w:rFonts w:hint="eastAsia" w:ascii="宋体" w:hAnsi="宋体" w:eastAsia="宋体" w:cs="宋体"/>
                <w:b w:val="0"/>
                <w:bCs/>
                <w:sz w:val="21"/>
                <w:szCs w:val="21"/>
                <w:lang w:val="en-US" w:eastAsia="zh-CN" w:bidi="ar"/>
              </w:rPr>
              <w:t>6</w:t>
            </w:r>
            <w:r>
              <w:rPr>
                <w:rFonts w:hint="eastAsia" w:ascii="宋体" w:hAnsi="宋体" w:eastAsia="宋体" w:cs="宋体"/>
                <w:b w:val="0"/>
                <w:bCs/>
                <w:sz w:val="21"/>
                <w:szCs w:val="21"/>
                <w:lang w:bidi="ar"/>
              </w:rPr>
              <w:t>）</w:t>
            </w:r>
            <w:r>
              <w:rPr>
                <w:rFonts w:hint="eastAsia" w:ascii="宋体" w:hAnsi="宋体" w:eastAsia="宋体" w:cs="宋体"/>
                <w:b w:val="0"/>
                <w:bCs/>
                <w:sz w:val="21"/>
                <w:szCs w:val="21"/>
                <w:lang w:val="en-US" w:eastAsia="zh-CN" w:bidi="ar"/>
              </w:rPr>
              <w:t>测试</w:t>
            </w:r>
            <w:r>
              <w:rPr>
                <w:rFonts w:hint="eastAsia" w:ascii="宋体" w:hAnsi="宋体" w:eastAsia="宋体" w:cs="宋体"/>
                <w:b w:val="0"/>
                <w:bCs/>
                <w:sz w:val="21"/>
                <w:szCs w:val="21"/>
                <w:lang w:bidi="ar"/>
              </w:rPr>
              <w:t>方案等内容，</w:t>
            </w:r>
            <w:r>
              <w:rPr>
                <w:rFonts w:hint="eastAsia" w:ascii="宋体" w:hAnsi="宋体" w:eastAsia="宋体" w:cs="宋体"/>
                <w:b w:val="0"/>
                <w:bCs/>
                <w:sz w:val="21"/>
                <w:szCs w:val="21"/>
                <w:highlight w:val="none"/>
                <w:lang w:val="en-US" w:eastAsia="zh-CN"/>
              </w:rPr>
              <w:t>根据响应程度得0-9分，每缺少一项内容扣1.5分，每项内容存在缺陷的，扣1分。</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bidi="ar"/>
              </w:rPr>
            </w:pPr>
            <w:r>
              <w:rPr>
                <w:rFonts w:hint="eastAsia" w:ascii="宋体" w:hAnsi="宋体" w:eastAsia="宋体" w:cs="宋体"/>
                <w:b w:val="0"/>
                <w:bCs/>
                <w:sz w:val="21"/>
                <w:szCs w:val="21"/>
                <w:lang w:bidi="ar"/>
              </w:rPr>
              <w:t>注：</w:t>
            </w:r>
            <w:r>
              <w:rPr>
                <w:rFonts w:hint="eastAsia" w:ascii="宋体" w:hAnsi="宋体" w:eastAsia="宋体" w:cs="宋体"/>
                <w:b w:val="0"/>
                <w:bCs/>
                <w:sz w:val="21"/>
                <w:szCs w:val="21"/>
              </w:rPr>
              <w:t>“内容存在缺陷”是指：方案项目名称、项目编号与本项目要求不一致，或套用其他项目方案，或引用科学原理错误，或前后内容互相矛盾，或存在与本项目无关的内容。</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lang w:val="en-US" w:eastAsia="zh-CN" w:bidi="ar"/>
              </w:rPr>
              <w:t>9</w:t>
            </w:r>
            <w:r>
              <w:rPr>
                <w:rFonts w:hint="eastAsia" w:ascii="宋体" w:hAnsi="宋体" w:eastAsia="宋体" w:cs="宋体"/>
                <w:b w:val="0"/>
                <w:bCs/>
                <w:sz w:val="21"/>
                <w:szCs w:val="21"/>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4</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bidi="ar"/>
              </w:rPr>
            </w:pPr>
            <w:r>
              <w:rPr>
                <w:rFonts w:hint="eastAsia" w:ascii="宋体" w:hAnsi="宋体" w:eastAsia="宋体" w:cs="宋体"/>
                <w:b w:val="0"/>
                <w:bCs/>
                <w:sz w:val="21"/>
                <w:szCs w:val="21"/>
                <w:lang w:bidi="ar"/>
              </w:rPr>
              <w:t>售后服务方案</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highlight w:val="none"/>
                <w:lang w:val="en-US" w:eastAsia="zh-CN"/>
              </w:rPr>
            </w:pPr>
            <w:r>
              <w:rPr>
                <w:rFonts w:hint="eastAsia" w:ascii="宋体" w:hAnsi="宋体" w:eastAsia="宋体" w:cs="宋体"/>
                <w:b w:val="0"/>
                <w:bCs/>
                <w:color w:val="000000"/>
                <w:sz w:val="21"/>
                <w:szCs w:val="21"/>
                <w:lang w:val="en-US" w:eastAsia="zh-CN"/>
              </w:rPr>
              <w:t>制造商或代理商</w:t>
            </w:r>
            <w:r>
              <w:rPr>
                <w:rFonts w:hint="eastAsia" w:ascii="宋体" w:hAnsi="宋体" w:eastAsia="宋体" w:cs="宋体"/>
                <w:b w:val="0"/>
                <w:bCs/>
                <w:sz w:val="21"/>
                <w:szCs w:val="21"/>
                <w:lang w:bidi="ar"/>
              </w:rPr>
              <w:t>售后服务方案包括：（1）服务管理体系、（2）售后服务内容、（</w:t>
            </w:r>
            <w:r>
              <w:rPr>
                <w:rFonts w:hint="eastAsia" w:ascii="宋体" w:hAnsi="宋体" w:eastAsia="宋体" w:cs="宋体"/>
                <w:b w:val="0"/>
                <w:bCs/>
                <w:sz w:val="21"/>
                <w:szCs w:val="21"/>
                <w:lang w:val="en-US" w:eastAsia="zh-CN" w:bidi="ar"/>
              </w:rPr>
              <w:t>3</w:t>
            </w:r>
            <w:r>
              <w:rPr>
                <w:rFonts w:hint="eastAsia" w:ascii="宋体" w:hAnsi="宋体" w:eastAsia="宋体" w:cs="宋体"/>
                <w:b w:val="0"/>
                <w:bCs/>
                <w:sz w:val="21"/>
                <w:szCs w:val="21"/>
                <w:lang w:bidi="ar"/>
              </w:rPr>
              <w:t>）</w:t>
            </w:r>
            <w:r>
              <w:rPr>
                <w:rFonts w:hint="eastAsia" w:ascii="宋体" w:hAnsi="宋体" w:eastAsia="宋体" w:cs="宋体"/>
                <w:b w:val="0"/>
                <w:bCs/>
                <w:sz w:val="21"/>
                <w:szCs w:val="21"/>
                <w:lang w:val="en-US" w:eastAsia="zh-CN" w:bidi="ar"/>
              </w:rPr>
              <w:t>服务响应时限</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lang w:bidi="ar"/>
              </w:rPr>
              <w:t>（</w:t>
            </w:r>
            <w:r>
              <w:rPr>
                <w:rFonts w:hint="eastAsia" w:ascii="宋体" w:hAnsi="宋体" w:eastAsia="宋体" w:cs="宋体"/>
                <w:b w:val="0"/>
                <w:bCs/>
                <w:sz w:val="21"/>
                <w:szCs w:val="21"/>
                <w:lang w:val="en-US" w:eastAsia="zh-CN" w:bidi="ar"/>
              </w:rPr>
              <w:t>4</w:t>
            </w:r>
            <w:r>
              <w:rPr>
                <w:rFonts w:hint="eastAsia" w:ascii="宋体" w:hAnsi="宋体" w:eastAsia="宋体" w:cs="宋体"/>
                <w:b w:val="0"/>
                <w:bCs/>
                <w:sz w:val="21"/>
                <w:szCs w:val="21"/>
                <w:lang w:bidi="ar"/>
              </w:rPr>
              <w:t>）应急预案等内容</w:t>
            </w:r>
            <w:r>
              <w:rPr>
                <w:rFonts w:hint="eastAsia" w:ascii="宋体" w:hAnsi="宋体" w:eastAsia="宋体" w:cs="宋体"/>
                <w:b w:val="0"/>
                <w:bCs/>
                <w:sz w:val="21"/>
                <w:szCs w:val="21"/>
                <w:lang w:eastAsia="zh-CN" w:bidi="ar"/>
              </w:rPr>
              <w:t>。</w:t>
            </w:r>
            <w:r>
              <w:rPr>
                <w:rFonts w:hint="eastAsia" w:ascii="宋体" w:hAnsi="宋体" w:eastAsia="宋体" w:cs="宋体"/>
                <w:b w:val="0"/>
                <w:bCs/>
                <w:sz w:val="21"/>
                <w:szCs w:val="21"/>
                <w:highlight w:val="none"/>
                <w:lang w:val="en-US" w:eastAsia="zh-CN"/>
              </w:rPr>
              <w:t>根据响应程度得0-6分，每缺少一项内容扣1.5分，每项内容存在缺陷的，扣1分。</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bidi="ar"/>
              </w:rPr>
            </w:pPr>
            <w:r>
              <w:rPr>
                <w:rFonts w:hint="eastAsia" w:ascii="宋体" w:hAnsi="宋体" w:eastAsia="宋体" w:cs="宋体"/>
                <w:b w:val="0"/>
                <w:bCs/>
                <w:sz w:val="21"/>
                <w:szCs w:val="21"/>
                <w:lang w:bidi="ar"/>
              </w:rPr>
              <w:t>注：</w:t>
            </w:r>
            <w:r>
              <w:rPr>
                <w:rFonts w:hint="eastAsia" w:ascii="宋体" w:hAnsi="宋体" w:eastAsia="宋体" w:cs="宋体"/>
                <w:b w:val="0"/>
                <w:bCs/>
                <w:sz w:val="21"/>
                <w:szCs w:val="21"/>
              </w:rPr>
              <w:t>“内容存在缺陷”是指：方案项目名称、项目编号与本项目要求不一致，或套用其他项目方案，或引用科学原理错误，或前后内容互相矛盾，或存在与本项目无关的内容。</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lang w:val="en-US" w:eastAsia="zh-CN" w:bidi="ar"/>
              </w:rPr>
            </w:pPr>
            <w:r>
              <w:rPr>
                <w:rFonts w:hint="eastAsia" w:ascii="宋体" w:hAnsi="宋体" w:eastAsia="宋体" w:cs="宋体"/>
                <w:b w:val="0"/>
                <w:bCs/>
                <w:sz w:val="21"/>
                <w:szCs w:val="21"/>
                <w:lang w:val="en-US" w:eastAsia="zh-CN" w:bidi="ar"/>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5</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eastAsia="zh-CN" w:bidi="ar"/>
              </w:rPr>
            </w:pPr>
            <w:r>
              <w:rPr>
                <w:rFonts w:hint="eastAsia" w:ascii="宋体" w:hAnsi="宋体" w:eastAsia="宋体" w:cs="宋体"/>
                <w:b w:val="0"/>
                <w:bCs/>
                <w:sz w:val="21"/>
                <w:szCs w:val="21"/>
              </w:rPr>
              <w:t>软件</w:t>
            </w:r>
            <w:r>
              <w:rPr>
                <w:rFonts w:hint="eastAsia" w:ascii="宋体" w:hAnsi="宋体" w:eastAsia="宋体" w:cs="宋体"/>
                <w:b w:val="0"/>
                <w:bCs/>
                <w:sz w:val="21"/>
                <w:szCs w:val="21"/>
                <w:lang w:val="en-US" w:eastAsia="zh-CN"/>
              </w:rPr>
              <w:t>著作权</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eastAsia="zh-CN"/>
              </w:rPr>
              <w:t>投标人需提供已</w:t>
            </w:r>
            <w:r>
              <w:rPr>
                <w:rFonts w:hint="eastAsia" w:ascii="宋体" w:hAnsi="宋体" w:eastAsia="宋体" w:cs="宋体"/>
                <w:sz w:val="21"/>
                <w:szCs w:val="21"/>
                <w:highlight w:val="none"/>
                <w:lang w:val="en-US" w:eastAsia="zh-CN"/>
              </w:rPr>
              <w:t>具有</w:t>
            </w:r>
            <w:r>
              <w:rPr>
                <w:rFonts w:hint="eastAsia" w:ascii="宋体" w:hAnsi="宋体" w:eastAsia="宋体" w:cs="宋体"/>
                <w:sz w:val="21"/>
                <w:szCs w:val="21"/>
                <w:highlight w:val="none"/>
                <w:lang w:eastAsia="zh-CN"/>
              </w:rPr>
              <w:t>的</w:t>
            </w:r>
            <w:r>
              <w:rPr>
                <w:rFonts w:hint="eastAsia" w:ascii="宋体" w:hAnsi="宋体" w:eastAsia="宋体" w:cs="宋体"/>
                <w:sz w:val="21"/>
                <w:szCs w:val="21"/>
                <w:highlight w:val="none"/>
                <w:lang w:val="en-US" w:eastAsia="zh-CN"/>
              </w:rPr>
              <w:t>本项目相关系统著作权证书</w:t>
            </w:r>
            <w:r>
              <w:rPr>
                <w:rFonts w:hint="eastAsia" w:ascii="宋体" w:hAnsi="宋体" w:eastAsia="宋体" w:cs="宋体"/>
                <w:sz w:val="21"/>
                <w:szCs w:val="21"/>
                <w:highlight w:val="none"/>
                <w:lang w:eastAsia="zh-CN"/>
              </w:rPr>
              <w:t>复印件，</w:t>
            </w:r>
            <w:r>
              <w:rPr>
                <w:rFonts w:hint="eastAsia" w:ascii="宋体" w:hAnsi="宋体" w:eastAsia="宋体" w:cs="宋体"/>
                <w:sz w:val="21"/>
                <w:szCs w:val="21"/>
                <w:highlight w:val="none"/>
                <w:lang w:val="en-US" w:eastAsia="zh-CN"/>
              </w:rPr>
              <w:t>证书需具备“</w:t>
            </w:r>
            <w:r>
              <w:rPr>
                <w:rFonts w:hint="eastAsia" w:ascii="宋体" w:hAnsi="宋体" w:eastAsia="宋体" w:cs="宋体"/>
                <w:b w:val="0"/>
                <w:bCs/>
                <w:sz w:val="21"/>
                <w:szCs w:val="21"/>
              </w:rPr>
              <w:t>DRG</w:t>
            </w:r>
            <w:r>
              <w:rPr>
                <w:rFonts w:hint="eastAsia" w:ascii="宋体" w:hAnsi="宋体" w:eastAsia="宋体" w:cs="宋体"/>
                <w:sz w:val="21"/>
                <w:szCs w:val="21"/>
                <w:highlight w:val="none"/>
                <w:lang w:val="en-US" w:eastAsia="zh-CN"/>
              </w:rPr>
              <w:t>”“</w:t>
            </w:r>
            <w:r>
              <w:rPr>
                <w:rFonts w:hint="eastAsia" w:ascii="宋体" w:hAnsi="宋体" w:eastAsia="宋体" w:cs="宋体"/>
                <w:b w:val="0"/>
                <w:bCs/>
                <w:sz w:val="21"/>
                <w:szCs w:val="21"/>
              </w:rPr>
              <w:t>医院医疗质量</w:t>
            </w:r>
            <w:r>
              <w:rPr>
                <w:rFonts w:hint="eastAsia" w:ascii="宋体" w:hAnsi="宋体" w:eastAsia="宋体" w:cs="宋体"/>
                <w:sz w:val="21"/>
                <w:szCs w:val="21"/>
                <w:highlight w:val="none"/>
                <w:lang w:val="en-US" w:eastAsia="zh-CN"/>
              </w:rPr>
              <w:t>”“</w:t>
            </w:r>
            <w:r>
              <w:rPr>
                <w:rFonts w:hint="eastAsia" w:ascii="宋体" w:hAnsi="宋体" w:eastAsia="宋体" w:cs="宋体"/>
                <w:b w:val="0"/>
                <w:bCs/>
                <w:sz w:val="21"/>
                <w:szCs w:val="21"/>
                <w:lang w:val="en-US" w:eastAsia="zh-CN"/>
              </w:rPr>
              <w:t>等级医院评审</w:t>
            </w:r>
            <w:r>
              <w:rPr>
                <w:rFonts w:hint="eastAsia" w:ascii="宋体" w:hAnsi="宋体" w:eastAsia="宋体" w:cs="宋体"/>
                <w:sz w:val="21"/>
                <w:szCs w:val="21"/>
                <w:highlight w:val="none"/>
                <w:lang w:val="en-US" w:eastAsia="zh-CN"/>
              </w:rPr>
              <w:t>”关键字。</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lang w:eastAsia="zh-CN"/>
              </w:rPr>
            </w:pPr>
            <w:r>
              <w:rPr>
                <w:rFonts w:hint="eastAsia" w:ascii="宋体" w:hAnsi="宋体" w:eastAsia="宋体" w:cs="宋体"/>
                <w:sz w:val="21"/>
                <w:szCs w:val="21"/>
                <w:highlight w:val="none"/>
                <w:lang w:val="en-US" w:eastAsia="zh-CN"/>
              </w:rPr>
              <w:t>需加盖投标人公章，著作权证书每提供一项得2分，最高得6分。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lang w:val="en-US" w:eastAsia="zh-CN" w:bidi="ar"/>
              </w:rPr>
            </w:pPr>
            <w:r>
              <w:rPr>
                <w:rFonts w:hint="eastAsia" w:ascii="宋体" w:hAnsi="宋体" w:eastAsia="宋体" w:cs="宋体"/>
                <w:b w:val="0"/>
                <w:bCs/>
                <w:sz w:val="21"/>
                <w:szCs w:val="21"/>
                <w:lang w:val="en-US" w:eastAsia="zh-CN" w:bidi="ar"/>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kern w:val="2"/>
                <w:sz w:val="21"/>
                <w:szCs w:val="21"/>
                <w:vertAlign w:val="baseline"/>
                <w:lang w:val="en-US" w:eastAsia="zh-CN" w:bidi="ar-SA"/>
              </w:rPr>
            </w:pPr>
            <w:r>
              <w:rPr>
                <w:rFonts w:hint="eastAsia" w:ascii="宋体" w:hAnsi="宋体" w:eastAsia="宋体" w:cs="宋体"/>
                <w:b w:val="0"/>
                <w:bCs/>
                <w:kern w:val="2"/>
                <w:sz w:val="21"/>
                <w:szCs w:val="21"/>
                <w:vertAlign w:val="baseline"/>
                <w:lang w:val="en-US" w:eastAsia="zh-CN" w:bidi="ar-SA"/>
              </w:rPr>
              <w:t>6</w:t>
            </w:r>
          </w:p>
        </w:tc>
        <w:tc>
          <w:tcPr>
            <w:tcW w:w="1134"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kern w:val="2"/>
                <w:sz w:val="21"/>
                <w:szCs w:val="21"/>
                <w:lang w:val="en-US" w:eastAsia="zh-CN" w:bidi="ar"/>
              </w:rPr>
            </w:pPr>
            <w:r>
              <w:rPr>
                <w:rFonts w:hint="eastAsia" w:ascii="宋体" w:hAnsi="宋体" w:eastAsia="宋体" w:cs="宋体"/>
                <w:b w:val="0"/>
                <w:bCs/>
                <w:sz w:val="21"/>
                <w:szCs w:val="21"/>
              </w:rPr>
              <w:t>软件成熟度</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投标人需提供已</w:t>
            </w:r>
            <w:r>
              <w:rPr>
                <w:rFonts w:hint="eastAsia" w:ascii="宋体" w:hAnsi="宋体" w:eastAsia="宋体" w:cs="宋体"/>
                <w:sz w:val="21"/>
                <w:szCs w:val="21"/>
                <w:highlight w:val="none"/>
                <w:lang w:val="en-US" w:eastAsia="zh-CN"/>
              </w:rPr>
              <w:t>具有</w:t>
            </w:r>
            <w:r>
              <w:rPr>
                <w:rFonts w:hint="eastAsia" w:ascii="宋体" w:hAnsi="宋体" w:eastAsia="宋体" w:cs="宋体"/>
                <w:sz w:val="21"/>
                <w:szCs w:val="21"/>
                <w:highlight w:val="none"/>
                <w:lang w:eastAsia="zh-CN"/>
              </w:rPr>
              <w:t>的</w:t>
            </w:r>
            <w:r>
              <w:rPr>
                <w:rFonts w:hint="eastAsia" w:ascii="宋体" w:hAnsi="宋体" w:eastAsia="宋体" w:cs="宋体"/>
                <w:sz w:val="21"/>
                <w:szCs w:val="21"/>
                <w:highlight w:val="none"/>
                <w:lang w:val="en-US" w:eastAsia="zh-CN"/>
              </w:rPr>
              <w:t>本项目相关系统</w:t>
            </w:r>
            <w:r>
              <w:rPr>
                <w:rFonts w:hint="eastAsia" w:ascii="宋体" w:hAnsi="宋体" w:eastAsia="宋体" w:cs="宋体"/>
                <w:sz w:val="21"/>
                <w:szCs w:val="21"/>
                <w:highlight w:val="none"/>
                <w:lang w:eastAsia="zh-CN"/>
              </w:rPr>
              <w:t>检测报告复印件并加盖公章。</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1）</w:t>
            </w:r>
            <w:r>
              <w:rPr>
                <w:rFonts w:hint="eastAsia" w:ascii="宋体" w:hAnsi="宋体" w:eastAsia="宋体" w:cs="宋体"/>
                <w:sz w:val="21"/>
                <w:szCs w:val="21"/>
                <w:highlight w:val="none"/>
                <w:lang w:eastAsia="zh-CN"/>
              </w:rPr>
              <w:t>第三方测评机构出具的</w:t>
            </w:r>
            <w:r>
              <w:rPr>
                <w:rFonts w:hint="eastAsia" w:ascii="宋体" w:hAnsi="宋体" w:eastAsia="宋体" w:cs="宋体"/>
                <w:b w:val="0"/>
                <w:bCs/>
                <w:sz w:val="21"/>
                <w:szCs w:val="21"/>
              </w:rPr>
              <w:t>DRG分组器</w:t>
            </w:r>
            <w:r>
              <w:rPr>
                <w:rFonts w:hint="eastAsia" w:ascii="宋体" w:hAnsi="宋体" w:eastAsia="宋体" w:cs="宋体"/>
                <w:sz w:val="21"/>
                <w:szCs w:val="21"/>
                <w:highlight w:val="none"/>
                <w:lang w:eastAsia="zh-CN"/>
              </w:rPr>
              <w:t>产品测试报告；</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2</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第三方测评机构出具的</w:t>
            </w:r>
            <w:r>
              <w:rPr>
                <w:rFonts w:hint="eastAsia" w:ascii="宋体" w:hAnsi="宋体" w:eastAsia="宋体" w:cs="宋体"/>
                <w:b w:val="0"/>
                <w:bCs/>
                <w:sz w:val="21"/>
                <w:szCs w:val="21"/>
              </w:rPr>
              <w:t>医院医疗质量分析</w:t>
            </w:r>
            <w:r>
              <w:rPr>
                <w:rFonts w:hint="eastAsia" w:ascii="宋体" w:hAnsi="宋体" w:eastAsia="宋体" w:cs="宋体"/>
                <w:sz w:val="21"/>
                <w:szCs w:val="21"/>
                <w:highlight w:val="none"/>
                <w:lang w:eastAsia="zh-CN"/>
              </w:rPr>
              <w:t>产品测试报告。</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lang w:eastAsia="zh-CN"/>
              </w:rPr>
              <w:t>第三方测评机构出具的</w:t>
            </w:r>
            <w:r>
              <w:rPr>
                <w:rFonts w:hint="eastAsia" w:ascii="宋体" w:hAnsi="宋体" w:eastAsia="宋体" w:cs="宋体"/>
                <w:b w:val="0"/>
                <w:bCs/>
                <w:sz w:val="21"/>
                <w:szCs w:val="21"/>
              </w:rPr>
              <w:t>医院</w:t>
            </w:r>
            <w:r>
              <w:rPr>
                <w:rFonts w:hint="eastAsia" w:ascii="宋体" w:hAnsi="宋体" w:eastAsia="宋体" w:cs="宋体"/>
                <w:b w:val="0"/>
                <w:bCs/>
                <w:sz w:val="21"/>
                <w:szCs w:val="21"/>
                <w:lang w:val="en-US" w:eastAsia="zh-CN"/>
              </w:rPr>
              <w:t>等级医院评审</w:t>
            </w:r>
            <w:r>
              <w:rPr>
                <w:rFonts w:hint="eastAsia" w:ascii="宋体" w:hAnsi="宋体" w:eastAsia="宋体" w:cs="宋体"/>
                <w:sz w:val="21"/>
                <w:szCs w:val="21"/>
                <w:highlight w:val="none"/>
                <w:lang w:eastAsia="zh-CN"/>
              </w:rPr>
              <w:t>产品测试报告。</w:t>
            </w:r>
          </w:p>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sz w:val="21"/>
                <w:szCs w:val="21"/>
                <w:highlight w:val="none"/>
                <w:lang w:val="en-US" w:eastAsia="zh-CN"/>
              </w:rPr>
              <w:t>需加盖投标人公章，软件产品测试报告每提供一项得2分，最高得6分。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kern w:val="2"/>
                <w:sz w:val="21"/>
                <w:szCs w:val="21"/>
                <w:lang w:val="en-US" w:eastAsia="zh-CN" w:bidi="ar"/>
              </w:rPr>
            </w:pPr>
            <w:r>
              <w:rPr>
                <w:rFonts w:hint="eastAsia" w:ascii="宋体" w:hAnsi="宋体" w:eastAsia="宋体" w:cs="宋体"/>
                <w:b w:val="0"/>
                <w:bCs/>
                <w:sz w:val="21"/>
                <w:szCs w:val="21"/>
                <w:lang w:val="en-US" w:eastAsia="zh-CN" w:bidi="ar"/>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20" w:type="dxa"/>
            <w:gridSpan w:val="4"/>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lang w:val="en-US" w:eastAsia="zh-CN" w:bidi="ar"/>
              </w:rPr>
            </w:pPr>
            <w:r>
              <w:rPr>
                <w:rFonts w:hint="eastAsia" w:ascii="宋体" w:hAnsi="宋体" w:eastAsia="宋体" w:cs="宋体"/>
                <w:b/>
                <w:bCs w:val="0"/>
                <w:sz w:val="21"/>
                <w:szCs w:val="21"/>
                <w:lang w:val="en-US" w:eastAsia="zh-CN"/>
              </w:rPr>
              <w:t>履约能力</w:t>
            </w:r>
            <w:r>
              <w:rPr>
                <w:rFonts w:hint="eastAsia" w:ascii="宋体" w:hAnsi="宋体" w:eastAsia="宋体" w:cs="宋体"/>
                <w:b/>
                <w:bCs w:val="0"/>
                <w:sz w:val="21"/>
                <w:szCs w:val="21"/>
              </w:rPr>
              <w:t>（</w:t>
            </w:r>
            <w:r>
              <w:rPr>
                <w:rFonts w:hint="eastAsia" w:ascii="宋体" w:hAnsi="宋体" w:eastAsia="宋体" w:cs="宋体"/>
                <w:b/>
                <w:bCs w:val="0"/>
                <w:sz w:val="21"/>
                <w:szCs w:val="21"/>
                <w:lang w:val="en-US" w:eastAsia="zh-CN"/>
              </w:rPr>
              <w:t>23</w:t>
            </w:r>
            <w:r>
              <w:rPr>
                <w:rFonts w:hint="eastAsia" w:ascii="宋体" w:hAnsi="宋体" w:eastAsia="宋体" w:cs="宋体"/>
                <w:b/>
                <w:bCs w:val="0"/>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1</w:t>
            </w:r>
          </w:p>
        </w:tc>
        <w:tc>
          <w:tcPr>
            <w:tcW w:w="1134"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rPr>
              <w:t>业绩案例</w:t>
            </w:r>
          </w:p>
        </w:tc>
        <w:tc>
          <w:tcPr>
            <w:tcW w:w="711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具有</w:t>
            </w:r>
            <w:r>
              <w:rPr>
                <w:rFonts w:hint="eastAsia" w:ascii="宋体" w:hAnsi="宋体" w:eastAsia="宋体" w:cs="宋体"/>
                <w:b w:val="0"/>
                <w:bCs/>
                <w:color w:val="000000"/>
                <w:kern w:val="0"/>
                <w:sz w:val="21"/>
                <w:szCs w:val="21"/>
              </w:rPr>
              <w:t>20</w:t>
            </w:r>
            <w:r>
              <w:rPr>
                <w:rFonts w:hint="eastAsia" w:ascii="宋体" w:hAnsi="宋体" w:eastAsia="宋体" w:cs="宋体"/>
                <w:b w:val="0"/>
                <w:bCs/>
                <w:color w:val="000000"/>
                <w:kern w:val="0"/>
                <w:sz w:val="21"/>
                <w:szCs w:val="21"/>
                <w:lang w:val="en-US" w:eastAsia="zh-CN"/>
              </w:rPr>
              <w:t>22</w:t>
            </w:r>
            <w:r>
              <w:rPr>
                <w:rFonts w:hint="eastAsia" w:ascii="宋体" w:hAnsi="宋体" w:eastAsia="宋体" w:cs="宋体"/>
                <w:b w:val="0"/>
                <w:bCs/>
                <w:color w:val="000000"/>
                <w:kern w:val="0"/>
                <w:sz w:val="21"/>
                <w:szCs w:val="21"/>
              </w:rPr>
              <w:t xml:space="preserve"> 年以来 (以合同签订日期为准)完成的</w:t>
            </w:r>
            <w:r>
              <w:rPr>
                <w:rFonts w:hint="eastAsia" w:ascii="宋体" w:hAnsi="宋体" w:eastAsia="宋体" w:cs="宋体"/>
                <w:b w:val="0"/>
                <w:bCs/>
                <w:sz w:val="21"/>
                <w:szCs w:val="21"/>
              </w:rPr>
              <w:t>类似业绩，每提供1个业绩得1分，最高得</w:t>
            </w:r>
            <w:r>
              <w:rPr>
                <w:rFonts w:hint="eastAsia" w:ascii="宋体" w:hAnsi="宋体" w:eastAsia="宋体" w:cs="宋体"/>
                <w:b w:val="0"/>
                <w:bCs/>
                <w:sz w:val="21"/>
                <w:szCs w:val="21"/>
                <w:lang w:val="en-US" w:eastAsia="zh-CN"/>
              </w:rPr>
              <w:t>4</w:t>
            </w:r>
            <w:r>
              <w:rPr>
                <w:rFonts w:hint="eastAsia" w:ascii="宋体" w:hAnsi="宋体" w:eastAsia="宋体" w:cs="宋体"/>
                <w:b w:val="0"/>
                <w:bCs/>
                <w:sz w:val="21"/>
                <w:szCs w:val="21"/>
              </w:rPr>
              <w:t>分。</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bCs w:val="0"/>
                <w:sz w:val="21"/>
                <w:szCs w:val="21"/>
              </w:rPr>
              <w:t>注：</w:t>
            </w:r>
            <w:r>
              <w:rPr>
                <w:rFonts w:hint="eastAsia" w:ascii="宋体" w:hAnsi="宋体" w:eastAsia="宋体" w:cs="宋体"/>
                <w:b/>
                <w:bCs w:val="0"/>
                <w:sz w:val="21"/>
                <w:szCs w:val="21"/>
                <w:lang w:val="en-US" w:eastAsia="zh-CN"/>
              </w:rPr>
              <w:t>提供</w:t>
            </w:r>
            <w:r>
              <w:rPr>
                <w:rFonts w:hint="eastAsia" w:ascii="宋体" w:hAnsi="宋体" w:eastAsia="宋体" w:cs="宋体"/>
                <w:b/>
                <w:bCs w:val="0"/>
                <w:sz w:val="21"/>
                <w:szCs w:val="21"/>
              </w:rPr>
              <w:t>投标人或所投产品厂家</w:t>
            </w:r>
            <w:r>
              <w:rPr>
                <w:rFonts w:hint="eastAsia" w:ascii="宋体" w:hAnsi="宋体" w:eastAsia="宋体" w:cs="宋体"/>
                <w:b/>
                <w:bCs w:val="0"/>
                <w:sz w:val="21"/>
                <w:szCs w:val="21"/>
                <w:lang w:val="en-US" w:eastAsia="zh-CN"/>
              </w:rPr>
              <w:t>的业绩</w:t>
            </w:r>
            <w:r>
              <w:rPr>
                <w:rFonts w:hint="eastAsia" w:ascii="宋体" w:hAnsi="宋体" w:eastAsia="宋体" w:cs="宋体"/>
                <w:b/>
                <w:bCs w:val="0"/>
                <w:sz w:val="21"/>
                <w:szCs w:val="21"/>
              </w:rPr>
              <w:t>均</w:t>
            </w:r>
            <w:r>
              <w:rPr>
                <w:rFonts w:hint="eastAsia" w:ascii="宋体" w:hAnsi="宋体" w:eastAsia="宋体" w:cs="宋体"/>
                <w:b/>
                <w:bCs w:val="0"/>
                <w:sz w:val="21"/>
                <w:szCs w:val="21"/>
                <w:lang w:val="en-US" w:eastAsia="zh-CN"/>
              </w:rPr>
              <w:t>可</w:t>
            </w:r>
            <w:r>
              <w:rPr>
                <w:rFonts w:hint="eastAsia" w:ascii="宋体" w:hAnsi="宋体" w:eastAsia="宋体" w:cs="宋体"/>
                <w:b/>
                <w:bCs w:val="0"/>
                <w:sz w:val="21"/>
                <w:szCs w:val="21"/>
              </w:rPr>
              <w:t>，投标文件中需提供业绩合同复印件及验收报告作为评审依据，未提供不得分。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lang w:val="en-US" w:eastAsia="zh-CN"/>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w:t>
            </w:r>
          </w:p>
        </w:tc>
        <w:tc>
          <w:tcPr>
            <w:tcW w:w="1134"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rPr>
              <w:t>标准体系认证</w:t>
            </w:r>
          </w:p>
        </w:tc>
        <w:tc>
          <w:tcPr>
            <w:tcW w:w="7116" w:type="dxa"/>
            <w:noWrap w:val="0"/>
            <w:vAlign w:val="center"/>
          </w:tcPr>
          <w:p>
            <w:pPr>
              <w:keepNext w:val="0"/>
              <w:keepLines w:val="0"/>
              <w:pageBreakBefore w:val="0"/>
              <w:widowControl w:val="0"/>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szCs w:val="21"/>
              </w:rPr>
            </w:pPr>
            <w:r>
              <w:rPr>
                <w:rFonts w:hint="eastAsia" w:ascii="宋体" w:hAnsi="宋体" w:eastAsia="宋体" w:cs="宋体"/>
                <w:b w:val="0"/>
                <w:bCs/>
                <w:sz w:val="21"/>
                <w:szCs w:val="21"/>
              </w:rPr>
              <w:t>具有ISO9001质量管理体系认证证书、ISO27001信息安全管理体系认证证书、ISO20000信息技术服务管理体系认证证书</w:t>
            </w:r>
            <w:r>
              <w:rPr>
                <w:rFonts w:hint="eastAsia" w:ascii="宋体" w:hAnsi="宋体" w:eastAsia="宋体" w:cs="宋体"/>
                <w:b w:val="0"/>
                <w:bCs/>
                <w:sz w:val="21"/>
                <w:szCs w:val="21"/>
                <w:lang w:eastAsia="zh-CN"/>
              </w:rPr>
              <w:t>，</w:t>
            </w:r>
            <w:r>
              <w:rPr>
                <w:rFonts w:hint="eastAsia" w:ascii="宋体" w:hAnsi="宋体" w:eastAsia="宋体" w:cs="宋体"/>
                <w:sz w:val="21"/>
                <w:szCs w:val="21"/>
              </w:rPr>
              <w:t>每提供一个证书得1分，最高得3分。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bCs/>
                <w:kern w:val="0"/>
                <w:sz w:val="21"/>
                <w:szCs w:val="21"/>
                <w:lang w:val="en-US" w:eastAsia="zh-CN" w:bidi="ar-SA"/>
              </w:rPr>
              <w:t>注：投标人或所投产品厂家符合均可，需提供证书复印件及“全国认证认可信息公共服务平台”（http://cx.cnca.cn）对证书的信息查询截图作为评审依据，未提供不得分。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3</w:t>
            </w:r>
          </w:p>
        </w:tc>
        <w:tc>
          <w:tcPr>
            <w:tcW w:w="1134" w:type="dxa"/>
            <w:noWrap w:val="0"/>
            <w:vAlign w:val="center"/>
          </w:tcPr>
          <w:p>
            <w:pPr>
              <w:keepNext w:val="0"/>
              <w:keepLines w:val="0"/>
              <w:pageBreakBefore w:val="0"/>
              <w:kinsoku/>
              <w:wordWrap/>
              <w:overflowPunct/>
              <w:topLinePunct w:val="0"/>
              <w:autoSpaceDE/>
              <w:autoSpaceDN/>
              <w:bidi w:val="0"/>
              <w:adjustRightInd w:val="0"/>
              <w:snapToGrid/>
              <w:spacing w:line="240" w:lineRule="exact"/>
              <w:ind w:firstLine="0" w:firstLineChars="0"/>
              <w:jc w:val="center"/>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szCs w:val="22"/>
              </w:rPr>
              <w:t>信息技术服务能力认证</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Cs w:val="21"/>
              </w:rPr>
            </w:pPr>
            <w:r>
              <w:rPr>
                <w:rFonts w:hint="eastAsia" w:ascii="宋体" w:hAnsi="宋体" w:eastAsia="宋体" w:cs="宋体"/>
                <w:sz w:val="21"/>
                <w:szCs w:val="21"/>
              </w:rPr>
              <w:t>具有ITSS信息技术服务运行维护标准符合性证书得2分，其他不得分。</w:t>
            </w:r>
          </w:p>
          <w:p>
            <w:pPr>
              <w:keepNext w:val="0"/>
              <w:keepLines w:val="0"/>
              <w:pageBreakBefore w:val="0"/>
              <w:widowControl w:val="0"/>
              <w:kinsoku/>
              <w:wordWrap/>
              <w:overflowPunct/>
              <w:topLinePunct w:val="0"/>
              <w:autoSpaceDE/>
              <w:autoSpaceDN/>
              <w:bidi w:val="0"/>
              <w:snapToGrid/>
              <w:spacing w:line="240" w:lineRule="exact"/>
              <w:ind w:left="0" w:leftChars="0" w:firstLine="0" w:firstLineChars="0"/>
              <w:jc w:val="both"/>
              <w:textAlignment w:val="auto"/>
              <w:rPr>
                <w:rFonts w:hint="eastAsia" w:ascii="宋体" w:hAnsi="宋体" w:eastAsia="宋体" w:cs="宋体"/>
                <w:b/>
                <w:bCs/>
                <w:kern w:val="2"/>
                <w:sz w:val="21"/>
                <w:szCs w:val="21"/>
                <w:lang w:val="en-US" w:eastAsia="zh-CN" w:bidi="ar-SA"/>
              </w:rPr>
            </w:pPr>
            <w:r>
              <w:rPr>
                <w:rFonts w:hint="eastAsia" w:ascii="宋体" w:hAnsi="宋体" w:eastAsia="宋体" w:cs="宋体"/>
                <w:b/>
                <w:bCs/>
                <w:kern w:val="0"/>
                <w:sz w:val="21"/>
                <w:szCs w:val="21"/>
                <w:lang w:val="en-US" w:eastAsia="zh-CN" w:bidi="ar-SA"/>
              </w:rPr>
              <w:t>注：投标人或所投产品厂家符合均可，需提供证书复印件作为评审依据，未提供不得分。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4</w:t>
            </w:r>
          </w:p>
        </w:tc>
        <w:tc>
          <w:tcPr>
            <w:tcW w:w="1134"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rPr>
            </w:pPr>
            <w:r>
              <w:rPr>
                <w:rFonts w:hint="eastAsia" w:ascii="宋体" w:hAnsi="宋体" w:eastAsia="宋体" w:cs="宋体"/>
                <w:b w:val="0"/>
                <w:bCs/>
                <w:sz w:val="21"/>
                <w:szCs w:val="21"/>
                <w:lang w:val="en-US" w:eastAsia="zh-CN"/>
              </w:rPr>
              <w:t>分析</w:t>
            </w:r>
            <w:r>
              <w:rPr>
                <w:rFonts w:hint="eastAsia" w:ascii="宋体" w:hAnsi="宋体" w:eastAsia="宋体" w:cs="宋体"/>
                <w:b w:val="0"/>
                <w:bCs/>
                <w:sz w:val="21"/>
                <w:szCs w:val="21"/>
              </w:rPr>
              <w:t>服务能力</w:t>
            </w:r>
          </w:p>
        </w:tc>
        <w:tc>
          <w:tcPr>
            <w:tcW w:w="7116"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val="0"/>
                <w:bCs/>
                <w:sz w:val="21"/>
                <w:szCs w:val="21"/>
              </w:rPr>
              <w:t>具备医疗大数据分析能力，能提供决策分析。以</w:t>
            </w:r>
            <w:r>
              <w:rPr>
                <w:rFonts w:hint="eastAsia" w:ascii="宋体" w:hAnsi="宋体" w:eastAsia="宋体" w:cs="宋体"/>
                <w:b w:val="0"/>
                <w:bCs/>
                <w:sz w:val="21"/>
                <w:szCs w:val="21"/>
                <w:lang w:val="en-US" w:eastAsia="zh-CN"/>
              </w:rPr>
              <w:t>医疗</w:t>
            </w:r>
            <w:r>
              <w:rPr>
                <w:rFonts w:hint="eastAsia" w:ascii="宋体" w:hAnsi="宋体" w:eastAsia="宋体" w:cs="宋体"/>
                <w:b w:val="0"/>
                <w:bCs/>
                <w:sz w:val="21"/>
                <w:szCs w:val="21"/>
              </w:rPr>
              <w:t>数据分析或评审评价协议为准。</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vertAlign w:val="baseline"/>
              </w:rPr>
            </w:pPr>
            <w:r>
              <w:rPr>
                <w:rFonts w:hint="eastAsia" w:ascii="宋体" w:hAnsi="宋体" w:eastAsia="宋体" w:cs="宋体"/>
                <w:b/>
                <w:bCs w:val="0"/>
                <w:sz w:val="21"/>
                <w:szCs w:val="21"/>
                <w:lang w:val="en-US" w:eastAsia="zh-CN"/>
              </w:rPr>
              <w:t>注：</w:t>
            </w:r>
            <w:r>
              <w:rPr>
                <w:rFonts w:hint="eastAsia" w:ascii="宋体" w:hAnsi="宋体" w:eastAsia="宋体" w:cs="宋体"/>
                <w:b/>
                <w:bCs w:val="0"/>
                <w:sz w:val="21"/>
                <w:szCs w:val="21"/>
              </w:rPr>
              <w:t>响应文件中提供协议合同</w:t>
            </w:r>
            <w:r>
              <w:rPr>
                <w:rFonts w:hint="eastAsia" w:ascii="宋体" w:hAnsi="宋体" w:eastAsia="宋体" w:cs="宋体"/>
                <w:b/>
                <w:bCs w:val="0"/>
                <w:sz w:val="21"/>
                <w:szCs w:val="21"/>
                <w:lang w:val="en-US" w:eastAsia="zh-CN"/>
              </w:rPr>
              <w:t>复印件</w:t>
            </w:r>
            <w:r>
              <w:rPr>
                <w:rFonts w:hint="eastAsia" w:ascii="宋体" w:hAnsi="宋体" w:eastAsia="宋体" w:cs="宋体"/>
                <w:b/>
                <w:bCs w:val="0"/>
                <w:sz w:val="21"/>
                <w:szCs w:val="21"/>
              </w:rPr>
              <w:t>。</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5</w:t>
            </w:r>
          </w:p>
        </w:tc>
        <w:tc>
          <w:tcPr>
            <w:tcW w:w="1134" w:type="dxa"/>
            <w:noWrap w:val="0"/>
            <w:vAlign w:val="center"/>
          </w:tcPr>
          <w:p>
            <w:pPr>
              <w:keepNext w:val="0"/>
              <w:keepLines w:val="0"/>
              <w:pageBreakBefore w:val="0"/>
              <w:widowControl w:val="0"/>
              <w:kinsoku/>
              <w:wordWrap/>
              <w:overflowPunct/>
              <w:topLinePunct w:val="0"/>
              <w:autoSpaceDE/>
              <w:autoSpaceDN/>
              <w:bidi w:val="0"/>
              <w:snapToGrid/>
              <w:spacing w:line="240" w:lineRule="exact"/>
              <w:ind w:left="0" w:leftChars="0" w:firstLine="0" w:firstLineChars="0"/>
              <w:jc w:val="center"/>
              <w:textAlignment w:val="auto"/>
              <w:rPr>
                <w:rFonts w:hint="eastAsia" w:ascii="宋体" w:hAnsi="宋体" w:eastAsia="宋体" w:cs="宋体"/>
                <w:kern w:val="2"/>
                <w:sz w:val="21"/>
                <w:szCs w:val="22"/>
                <w:lang w:val="en-US" w:eastAsia="zh-CN" w:bidi="ar-SA"/>
              </w:rPr>
            </w:pPr>
            <w:r>
              <w:rPr>
                <w:rFonts w:hint="eastAsia" w:ascii="宋体" w:hAnsi="宋体" w:eastAsia="宋体" w:cs="宋体"/>
                <w:kern w:val="0"/>
                <w:sz w:val="22"/>
                <w:szCs w:val="22"/>
                <w:lang w:val="en-US" w:eastAsia="zh-CN" w:bidi="ar-SA"/>
              </w:rPr>
              <w:t>软件服务能力成熟度</w:t>
            </w:r>
          </w:p>
        </w:tc>
        <w:tc>
          <w:tcPr>
            <w:tcW w:w="7116" w:type="dxa"/>
            <w:noWrap w:val="0"/>
            <w:vAlign w:val="center"/>
          </w:tcPr>
          <w:p>
            <w:pPr>
              <w:keepNext w:val="0"/>
              <w:keepLines w:val="0"/>
              <w:pageBreakBefore w:val="0"/>
              <w:widowControl w:val="0"/>
              <w:kinsoku/>
              <w:wordWrap/>
              <w:overflowPunct/>
              <w:topLinePunct w:val="0"/>
              <w:autoSpaceDE/>
              <w:autoSpaceDN/>
              <w:bidi w:val="0"/>
              <w:snapToGrid/>
              <w:spacing w:line="240" w:lineRule="exact"/>
              <w:ind w:left="0" w:leftChars="0" w:firstLine="0" w:firstLineChars="0"/>
              <w:jc w:val="both"/>
              <w:textAlignment w:val="auto"/>
              <w:rPr>
                <w:rFonts w:hint="eastAsia" w:ascii="宋体" w:hAnsi="宋体" w:eastAsia="宋体" w:cs="宋体"/>
                <w:color w:val="000000"/>
                <w:kern w:val="0"/>
                <w:sz w:val="21"/>
                <w:szCs w:val="21"/>
                <w:lang w:val="en-US" w:eastAsia="zh-CN" w:bidi="ar-SA"/>
              </w:rPr>
            </w:pPr>
            <w:r>
              <w:rPr>
                <w:rFonts w:hint="eastAsia" w:ascii="宋体" w:hAnsi="宋体" w:eastAsia="宋体" w:cs="宋体"/>
                <w:color w:val="000000"/>
                <w:kern w:val="0"/>
                <w:sz w:val="21"/>
                <w:szCs w:val="21"/>
                <w:lang w:val="en-US" w:eastAsia="zh-CN" w:bidi="ar-SA"/>
              </w:rPr>
              <w:t>具有有效的软件服务成熟度认证证书，五级得3分，四级得2分，三级得1分，其他不得分。</w:t>
            </w:r>
          </w:p>
          <w:p>
            <w:pPr>
              <w:keepNext w:val="0"/>
              <w:keepLines w:val="0"/>
              <w:pageBreakBefore w:val="0"/>
              <w:widowControl w:val="0"/>
              <w:kinsoku/>
              <w:wordWrap/>
              <w:overflowPunct/>
              <w:topLinePunct w:val="0"/>
              <w:autoSpaceDE/>
              <w:autoSpaceDN/>
              <w:bidi w:val="0"/>
              <w:snapToGrid/>
              <w:spacing w:line="240" w:lineRule="exact"/>
              <w:ind w:left="0" w:leftChars="0" w:firstLine="0" w:firstLineChars="0"/>
              <w:jc w:val="both"/>
              <w:textAlignment w:val="auto"/>
              <w:rPr>
                <w:rFonts w:hint="eastAsia" w:ascii="宋体" w:hAnsi="宋体" w:eastAsia="宋体" w:cs="宋体"/>
                <w:color w:val="000000"/>
                <w:kern w:val="0"/>
                <w:sz w:val="22"/>
                <w:szCs w:val="22"/>
                <w:lang w:val="en-US" w:eastAsia="zh-CN" w:bidi="ar-SA"/>
              </w:rPr>
            </w:pPr>
            <w:r>
              <w:rPr>
                <w:rFonts w:hint="eastAsia" w:ascii="宋体" w:hAnsi="宋体" w:eastAsia="宋体" w:cs="宋体"/>
                <w:b/>
                <w:bCs/>
                <w:kern w:val="0"/>
                <w:sz w:val="21"/>
                <w:szCs w:val="21"/>
                <w:lang w:val="en-US" w:eastAsia="zh-CN" w:bidi="ar-SA"/>
              </w:rPr>
              <w:t>注：投标人或所投产品厂家符合均可，需提供证书复印件作为评审依据，未提供不得分。</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6</w:t>
            </w:r>
          </w:p>
        </w:tc>
        <w:tc>
          <w:tcPr>
            <w:tcW w:w="1134" w:type="dxa"/>
            <w:noWrap w:val="0"/>
            <w:vAlign w:val="center"/>
          </w:tcPr>
          <w:p>
            <w:pPr>
              <w:keepNext w:val="0"/>
              <w:keepLines w:val="0"/>
              <w:pageBreakBefore w:val="0"/>
              <w:widowControl w:val="0"/>
              <w:tabs>
                <w:tab w:val="left" w:pos="567"/>
              </w:tabs>
              <w:kinsoku/>
              <w:wordWrap/>
              <w:overflowPunct/>
              <w:topLinePunct w:val="0"/>
              <w:autoSpaceDE/>
              <w:autoSpaceDN/>
              <w:bidi w:val="0"/>
              <w:snapToGrid/>
              <w:spacing w:line="240" w:lineRule="exact"/>
              <w:ind w:left="0" w:leftChars="0" w:firstLine="0" w:firstLineChars="0"/>
              <w:jc w:val="center"/>
              <w:textAlignment w:val="auto"/>
              <w:rPr>
                <w:rFonts w:hint="eastAsia" w:ascii="宋体" w:hAnsi="宋体" w:eastAsia="宋体" w:cs="宋体"/>
                <w:b w:val="0"/>
                <w:bCs w:val="0"/>
                <w:kern w:val="0"/>
                <w:sz w:val="22"/>
                <w:szCs w:val="22"/>
                <w:lang w:val="en-US" w:eastAsia="zh-CN" w:bidi="ar-SA"/>
              </w:rPr>
            </w:pPr>
            <w:r>
              <w:rPr>
                <w:rFonts w:hint="eastAsia" w:ascii="宋体" w:hAnsi="宋体" w:eastAsia="宋体" w:cs="宋体"/>
                <w:kern w:val="0"/>
                <w:sz w:val="22"/>
                <w:szCs w:val="22"/>
                <w:lang w:val="en-US" w:eastAsia="zh-CN" w:bidi="ar-SA"/>
              </w:rPr>
              <w:t>项目负责人</w:t>
            </w:r>
          </w:p>
        </w:tc>
        <w:tc>
          <w:tcPr>
            <w:tcW w:w="7116" w:type="dxa"/>
            <w:noWrap w:val="0"/>
            <w:vAlign w:val="center"/>
          </w:tcPr>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szCs w:val="21"/>
                <w:lang w:bidi="ar"/>
              </w:rPr>
            </w:pPr>
            <w:r>
              <w:rPr>
                <w:rFonts w:hint="eastAsia" w:ascii="宋体" w:hAnsi="宋体" w:eastAsia="宋体" w:cs="宋体"/>
                <w:sz w:val="21"/>
                <w:szCs w:val="21"/>
                <w:lang w:bidi="ar"/>
              </w:rPr>
              <w:t>拟派项目负责人具有高级信息系统项目管理师证书、</w:t>
            </w:r>
            <w:r>
              <w:rPr>
                <w:rFonts w:hint="eastAsia" w:ascii="宋体" w:hAnsi="宋体" w:eastAsia="宋体" w:cs="宋体"/>
                <w:sz w:val="21"/>
                <w:szCs w:val="21"/>
                <w:lang w:val="en-US" w:eastAsia="zh-CN" w:bidi="ar"/>
              </w:rPr>
              <w:t>信息化相关专业硕士及以上学历</w:t>
            </w:r>
            <w:r>
              <w:rPr>
                <w:rFonts w:hint="eastAsia" w:ascii="宋体" w:hAnsi="宋体" w:eastAsia="宋体" w:cs="宋体"/>
                <w:sz w:val="21"/>
                <w:szCs w:val="21"/>
                <w:lang w:bidi="ar"/>
              </w:rPr>
              <w:t>；每提供一个得2分、最高4分。</w:t>
            </w:r>
          </w:p>
          <w:p>
            <w:pPr>
              <w:keepNext w:val="0"/>
              <w:keepLines w:val="0"/>
              <w:pageBreakBefore w:val="0"/>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kern w:val="2"/>
                <w:sz w:val="21"/>
                <w:szCs w:val="21"/>
                <w:lang w:val="en-US" w:eastAsia="zh-CN" w:bidi="ar"/>
              </w:rPr>
            </w:pPr>
            <w:r>
              <w:rPr>
                <w:rFonts w:hint="eastAsia" w:ascii="宋体" w:hAnsi="宋体" w:eastAsia="宋体" w:cs="宋体"/>
                <w:b/>
                <w:bCs/>
                <w:sz w:val="21"/>
                <w:szCs w:val="21"/>
                <w:lang w:bidi="ar"/>
              </w:rPr>
              <w:t>注：</w:t>
            </w:r>
            <w:r>
              <w:rPr>
                <w:rFonts w:hint="eastAsia" w:ascii="宋体" w:hAnsi="宋体" w:eastAsia="宋体" w:cs="宋体"/>
                <w:b/>
                <w:bCs/>
                <w:szCs w:val="21"/>
                <w:lang w:bidi="ar"/>
              </w:rPr>
              <w:t>投标人近六个月（投标截止日期前）任意</w:t>
            </w:r>
            <w:r>
              <w:rPr>
                <w:rFonts w:hint="eastAsia" w:ascii="宋体" w:hAnsi="宋体" w:eastAsia="宋体" w:cs="宋体"/>
                <w:b/>
                <w:bCs/>
                <w:szCs w:val="21"/>
                <w:lang w:val="en-US" w:eastAsia="zh-CN" w:bidi="ar"/>
              </w:rPr>
              <w:t>三</w:t>
            </w:r>
            <w:r>
              <w:rPr>
                <w:rFonts w:hint="eastAsia" w:ascii="宋体" w:hAnsi="宋体" w:eastAsia="宋体" w:cs="宋体"/>
                <w:b/>
                <w:bCs/>
                <w:szCs w:val="21"/>
                <w:lang w:bidi="ar"/>
              </w:rPr>
              <w:t>个月为其缴纳社保的证明材料，提供相关证书复印件并加盖公章。</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46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both"/>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7</w:t>
            </w:r>
          </w:p>
        </w:tc>
        <w:tc>
          <w:tcPr>
            <w:tcW w:w="1134" w:type="dxa"/>
            <w:noWrap w:val="0"/>
            <w:vAlign w:val="center"/>
          </w:tcPr>
          <w:p>
            <w:pPr>
              <w:keepNext w:val="0"/>
              <w:keepLines w:val="0"/>
              <w:pageBreakBefore w:val="0"/>
              <w:widowControl w:val="0"/>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val="0"/>
                <w:kern w:val="0"/>
                <w:sz w:val="22"/>
                <w:szCs w:val="22"/>
                <w:lang w:val="en-US" w:eastAsia="zh-CN"/>
              </w:rPr>
            </w:pPr>
            <w:r>
              <w:rPr>
                <w:rFonts w:hint="eastAsia" w:ascii="宋体" w:hAnsi="宋体" w:eastAsia="宋体" w:cs="宋体"/>
                <w:b w:val="0"/>
                <w:bCs w:val="0"/>
                <w:kern w:val="0"/>
                <w:sz w:val="22"/>
                <w:szCs w:val="22"/>
                <w:lang w:val="en-US" w:eastAsia="zh-CN"/>
              </w:rPr>
              <w:t>拟投入本项目服务人员情况</w:t>
            </w:r>
          </w:p>
        </w:tc>
        <w:tc>
          <w:tcPr>
            <w:tcW w:w="7116" w:type="dxa"/>
            <w:noWrap w:val="0"/>
            <w:vAlign w:val="center"/>
          </w:tcPr>
          <w:p>
            <w:pPr>
              <w:keepNext w:val="0"/>
              <w:keepLines w:val="0"/>
              <w:pageBreakBefore w:val="0"/>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szCs w:val="21"/>
                <w:lang w:bidi="ar"/>
              </w:rPr>
            </w:pPr>
            <w:r>
              <w:rPr>
                <w:rFonts w:hint="eastAsia" w:ascii="宋体" w:hAnsi="宋体" w:eastAsia="宋体" w:cs="宋体"/>
                <w:sz w:val="21"/>
                <w:szCs w:val="21"/>
                <w:lang w:bidi="ar"/>
              </w:rPr>
              <w:t>投标人拟投入本项目的团队成员具有人社部门或工业信息化部门颁发的：</w:t>
            </w:r>
            <w:r>
              <w:rPr>
                <w:rFonts w:hint="eastAsia" w:ascii="宋体" w:hAnsi="宋体" w:eastAsia="宋体" w:cs="宋体"/>
                <w:color w:val="000000"/>
                <w:sz w:val="21"/>
                <w:szCs w:val="21"/>
              </w:rPr>
              <w:t>系统集成项目管理工程师证书</w:t>
            </w:r>
            <w:r>
              <w:rPr>
                <w:rFonts w:hint="eastAsia" w:ascii="宋体" w:hAnsi="宋体" w:eastAsia="宋体" w:cs="宋体"/>
                <w:sz w:val="21"/>
                <w:szCs w:val="21"/>
                <w:lang w:bidi="ar"/>
              </w:rPr>
              <w:t>、</w:t>
            </w:r>
            <w:r>
              <w:rPr>
                <w:rFonts w:hint="eastAsia" w:ascii="宋体" w:hAnsi="宋体" w:eastAsia="宋体" w:cs="宋体"/>
                <w:color w:val="000000"/>
                <w:sz w:val="21"/>
                <w:szCs w:val="21"/>
              </w:rPr>
              <w:t>系统分析师证书</w:t>
            </w:r>
            <w:r>
              <w:rPr>
                <w:rFonts w:hint="eastAsia" w:ascii="宋体" w:hAnsi="宋体" w:eastAsia="宋体" w:cs="宋体"/>
                <w:sz w:val="21"/>
                <w:szCs w:val="21"/>
                <w:lang w:bidi="ar"/>
              </w:rPr>
              <w:t>、</w:t>
            </w:r>
            <w:r>
              <w:rPr>
                <w:rFonts w:hint="eastAsia" w:ascii="宋体" w:hAnsi="宋体" w:eastAsia="宋体" w:cs="宋体"/>
                <w:color w:val="000000"/>
                <w:sz w:val="21"/>
                <w:szCs w:val="21"/>
              </w:rPr>
              <w:t>数据库系统工程师</w:t>
            </w:r>
            <w:r>
              <w:rPr>
                <w:rFonts w:hint="eastAsia" w:ascii="宋体" w:hAnsi="宋体" w:eastAsia="宋体" w:cs="宋体"/>
                <w:sz w:val="21"/>
                <w:szCs w:val="21"/>
                <w:lang w:bidi="ar"/>
              </w:rPr>
              <w:t>、</w:t>
            </w:r>
            <w:r>
              <w:rPr>
                <w:rFonts w:hint="eastAsia" w:ascii="宋体" w:hAnsi="宋体" w:eastAsia="宋体" w:cs="宋体"/>
                <w:color w:val="000000"/>
                <w:sz w:val="21"/>
                <w:szCs w:val="21"/>
                <w:lang w:val="en-US" w:eastAsia="zh-CN"/>
              </w:rPr>
              <w:t>数据分析</w:t>
            </w:r>
            <w:r>
              <w:rPr>
                <w:rFonts w:hint="eastAsia" w:ascii="宋体" w:hAnsi="宋体" w:eastAsia="宋体" w:cs="宋体"/>
                <w:color w:val="000000"/>
                <w:sz w:val="21"/>
                <w:szCs w:val="21"/>
              </w:rPr>
              <w:t>的</w:t>
            </w:r>
            <w:r>
              <w:rPr>
                <w:rFonts w:hint="eastAsia" w:ascii="宋体" w:hAnsi="宋体" w:eastAsia="宋体" w:cs="宋体"/>
                <w:color w:val="000000"/>
                <w:sz w:val="21"/>
                <w:szCs w:val="21"/>
                <w:lang w:val="en-US" w:eastAsia="zh-CN"/>
              </w:rPr>
              <w:t>中</w:t>
            </w:r>
            <w:r>
              <w:rPr>
                <w:rFonts w:hint="eastAsia" w:ascii="宋体" w:hAnsi="宋体" w:eastAsia="宋体" w:cs="宋体"/>
                <w:color w:val="000000"/>
                <w:sz w:val="21"/>
                <w:szCs w:val="21"/>
              </w:rPr>
              <w:t>高级工程师职称证书</w:t>
            </w:r>
            <w:r>
              <w:rPr>
                <w:rFonts w:hint="eastAsia" w:ascii="宋体" w:hAnsi="宋体" w:eastAsia="宋体" w:cs="宋体"/>
                <w:sz w:val="21"/>
                <w:szCs w:val="21"/>
                <w:lang w:bidi="ar"/>
              </w:rPr>
              <w:t>；每提供1个得1分，最高得5分.</w:t>
            </w:r>
          </w:p>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rPr>
                <w:rFonts w:hint="eastAsia" w:ascii="宋体" w:hAnsi="宋体" w:eastAsia="宋体" w:cs="宋体"/>
                <w:b w:val="0"/>
                <w:bCs/>
                <w:sz w:val="21"/>
                <w:szCs w:val="21"/>
              </w:rPr>
            </w:pPr>
            <w:r>
              <w:rPr>
                <w:rFonts w:hint="eastAsia" w:ascii="宋体" w:hAnsi="宋体" w:eastAsia="宋体" w:cs="宋体"/>
                <w:b/>
                <w:bCs/>
                <w:szCs w:val="21"/>
                <w:lang w:bidi="ar"/>
              </w:rPr>
              <w:t>注：同类证书不重复计算，同一人得多个证书不重复计算。投标人近六个月（投标截止日期前）任意</w:t>
            </w:r>
            <w:r>
              <w:rPr>
                <w:rFonts w:hint="eastAsia" w:ascii="宋体" w:hAnsi="宋体" w:eastAsia="宋体" w:cs="宋体"/>
                <w:b/>
                <w:bCs/>
                <w:szCs w:val="21"/>
                <w:lang w:val="en-US" w:eastAsia="zh-CN" w:bidi="ar"/>
              </w:rPr>
              <w:t>三</w:t>
            </w:r>
            <w:r>
              <w:rPr>
                <w:rFonts w:hint="eastAsia" w:ascii="宋体" w:hAnsi="宋体" w:eastAsia="宋体" w:cs="宋体"/>
                <w:b/>
                <w:bCs/>
                <w:szCs w:val="21"/>
                <w:lang w:bidi="ar"/>
              </w:rPr>
              <w:t>个月为其缴纳社保的证明材料，提供相关证书复印件并加盖公章。</w:t>
            </w:r>
          </w:p>
        </w:tc>
        <w:tc>
          <w:tcPr>
            <w:tcW w:w="1110" w:type="dxa"/>
            <w:noWrap w:val="0"/>
            <w:vAlign w:val="center"/>
          </w:tcPr>
          <w:p>
            <w:pPr>
              <w:keepNext w:val="0"/>
              <w:keepLines w:val="0"/>
              <w:pageBreakBefore w:val="0"/>
              <w:widowControl/>
              <w:kinsoku/>
              <w:wordWrap/>
              <w:overflowPunct/>
              <w:topLinePunct w:val="0"/>
              <w:autoSpaceDE/>
              <w:autoSpaceDN/>
              <w:bidi w:val="0"/>
              <w:snapToGrid/>
              <w:spacing w:line="240" w:lineRule="exact"/>
              <w:ind w:firstLine="0" w:firstLineChars="0"/>
              <w:jc w:val="center"/>
              <w:textAlignment w:val="auto"/>
              <w:rPr>
                <w:rFonts w:hint="eastAsia" w:ascii="宋体" w:hAnsi="宋体" w:eastAsia="宋体" w:cs="宋体"/>
                <w:b w:val="0"/>
                <w:bCs/>
                <w:sz w:val="21"/>
                <w:szCs w:val="21"/>
                <w:vertAlign w:val="baseline"/>
                <w:lang w:val="en-US" w:eastAsia="zh-CN"/>
              </w:rPr>
            </w:pPr>
            <w:r>
              <w:rPr>
                <w:rFonts w:hint="eastAsia" w:ascii="宋体" w:hAnsi="宋体" w:eastAsia="宋体" w:cs="宋体"/>
                <w:b w:val="0"/>
                <w:bCs/>
                <w:sz w:val="21"/>
                <w:szCs w:val="21"/>
                <w:vertAlign w:val="baseline"/>
                <w:lang w:val="en-US" w:eastAsia="zh-CN"/>
              </w:rPr>
              <w:t>5分</w:t>
            </w:r>
          </w:p>
        </w:tc>
      </w:tr>
      <w:bookmarkEnd w:id="411"/>
    </w:tbl>
    <w:p>
      <w:pPr>
        <w:pStyle w:val="49"/>
        <w:rPr>
          <w:rFonts w:hint="eastAsia" w:ascii="宋体" w:hAnsi="宋体" w:eastAsia="宋体" w:cs="宋体"/>
          <w:b/>
          <w:bCs/>
          <w:color w:val="auto"/>
          <w:sz w:val="22"/>
          <w:szCs w:val="22"/>
          <w:highlight w:val="none"/>
          <w:lang w:val="en-US" w:eastAsia="zh-CN"/>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jc w:val="center"/>
        <w:rPr>
          <w:rFonts w:hint="eastAsia" w:ascii="宋体" w:hAnsi="宋体" w:eastAsia="宋体" w:cs="宋体"/>
          <w:b/>
          <w:color w:val="auto"/>
          <w:kern w:val="0"/>
          <w:sz w:val="30"/>
          <w:szCs w:val="30"/>
          <w:highlight w:val="none"/>
        </w:rPr>
      </w:pPr>
    </w:p>
    <w:p>
      <w:pPr>
        <w:pStyle w:val="46"/>
        <w:numPr>
          <w:ilvl w:val="0"/>
          <w:numId w:val="16"/>
        </w:numPr>
        <w:spacing w:line="360" w:lineRule="auto"/>
        <w:rPr>
          <w:rStyle w:val="63"/>
          <w:rFonts w:hint="eastAsia" w:ascii="宋体" w:hAnsi="宋体" w:eastAsia="宋体" w:cs="宋体"/>
          <w:color w:val="auto"/>
          <w:sz w:val="32"/>
          <w:szCs w:val="32"/>
          <w:highlight w:val="none"/>
        </w:rPr>
      </w:pPr>
      <w:bookmarkStart w:id="412" w:name="_Toc68590979"/>
      <w:r>
        <w:rPr>
          <w:rStyle w:val="63"/>
          <w:rFonts w:hint="eastAsia" w:ascii="宋体" w:hAnsi="宋体" w:eastAsia="宋体" w:cs="宋体"/>
          <w:color w:val="auto"/>
          <w:sz w:val="32"/>
          <w:szCs w:val="32"/>
          <w:highlight w:val="none"/>
        </w:rPr>
        <w:t xml:space="preserve"> </w:t>
      </w:r>
      <w:bookmarkEnd w:id="15"/>
      <w:bookmarkEnd w:id="393"/>
      <w:bookmarkEnd w:id="394"/>
      <w:bookmarkEnd w:id="412"/>
      <w:bookmarkStart w:id="413" w:name="_Toc28450"/>
      <w:bookmarkStart w:id="414" w:name="_Toc70687202"/>
      <w:bookmarkStart w:id="415" w:name="_Toc499711928"/>
      <w:bookmarkStart w:id="416" w:name="_Toc230583552"/>
      <w:bookmarkStart w:id="417" w:name="_Toc499711087"/>
      <w:bookmarkStart w:id="418" w:name="_Toc230099803"/>
      <w:bookmarkStart w:id="419" w:name="_Toc249525250"/>
      <w:bookmarkStart w:id="420" w:name="_Toc184043058"/>
      <w:bookmarkStart w:id="421" w:name="_Toc503063458"/>
      <w:bookmarkStart w:id="422" w:name="_Toc249515482"/>
      <w:bookmarkStart w:id="423" w:name="_Toc53722865"/>
      <w:bookmarkStart w:id="424" w:name="_Toc500747106"/>
      <w:bookmarkStart w:id="425" w:name="_Toc230013638"/>
      <w:bookmarkStart w:id="426" w:name="_Toc177189245"/>
      <w:bookmarkStart w:id="427" w:name="_Toc249515369"/>
      <w:bookmarkStart w:id="428" w:name="_Toc176882552"/>
      <w:bookmarkStart w:id="429" w:name="_Toc177817344"/>
      <w:bookmarkStart w:id="430" w:name="_Toc496324623"/>
      <w:bookmarkStart w:id="431" w:name="_Toc232176282"/>
      <w:bookmarkStart w:id="432" w:name="_Toc232395222"/>
      <w:bookmarkStart w:id="433" w:name="_Toc500747010"/>
      <w:bookmarkStart w:id="434" w:name="_Toc500747233"/>
      <w:bookmarkStart w:id="435" w:name="_Toc256342152"/>
      <w:bookmarkStart w:id="436" w:name="_Toc415499897"/>
      <w:bookmarkStart w:id="437" w:name="_Toc492955459"/>
      <w:bookmarkStart w:id="438" w:name="_Toc177995483"/>
      <w:r>
        <w:rPr>
          <w:rStyle w:val="63"/>
          <w:rFonts w:hint="eastAsia" w:ascii="宋体" w:hAnsi="宋体" w:eastAsia="宋体" w:cs="宋体"/>
          <w:color w:val="auto"/>
          <w:sz w:val="32"/>
          <w:szCs w:val="32"/>
          <w:highlight w:val="none"/>
        </w:rPr>
        <w:t>拟签订的合同文本</w:t>
      </w:r>
    </w:p>
    <w:p>
      <w:pPr>
        <w:jc w:val="center"/>
        <w:rPr>
          <w:rFonts w:hint="eastAsia" w:ascii="宋体" w:hAnsi="宋体" w:eastAsia="宋体" w:cs="宋体"/>
          <w:b/>
          <w:sz w:val="44"/>
        </w:rPr>
      </w:pPr>
      <w:r>
        <w:rPr>
          <w:rFonts w:hint="eastAsia" w:ascii="宋体" w:hAnsi="宋体" w:eastAsia="宋体" w:cs="宋体"/>
          <w:b/>
          <w:sz w:val="44"/>
          <w:lang w:val="en-US" w:eastAsia="zh-CN"/>
        </w:rPr>
        <w:t>西北大学第一</w:t>
      </w:r>
      <w:r>
        <w:rPr>
          <w:rFonts w:hint="eastAsia" w:ascii="宋体" w:hAnsi="宋体" w:eastAsia="宋体" w:cs="宋体"/>
          <w:b/>
          <w:sz w:val="44"/>
        </w:rPr>
        <w:t>医院</w:t>
      </w:r>
    </w:p>
    <w:p>
      <w:pPr>
        <w:jc w:val="center"/>
        <w:rPr>
          <w:rFonts w:hint="eastAsia" w:ascii="宋体" w:hAnsi="宋体" w:eastAsia="宋体" w:cs="宋体"/>
          <w:b/>
          <w:sz w:val="44"/>
        </w:rPr>
      </w:pPr>
      <w:r>
        <w:rPr>
          <w:rFonts w:hint="eastAsia" w:ascii="宋体" w:hAnsi="宋体" w:eastAsia="宋体" w:cs="宋体"/>
          <w:b/>
          <w:sz w:val="44"/>
        </w:rPr>
        <w:t>信息系统建设项目合同模板</w:t>
      </w:r>
    </w:p>
    <w:p>
      <w:pPr>
        <w:rPr>
          <w:rFonts w:hint="eastAsia" w:ascii="宋体" w:hAnsi="宋体" w:eastAsia="宋体" w:cs="宋体"/>
        </w:rPr>
      </w:pPr>
      <w:r>
        <w:rPr>
          <w:rFonts w:hint="eastAsia" w:ascii="宋体" w:hAnsi="宋体" w:eastAsia="宋体" w:cs="宋体"/>
        </w:rPr>
        <w:t xml:space="preserve">    </w:t>
      </w:r>
    </w:p>
    <w:p>
      <w:pPr>
        <w:jc w:val="center"/>
        <w:rPr>
          <w:rFonts w:hint="eastAsia" w:ascii="宋体" w:hAnsi="宋体" w:eastAsia="宋体" w:cs="宋体"/>
          <w:b/>
          <w:sz w:val="24"/>
        </w:rPr>
      </w:pPr>
    </w:p>
    <w:p>
      <w:pPr>
        <w:jc w:val="left"/>
        <w:rPr>
          <w:rFonts w:hint="eastAsia" w:ascii="宋体" w:hAnsi="宋体" w:eastAsia="宋体" w:cs="宋体"/>
          <w:b/>
          <w:sz w:val="24"/>
        </w:rPr>
      </w:pPr>
    </w:p>
    <w:p>
      <w:pPr>
        <w:jc w:val="left"/>
        <w:rPr>
          <w:rFonts w:hint="eastAsia" w:ascii="宋体" w:hAnsi="宋体" w:eastAsia="宋体" w:cs="宋体"/>
          <w:sz w:val="28"/>
          <w:szCs w:val="28"/>
        </w:rPr>
      </w:pPr>
      <w:r>
        <w:rPr>
          <w:rFonts w:hint="eastAsia" w:ascii="宋体" w:hAnsi="宋体" w:eastAsia="宋体" w:cs="宋体"/>
          <w:b/>
          <w:sz w:val="28"/>
          <w:szCs w:val="28"/>
        </w:rPr>
        <w:t>甲方</w:t>
      </w:r>
      <w:r>
        <w:rPr>
          <w:rFonts w:hint="eastAsia" w:ascii="宋体" w:hAnsi="宋体" w:eastAsia="宋体" w:cs="宋体"/>
          <w:sz w:val="28"/>
          <w:szCs w:val="28"/>
        </w:rPr>
        <w:t>：</w:t>
      </w:r>
      <w:r>
        <w:rPr>
          <w:rFonts w:hint="eastAsia" w:ascii="宋体" w:hAnsi="宋体" w:eastAsia="宋体" w:cs="宋体"/>
          <w:b/>
          <w:sz w:val="28"/>
          <w:szCs w:val="28"/>
          <w:lang w:val="en-US" w:eastAsia="zh-CN"/>
        </w:rPr>
        <w:t>西北大学第一</w:t>
      </w:r>
      <w:r>
        <w:rPr>
          <w:rFonts w:hint="eastAsia" w:ascii="宋体" w:hAnsi="宋体" w:eastAsia="宋体" w:cs="宋体"/>
          <w:b/>
          <w:sz w:val="28"/>
          <w:szCs w:val="28"/>
        </w:rPr>
        <w:t>医院</w:t>
      </w:r>
      <w:r>
        <w:rPr>
          <w:rFonts w:hint="eastAsia" w:ascii="宋体" w:hAnsi="宋体" w:eastAsia="宋体" w:cs="宋体"/>
          <w:sz w:val="28"/>
          <w:szCs w:val="28"/>
        </w:rPr>
        <w:t xml:space="preserve"> </w:t>
      </w:r>
    </w:p>
    <w:p>
      <w:pPr>
        <w:jc w:val="left"/>
        <w:rPr>
          <w:rFonts w:hint="eastAsia" w:ascii="宋体" w:hAnsi="宋体" w:eastAsia="宋体" w:cs="宋体"/>
          <w:sz w:val="28"/>
          <w:szCs w:val="28"/>
        </w:rPr>
      </w:pPr>
    </w:p>
    <w:p>
      <w:pPr>
        <w:jc w:val="left"/>
        <w:rPr>
          <w:rFonts w:hint="eastAsia" w:ascii="宋体" w:hAnsi="宋体" w:eastAsia="宋体" w:cs="宋体"/>
          <w:sz w:val="28"/>
          <w:szCs w:val="28"/>
        </w:rPr>
      </w:pPr>
      <w:r>
        <w:rPr>
          <w:rFonts w:hint="eastAsia" w:ascii="宋体" w:hAnsi="宋体" w:eastAsia="宋体" w:cs="宋体"/>
          <w:b/>
          <w:sz w:val="28"/>
          <w:szCs w:val="28"/>
        </w:rPr>
        <w:t>乙方</w:t>
      </w:r>
      <w:r>
        <w:rPr>
          <w:rFonts w:hint="eastAsia" w:ascii="宋体" w:hAnsi="宋体" w:eastAsia="宋体" w:cs="宋体"/>
          <w:sz w:val="28"/>
          <w:szCs w:val="28"/>
        </w:rPr>
        <w:t>：</w:t>
      </w:r>
    </w:p>
    <w:p>
      <w:pPr>
        <w:jc w:val="left"/>
        <w:rPr>
          <w:rFonts w:hint="eastAsia" w:ascii="宋体" w:hAnsi="宋体" w:eastAsia="宋体" w:cs="宋体"/>
          <w:sz w:val="24"/>
        </w:rPr>
      </w:pPr>
    </w:p>
    <w:p>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为实现公立医院高质量发展提供持续动力，充分发挥公立医院在保障和改善民生中的重要作用。甲方基于业务、管理等信息化建设需求，本着真诚合作的原则，根据《中华人民共和国民法典》及有关法律、法规和条例，经双方友好协商一致，由乙方承建甲方信息化建设项目，并签订本合同。</w:t>
      </w:r>
    </w:p>
    <w:p>
      <w:pPr>
        <w:spacing w:line="360" w:lineRule="auto"/>
        <w:jc w:val="left"/>
        <w:rPr>
          <w:rFonts w:hint="eastAsia" w:ascii="宋体" w:hAnsi="宋体" w:eastAsia="宋体" w:cs="宋体"/>
          <w:sz w:val="24"/>
        </w:rPr>
      </w:pPr>
      <w:r>
        <w:rPr>
          <w:rFonts w:hint="eastAsia" w:ascii="宋体" w:hAnsi="宋体" w:eastAsia="宋体" w:cs="宋体"/>
          <w:b/>
          <w:sz w:val="24"/>
        </w:rPr>
        <w:t xml:space="preserve">第一条：合同标的   </w:t>
      </w:r>
      <w:r>
        <w:rPr>
          <w:rFonts w:hint="eastAsia" w:ascii="宋体" w:hAnsi="宋体" w:eastAsia="宋体" w:cs="宋体"/>
          <w:sz w:val="24"/>
        </w:rPr>
        <w:t>乙方根据甲方需求完成信息化建设项目。</w:t>
      </w:r>
    </w:p>
    <w:tbl>
      <w:tblPr>
        <w:tblStyle w:val="50"/>
        <w:tblW w:w="9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6"/>
        <w:gridCol w:w="3409"/>
        <w:gridCol w:w="988"/>
        <w:gridCol w:w="988"/>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2406" w:type="dxa"/>
          </w:tcPr>
          <w:p>
            <w:pPr>
              <w:jc w:val="center"/>
              <w:rPr>
                <w:rFonts w:hint="eastAsia" w:ascii="宋体" w:hAnsi="宋体" w:eastAsia="宋体" w:cs="宋体"/>
                <w:sz w:val="24"/>
              </w:rPr>
            </w:pPr>
            <w:r>
              <w:rPr>
                <w:rFonts w:hint="eastAsia" w:ascii="宋体" w:hAnsi="宋体" w:eastAsia="宋体" w:cs="宋体"/>
                <w:sz w:val="24"/>
              </w:rPr>
              <w:t>名称</w:t>
            </w:r>
          </w:p>
        </w:tc>
        <w:tc>
          <w:tcPr>
            <w:tcW w:w="3409" w:type="dxa"/>
          </w:tcPr>
          <w:p>
            <w:pPr>
              <w:jc w:val="center"/>
              <w:rPr>
                <w:rFonts w:hint="eastAsia" w:ascii="宋体" w:hAnsi="宋体" w:eastAsia="宋体" w:cs="宋体"/>
                <w:sz w:val="24"/>
              </w:rPr>
            </w:pPr>
            <w:r>
              <w:rPr>
                <w:rFonts w:hint="eastAsia" w:ascii="宋体" w:hAnsi="宋体" w:eastAsia="宋体" w:cs="宋体"/>
                <w:sz w:val="24"/>
              </w:rPr>
              <w:t>参数</w:t>
            </w:r>
          </w:p>
        </w:tc>
        <w:tc>
          <w:tcPr>
            <w:tcW w:w="988" w:type="dxa"/>
          </w:tcPr>
          <w:p>
            <w:pPr>
              <w:jc w:val="center"/>
              <w:rPr>
                <w:rFonts w:hint="eastAsia" w:ascii="宋体" w:hAnsi="宋体" w:eastAsia="宋体" w:cs="宋体"/>
                <w:sz w:val="24"/>
              </w:rPr>
            </w:pPr>
            <w:r>
              <w:rPr>
                <w:rFonts w:hint="eastAsia" w:ascii="宋体" w:hAnsi="宋体" w:eastAsia="宋体" w:cs="宋体"/>
                <w:sz w:val="24"/>
              </w:rPr>
              <w:t>单价</w:t>
            </w:r>
          </w:p>
        </w:tc>
        <w:tc>
          <w:tcPr>
            <w:tcW w:w="988" w:type="dxa"/>
          </w:tcPr>
          <w:p>
            <w:pPr>
              <w:jc w:val="center"/>
              <w:rPr>
                <w:rFonts w:hint="eastAsia" w:ascii="宋体" w:hAnsi="宋体" w:eastAsia="宋体" w:cs="宋体"/>
                <w:sz w:val="24"/>
              </w:rPr>
            </w:pPr>
            <w:r>
              <w:rPr>
                <w:rFonts w:hint="eastAsia" w:ascii="宋体" w:hAnsi="宋体" w:eastAsia="宋体" w:cs="宋体"/>
                <w:sz w:val="24"/>
              </w:rPr>
              <w:t>数量</w:t>
            </w:r>
          </w:p>
        </w:tc>
        <w:tc>
          <w:tcPr>
            <w:tcW w:w="1526" w:type="dxa"/>
          </w:tcPr>
          <w:p>
            <w:pPr>
              <w:jc w:val="center"/>
              <w:rPr>
                <w:rFonts w:hint="eastAsia" w:ascii="宋体" w:hAnsi="宋体" w:eastAsia="宋体" w:cs="宋体"/>
                <w:sz w:val="24"/>
              </w:rPr>
            </w:pPr>
            <w:r>
              <w:rPr>
                <w:rFonts w:hint="eastAsia" w:ascii="宋体" w:hAnsi="宋体" w:eastAsia="宋体" w:cs="宋体"/>
                <w:sz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6" w:hRule="atLeast"/>
        </w:trPr>
        <w:tc>
          <w:tcPr>
            <w:tcW w:w="2406" w:type="dxa"/>
            <w:vAlign w:val="center"/>
          </w:tcPr>
          <w:p>
            <w:pPr>
              <w:jc w:val="center"/>
              <w:rPr>
                <w:rFonts w:hint="eastAsia" w:ascii="宋体" w:hAnsi="宋体" w:eastAsia="宋体" w:cs="宋体"/>
              </w:rPr>
            </w:pPr>
          </w:p>
        </w:tc>
        <w:tc>
          <w:tcPr>
            <w:tcW w:w="3409" w:type="dxa"/>
            <w:vAlign w:val="center"/>
          </w:tcPr>
          <w:p>
            <w:pPr>
              <w:jc w:val="center"/>
              <w:rPr>
                <w:rFonts w:hint="eastAsia" w:ascii="宋体" w:hAnsi="宋体" w:eastAsia="宋体" w:cs="宋体"/>
                <w:color w:val="000000"/>
                <w:sz w:val="22"/>
                <w:lang w:val="en-US" w:eastAsia="zh-CN"/>
              </w:rPr>
            </w:pPr>
          </w:p>
        </w:tc>
        <w:tc>
          <w:tcPr>
            <w:tcW w:w="988" w:type="dxa"/>
            <w:vAlign w:val="center"/>
          </w:tcPr>
          <w:p>
            <w:pPr>
              <w:jc w:val="center"/>
              <w:rPr>
                <w:rFonts w:hint="eastAsia" w:ascii="宋体" w:hAnsi="宋体" w:eastAsia="宋体" w:cs="宋体"/>
                <w:color w:val="000000"/>
                <w:sz w:val="22"/>
                <w:lang w:val="en-US" w:eastAsia="zh-CN"/>
              </w:rPr>
            </w:pPr>
          </w:p>
        </w:tc>
        <w:tc>
          <w:tcPr>
            <w:tcW w:w="988" w:type="dxa"/>
            <w:vAlign w:val="center"/>
          </w:tcPr>
          <w:p>
            <w:pPr>
              <w:jc w:val="center"/>
              <w:rPr>
                <w:rFonts w:hint="eastAsia" w:ascii="宋体" w:hAnsi="宋体" w:eastAsia="宋体" w:cs="宋体"/>
                <w:color w:val="000000"/>
                <w:sz w:val="22"/>
                <w:lang w:val="en-US" w:eastAsia="zh-CN"/>
              </w:rPr>
            </w:pPr>
          </w:p>
        </w:tc>
        <w:tc>
          <w:tcPr>
            <w:tcW w:w="1526" w:type="dxa"/>
            <w:vAlign w:val="center"/>
          </w:tcPr>
          <w:p>
            <w:pPr>
              <w:jc w:val="center"/>
              <w:rPr>
                <w:rFonts w:hint="eastAsia" w:ascii="宋体" w:hAnsi="宋体" w:eastAsia="宋体" w:cs="宋体"/>
                <w:color w:val="000000"/>
                <w:sz w:val="22"/>
                <w:lang w:val="en-US" w:eastAsia="zh-CN"/>
              </w:rPr>
            </w:pPr>
          </w:p>
        </w:tc>
      </w:tr>
    </w:tbl>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本合同采购价款为人民币</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元</w:t>
      </w:r>
      <w:r>
        <w:rPr>
          <w:rFonts w:hint="eastAsia" w:ascii="宋体" w:hAnsi="宋体" w:eastAsia="宋体" w:cs="宋体"/>
          <w:sz w:val="24"/>
        </w:rPr>
        <w:t>（大写：</w:t>
      </w:r>
      <w:r>
        <w:rPr>
          <w:rFonts w:hint="eastAsia" w:ascii="宋体" w:hAnsi="宋体" w:eastAsia="宋体" w:cs="宋体"/>
          <w:sz w:val="24"/>
          <w:u w:val="none"/>
          <w:lang w:val="en-US" w:eastAsia="zh-CN"/>
        </w:rPr>
        <w:t xml:space="preserve">    </w:t>
      </w:r>
      <w:r>
        <w:rPr>
          <w:rFonts w:hint="eastAsia" w:ascii="宋体" w:hAnsi="宋体" w:eastAsia="宋体" w:cs="宋体"/>
          <w:sz w:val="24"/>
        </w:rPr>
        <w:t>整）。</w:t>
      </w:r>
    </w:p>
    <w:p>
      <w:pPr>
        <w:spacing w:line="360" w:lineRule="auto"/>
        <w:ind w:firstLine="480" w:firstLineChars="200"/>
        <w:rPr>
          <w:rFonts w:hint="eastAsia" w:ascii="宋体" w:hAnsi="宋体" w:eastAsia="宋体" w:cs="宋体"/>
          <w:bCs/>
          <w:sz w:val="24"/>
        </w:rPr>
      </w:pPr>
      <w:r>
        <w:rPr>
          <w:rFonts w:hint="eastAsia" w:ascii="宋体" w:hAnsi="宋体" w:eastAsia="宋体" w:cs="宋体"/>
          <w:bCs/>
          <w:sz w:val="24"/>
        </w:rPr>
        <w:t>合同总价款包括系统安装调试费、技术服务费、培训费、验收费等乙方为履行本合同所支出的一切费用。合同总价一次性包死，不受市场价格变化等因素的影响。</w:t>
      </w:r>
    </w:p>
    <w:p>
      <w:pPr>
        <w:spacing w:line="360" w:lineRule="auto"/>
        <w:jc w:val="left"/>
        <w:rPr>
          <w:rFonts w:hint="eastAsia" w:ascii="宋体" w:hAnsi="宋体" w:eastAsia="宋体" w:cs="宋体"/>
          <w:b/>
          <w:sz w:val="24"/>
        </w:rPr>
      </w:pPr>
      <w:r>
        <w:rPr>
          <w:rFonts w:hint="eastAsia" w:ascii="宋体" w:hAnsi="宋体" w:eastAsia="宋体" w:cs="宋体"/>
          <w:b/>
          <w:sz w:val="24"/>
        </w:rPr>
        <w:t>第二条  权利保证</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乙方应保证甲方该信息系统项目建设、运行不受第三方提出侵犯其专利权、版权、商标权或其他权利的起诉。一旦出现侵权，乙方应承担全部责任。给甲方造成损失的，甲方有权向乙方进行追偿。</w:t>
      </w:r>
    </w:p>
    <w:p>
      <w:pPr>
        <w:spacing w:line="360" w:lineRule="auto"/>
        <w:jc w:val="left"/>
        <w:rPr>
          <w:rFonts w:hint="eastAsia" w:ascii="宋体" w:hAnsi="宋体" w:eastAsia="宋体" w:cs="宋体"/>
          <w:b/>
          <w:sz w:val="24"/>
        </w:rPr>
      </w:pPr>
      <w:r>
        <w:rPr>
          <w:rFonts w:hint="eastAsia" w:ascii="宋体" w:hAnsi="宋体" w:eastAsia="宋体" w:cs="宋体"/>
          <w:b/>
          <w:sz w:val="24"/>
        </w:rPr>
        <w:t>第三条  交付及验收</w:t>
      </w:r>
    </w:p>
    <w:p>
      <w:pPr>
        <w:tabs>
          <w:tab w:val="left" w:pos="180"/>
        </w:tabs>
        <w:spacing w:line="360" w:lineRule="auto"/>
        <w:ind w:firstLine="480" w:firstLineChars="200"/>
        <w:rPr>
          <w:rFonts w:hint="eastAsia" w:ascii="宋体" w:hAnsi="宋体" w:eastAsia="宋体" w:cs="宋体"/>
          <w:sz w:val="24"/>
          <w:shd w:val="clear" w:color="FFFFFF" w:fill="D9D9D9"/>
        </w:rPr>
      </w:pPr>
      <w:r>
        <w:rPr>
          <w:rFonts w:hint="eastAsia" w:ascii="宋体" w:hAnsi="宋体" w:eastAsia="宋体" w:cs="宋体"/>
          <w:sz w:val="24"/>
        </w:rPr>
        <w:t xml:space="preserve">1.项目工期：合同签订之日起【 </w:t>
      </w:r>
      <w:r>
        <w:rPr>
          <w:rFonts w:hint="eastAsia" w:ascii="宋体" w:hAnsi="宋体" w:eastAsia="宋体" w:cs="宋体"/>
          <w:sz w:val="24"/>
          <w:lang w:val="en-US" w:eastAsia="zh-CN"/>
        </w:rPr>
        <w:t xml:space="preserve">   </w:t>
      </w:r>
      <w:r>
        <w:rPr>
          <w:rFonts w:hint="eastAsia" w:ascii="宋体" w:hAnsi="宋体" w:eastAsia="宋体" w:cs="宋体"/>
          <w:sz w:val="24"/>
        </w:rPr>
        <w:t>】日历日，乙方应在该期限内完成项目建设并交付。</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2.验收时间：项目建设完成并交付正常运行满【  】日历日后，由乙方提交验收申请后，双方约定时间、地点，甲方人员会同乙方人员共同验收。</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3.验收地点：甲方指定所在地。</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4.验收标准：按信息化建设项目具体参数要求。</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spacing w:val="-6"/>
          <w:sz w:val="24"/>
        </w:rPr>
        <w:t>验收方法：甲乙双方共同检查项目具体功能是否完备，并符合甲方建设目标，经甲方验收合格后填写验收单</w:t>
      </w:r>
      <w:r>
        <w:rPr>
          <w:rFonts w:hint="eastAsia" w:ascii="宋体" w:hAnsi="宋体" w:eastAsia="宋体" w:cs="宋体"/>
          <w:sz w:val="24"/>
        </w:rPr>
        <w:t>。</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6.乙方向甲方提交产品和服务实施过程中的所有资料，包括：</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（1）使用手册、维护手册（中文）；</w:t>
      </w:r>
    </w:p>
    <w:p>
      <w:pPr>
        <w:spacing w:line="360" w:lineRule="auto"/>
        <w:ind w:firstLine="480" w:firstLineChars="200"/>
        <w:jc w:val="left"/>
        <w:rPr>
          <w:rFonts w:hint="eastAsia" w:ascii="宋体" w:hAnsi="宋体" w:eastAsia="宋体" w:cs="宋体"/>
        </w:rPr>
      </w:pPr>
      <w:r>
        <w:rPr>
          <w:rFonts w:hint="eastAsia" w:ascii="宋体" w:hAnsi="宋体" w:eastAsia="宋体" w:cs="宋体"/>
          <w:sz w:val="24"/>
        </w:rPr>
        <w:t>（2）其他资料：【</w:t>
      </w:r>
      <w:r>
        <w:rPr>
          <w:rFonts w:hint="eastAsia" w:ascii="宋体" w:hAnsi="宋体" w:eastAsia="宋体" w:cs="宋体"/>
          <w:sz w:val="24"/>
          <w:lang w:val="en-US" w:eastAsia="zh-CN"/>
        </w:rPr>
        <w:t xml:space="preserve">    </w:t>
      </w:r>
      <w:r>
        <w:rPr>
          <w:rFonts w:hint="eastAsia" w:ascii="宋体" w:hAnsi="宋体" w:eastAsia="宋体" w:cs="宋体"/>
          <w:sz w:val="24"/>
        </w:rPr>
        <w:t>】；</w:t>
      </w:r>
    </w:p>
    <w:p>
      <w:pPr>
        <w:spacing w:line="360" w:lineRule="auto"/>
        <w:jc w:val="left"/>
        <w:rPr>
          <w:rFonts w:hint="eastAsia" w:ascii="宋体" w:hAnsi="宋体" w:eastAsia="宋体" w:cs="宋体"/>
          <w:b/>
          <w:sz w:val="24"/>
        </w:rPr>
      </w:pPr>
      <w:r>
        <w:rPr>
          <w:rFonts w:hint="eastAsia" w:ascii="宋体" w:hAnsi="宋体" w:eastAsia="宋体" w:cs="宋体"/>
          <w:b/>
          <w:sz w:val="24"/>
        </w:rPr>
        <w:t>第四条  费用及支付</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1．支付方式：银行转账，乙方保证其提供的账号准确无误，若在合同履行期间发生变更，乙方需及时书面通知甲方，否则由此产生的后果由乙方承担，甲方向乙方提供的账号转账视为完成付款义务。</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 xml:space="preserve">2．结算方式：乙方应于验收合格后【 </w:t>
      </w:r>
      <w:r>
        <w:rPr>
          <w:rFonts w:hint="eastAsia" w:ascii="宋体" w:hAnsi="宋体" w:eastAsia="宋体" w:cs="宋体"/>
          <w:sz w:val="24"/>
          <w:lang w:val="en-US" w:eastAsia="zh-CN"/>
        </w:rPr>
        <w:t xml:space="preserve"> </w:t>
      </w:r>
      <w:r>
        <w:rPr>
          <w:rFonts w:hint="eastAsia" w:ascii="宋体" w:hAnsi="宋体" w:eastAsia="宋体" w:cs="宋体"/>
          <w:sz w:val="24"/>
        </w:rPr>
        <w:t xml:space="preserve"> 】日内提供合同价总额相等的合规发票，甲方按照第【 </w:t>
      </w:r>
      <w:r>
        <w:rPr>
          <w:rFonts w:hint="eastAsia" w:ascii="宋体" w:hAnsi="宋体" w:eastAsia="宋体" w:cs="宋体"/>
          <w:sz w:val="24"/>
          <w:lang w:val="en-US" w:eastAsia="zh-CN"/>
        </w:rPr>
        <w:t xml:space="preserve"> </w:t>
      </w:r>
      <w:r>
        <w:rPr>
          <w:rFonts w:hint="eastAsia" w:ascii="宋体" w:hAnsi="宋体" w:eastAsia="宋体" w:cs="宋体"/>
          <w:sz w:val="24"/>
        </w:rPr>
        <w:t xml:space="preserve"> 】种方式支付合同价款，乙方延期提供发票或提供的发票不符合甲方要求的，甲方有权拒付合同款项且不承担任何法律责任。因乙方原因导致甲方不能及时付款的，甲方无需承担任何责任。</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（1）一次性支付：甲方应在收到发票后【   】个工作日内支付合同价款；</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（2）按比例支付：甲方应安装完成验收合格后一个月内支付合同款的【  】%，即</w:t>
      </w:r>
      <w:r>
        <w:rPr>
          <w:rFonts w:hint="eastAsia" w:ascii="宋体" w:hAnsi="宋体" w:eastAsia="宋体" w:cs="宋体"/>
          <w:sz w:val="24"/>
          <w:u w:val="single"/>
        </w:rPr>
        <w:t xml:space="preserve">         </w:t>
      </w:r>
      <w:r>
        <w:rPr>
          <w:rFonts w:hint="eastAsia" w:ascii="宋体" w:hAnsi="宋体" w:eastAsia="宋体" w:cs="宋体"/>
          <w:sz w:val="24"/>
        </w:rPr>
        <w:t>元（大写：        元整），乙方应并开具合同价款全款的发票；自验收合格一年后一个月内无息支付合同款的【  】%，即</w:t>
      </w:r>
      <w:r>
        <w:rPr>
          <w:rFonts w:hint="eastAsia" w:ascii="宋体" w:hAnsi="宋体" w:eastAsia="宋体" w:cs="宋体"/>
          <w:sz w:val="24"/>
          <w:u w:val="single"/>
        </w:rPr>
        <w:t xml:space="preserve">         </w:t>
      </w:r>
      <w:r>
        <w:rPr>
          <w:rFonts w:hint="eastAsia" w:ascii="宋体" w:hAnsi="宋体" w:eastAsia="宋体" w:cs="宋体"/>
          <w:sz w:val="24"/>
        </w:rPr>
        <w:t>元（大写：     元整），乙方应并开具此次支付价款等额收据；维保期满考核合格后一个月内无息支付合同价款的【   】%，即</w:t>
      </w:r>
      <w:r>
        <w:rPr>
          <w:rFonts w:hint="eastAsia" w:ascii="宋体" w:hAnsi="宋体" w:eastAsia="宋体" w:cs="宋体"/>
          <w:sz w:val="24"/>
          <w:u w:val="single"/>
        </w:rPr>
        <w:t xml:space="preserve">      </w:t>
      </w:r>
      <w:r>
        <w:rPr>
          <w:rFonts w:hint="eastAsia" w:ascii="宋体" w:hAnsi="宋体" w:eastAsia="宋体" w:cs="宋体"/>
          <w:sz w:val="24"/>
        </w:rPr>
        <w:t>元（大写：     元整），乙方应并开具此次支付价款等额收据。</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（3）其他方式：【</w:t>
      </w:r>
      <w:r>
        <w:rPr>
          <w:rFonts w:hint="eastAsia" w:ascii="宋体" w:hAnsi="宋体" w:eastAsia="宋体" w:cs="宋体"/>
          <w:sz w:val="24"/>
          <w:lang w:val="en-US" w:eastAsia="zh-CN"/>
        </w:rPr>
        <w:t xml:space="preserve">             </w:t>
      </w:r>
      <w:r>
        <w:rPr>
          <w:rFonts w:hint="eastAsia" w:ascii="宋体" w:hAnsi="宋体" w:eastAsia="宋体" w:cs="宋体"/>
          <w:sz w:val="24"/>
        </w:rPr>
        <w:t>】</w:t>
      </w:r>
    </w:p>
    <w:p>
      <w:pPr>
        <w:spacing w:line="360" w:lineRule="auto"/>
        <w:rPr>
          <w:rFonts w:hint="eastAsia" w:ascii="宋体" w:hAnsi="宋体" w:eastAsia="宋体" w:cs="宋体"/>
          <w:b/>
          <w:sz w:val="24"/>
        </w:rPr>
      </w:pPr>
      <w:r>
        <w:rPr>
          <w:rFonts w:hint="eastAsia" w:ascii="宋体" w:hAnsi="宋体" w:eastAsia="宋体" w:cs="宋体"/>
          <w:b/>
          <w:sz w:val="24"/>
        </w:rPr>
        <w:t>第五条  甲方的权利和义务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1．甲方提供信息化项目建设必须的安装条件其中包括运算环境、网络交换环境等。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2．甲方待乙方为其建设完成并验收，即成为乙方的合法用户，享受乙方的常规售后服务。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3．甲方应建立信息系统运行维护制度，以确保系统运行的安全。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4．甲方在系统操作使用过程中发现异常情况，应及时与乙方取得联系，并记录当前系统运行状况，以便乙方及时判断并解决。</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5．甲方应以口头形式、电子信息和书面形式（信息科签字、盖章）向乙方反馈软件系统使用过程中遇到的问题及其他技术服务需求。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6．甲方应按照合同时限要求完成费用支付，不得无故拖延、停止费用支付义务，如确因乙方未达到合同要求导致费用延期、暂停支付的，需以书面方式告知乙方。</w:t>
      </w:r>
    </w:p>
    <w:p>
      <w:pPr>
        <w:tabs>
          <w:tab w:val="left" w:pos="0"/>
        </w:tabs>
        <w:spacing w:line="360" w:lineRule="auto"/>
        <w:rPr>
          <w:rFonts w:hint="eastAsia" w:ascii="宋体" w:hAnsi="宋体" w:eastAsia="宋体" w:cs="宋体"/>
          <w:b/>
          <w:sz w:val="24"/>
        </w:rPr>
      </w:pPr>
      <w:r>
        <w:rPr>
          <w:rFonts w:hint="eastAsia" w:ascii="宋体" w:hAnsi="宋体" w:eastAsia="宋体" w:cs="宋体"/>
          <w:b/>
          <w:sz w:val="24"/>
        </w:rPr>
        <w:t>第六条  乙方的权利和义务</w:t>
      </w:r>
    </w:p>
    <w:p>
      <w:pPr>
        <w:spacing w:line="360" w:lineRule="auto"/>
        <w:ind w:firstLine="480"/>
        <w:rPr>
          <w:rFonts w:hint="eastAsia" w:ascii="宋体" w:hAnsi="宋体" w:eastAsia="宋体" w:cs="宋体"/>
          <w:sz w:val="24"/>
        </w:rPr>
      </w:pPr>
      <w:r>
        <w:rPr>
          <w:rFonts w:hint="eastAsia" w:ascii="宋体" w:hAnsi="宋体" w:eastAsia="宋体" w:cs="宋体"/>
          <w:sz w:val="24"/>
        </w:rPr>
        <w:t>1.乙方将按本合同约定向甲方提供软件系统及服务，乙方所提供产品应遵循国家标准、行业标准。</w:t>
      </w:r>
    </w:p>
    <w:p>
      <w:pPr>
        <w:spacing w:line="360" w:lineRule="auto"/>
        <w:ind w:firstLine="482"/>
        <w:rPr>
          <w:rFonts w:hint="eastAsia" w:ascii="宋体" w:hAnsi="宋体" w:eastAsia="宋体" w:cs="宋体"/>
        </w:rPr>
      </w:pPr>
      <w:r>
        <w:rPr>
          <w:rFonts w:hint="eastAsia" w:ascii="宋体" w:hAnsi="宋体" w:eastAsia="宋体" w:cs="宋体"/>
          <w:sz w:val="24"/>
        </w:rPr>
        <w:t>2．乙方应提供信息化项目设计实施方案，提供完整的系统实施方案和软件实施管理办法，含本地化修改、测试、试运行、培训及上线计划等。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3.对本合同所含信息化项目按双方约定时间和条件提供安装调试及售后服务。结合甲方实际情况，拟定有序、安全稳妥的实施方案，以及数据对接集成等详细实施步骤。</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4.乙方提供充足的技术实施人员以确保项目在工期要求内顺利完成。乙方须针对甲方项目提供项目组人员、项目负责人简历、项目主要技术人员相关分工，项目组人员未经甲方书面同意，不能随意更换。</w:t>
      </w:r>
    </w:p>
    <w:p>
      <w:pPr>
        <w:spacing w:line="360" w:lineRule="auto"/>
        <w:ind w:firstLine="480" w:firstLineChars="200"/>
        <w:rPr>
          <w:rFonts w:hint="eastAsia" w:ascii="宋体" w:hAnsi="宋体" w:eastAsia="宋体" w:cs="宋体"/>
        </w:rPr>
      </w:pPr>
      <w:r>
        <w:rPr>
          <w:rFonts w:hint="eastAsia" w:ascii="宋体" w:hAnsi="宋体" w:eastAsia="宋体" w:cs="宋体"/>
          <w:color w:val="000000"/>
          <w:sz w:val="24"/>
        </w:rPr>
        <w:t>5.乙方应向甲方</w:t>
      </w:r>
      <w:r>
        <w:rPr>
          <w:rFonts w:hint="eastAsia" w:ascii="宋体" w:hAnsi="宋体" w:eastAsia="宋体" w:cs="宋体"/>
          <w:sz w:val="24"/>
        </w:rPr>
        <w:t>免费提供信息化项目使用培训，</w:t>
      </w:r>
      <w:r>
        <w:rPr>
          <w:rFonts w:hint="eastAsia" w:ascii="宋体" w:hAnsi="宋体" w:eastAsia="宋体" w:cs="宋体"/>
          <w:color w:val="000000"/>
          <w:sz w:val="24"/>
        </w:rPr>
        <w:t>使甲方工作人员能正常操作使用相关系统，并对甲方的系统管理员进行不限次数的免费培训，使其熟练掌握相关产品的日常基本维护。</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6.乙方在履行本合同过程中，应按照甲方数据管理相关规范要求，不得擅自对甲方的数据进行增减和修改等操作，不得未经甲方书面授权，拷贝甲方的数据供分析、查询、演示等作用。</w:t>
      </w:r>
    </w:p>
    <w:p>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rPr>
        <w:t>7.当乙方知晓系统发生重大安全事故时，应积极配合甲方采取应急保全措施，协助防范事故的扩大。</w:t>
      </w:r>
    </w:p>
    <w:p>
      <w:pPr>
        <w:spacing w:line="360" w:lineRule="auto"/>
        <w:jc w:val="left"/>
        <w:rPr>
          <w:rFonts w:hint="eastAsia" w:ascii="宋体" w:hAnsi="宋体" w:eastAsia="宋体" w:cs="宋体"/>
          <w:b/>
          <w:bCs/>
          <w:sz w:val="24"/>
        </w:rPr>
      </w:pPr>
      <w:r>
        <w:rPr>
          <w:rFonts w:hint="eastAsia" w:ascii="宋体" w:hAnsi="宋体" w:eastAsia="宋体" w:cs="宋体"/>
          <w:b/>
          <w:bCs/>
          <w:sz w:val="24"/>
        </w:rPr>
        <w:t>第七条 售后服务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1.免费维保期：自项目验收合格之日起</w:t>
      </w:r>
      <w:r>
        <w:rPr>
          <w:rFonts w:hint="eastAsia" w:ascii="宋体" w:hAnsi="宋体" w:eastAsia="宋体" w:cs="宋体"/>
          <w:b/>
          <w:bCs/>
          <w:sz w:val="24"/>
        </w:rPr>
        <w:t xml:space="preserve">【 </w:t>
      </w:r>
      <w:r>
        <w:rPr>
          <w:rFonts w:hint="eastAsia" w:ascii="宋体" w:hAnsi="宋体" w:eastAsia="宋体" w:cs="宋体"/>
          <w:b/>
          <w:bCs/>
          <w:sz w:val="24"/>
          <w:lang w:val="en-US" w:eastAsia="zh-CN"/>
        </w:rPr>
        <w:t xml:space="preserve"> </w:t>
      </w:r>
      <w:r>
        <w:rPr>
          <w:rFonts w:hint="eastAsia" w:ascii="宋体" w:hAnsi="宋体" w:eastAsia="宋体" w:cs="宋体"/>
          <w:b/>
          <w:bCs/>
          <w:sz w:val="24"/>
        </w:rPr>
        <w:t xml:space="preserve"> 】</w:t>
      </w:r>
      <w:r>
        <w:rPr>
          <w:rFonts w:hint="eastAsia" w:ascii="宋体" w:hAnsi="宋体" w:eastAsia="宋体" w:cs="宋体"/>
          <w:sz w:val="24"/>
        </w:rPr>
        <w:t>年。</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2.乙方售后服务联系人及电话：【</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3.售后服务方式：在免费维保期内，乙方应组建项目售后服务小组，提供以下售后服务：（在所选项目前打“√”）</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rPr>
        <w:t xml:space="preserve">巡检服务：乙方应按期提供巡检服务，巡检周期：【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】，巡检内容包括服务状态、硬盘空间检查、科室业务问题收集处理、安全检查等；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w:t>
      </w:r>
      <w:r>
        <w:rPr>
          <w:rFonts w:hint="eastAsia" w:ascii="宋体" w:hAnsi="宋体" w:eastAsia="宋体" w:cs="宋体"/>
          <w:sz w:val="24"/>
        </w:rPr>
        <w:t xml:space="preserve">维护服务：乙方在接到甲方的口头或书面（信息科签字、盖章）服务要求后，了解甲方需要解决的问题，通过【电话远程、远程协助、现场维护】等方式响应维护需求；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□驻场服务：乙方应按照甲方要求提供【   】名驻场工程师进行产品和服务维护工作。乙方应提交驻场工程师简历供甲方审核，经甲方书面同意后，驻场工程师才可承担维护工作；维保期内，如驻场工程师不足以承担售后服务工作，甲方有权要求乙方更换驻场工程师；未经甲方书面同意，乙方不得擅自调离、更换、停止驻场工程师工作。</w:t>
      </w:r>
    </w:p>
    <w:p>
      <w:pPr>
        <w:spacing w:line="360" w:lineRule="auto"/>
        <w:ind w:firstLine="480" w:firstLineChars="200"/>
        <w:rPr>
          <w:rFonts w:hint="eastAsia" w:ascii="宋体" w:hAnsi="宋体" w:eastAsia="宋体" w:cs="宋体"/>
        </w:rPr>
      </w:pPr>
      <w:r>
        <w:rPr>
          <w:rFonts w:hint="eastAsia" w:ascii="宋体" w:hAnsi="宋体" w:eastAsia="宋体" w:cs="宋体"/>
          <w:sz w:val="24"/>
        </w:rPr>
        <w:t xml:space="preserve">□其他服务：【          </w:t>
      </w:r>
      <w:r>
        <w:rPr>
          <w:rFonts w:hint="eastAsia" w:ascii="宋体" w:hAnsi="宋体" w:eastAsia="宋体" w:cs="宋体"/>
          <w:sz w:val="24"/>
          <w:lang w:val="en-US" w:eastAsia="zh-CN"/>
        </w:rPr>
        <w:t xml:space="preserve">  </w:t>
      </w:r>
      <w:r>
        <w:rPr>
          <w:rFonts w:hint="eastAsia" w:ascii="宋体" w:hAnsi="宋体" w:eastAsia="宋体" w:cs="宋体"/>
          <w:sz w:val="24"/>
        </w:rPr>
        <w:t xml:space="preserve">           】</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4.售后服务响应时间：乙方在接到甲方的服务要求后【 </w:t>
      </w:r>
      <w:r>
        <w:rPr>
          <w:rFonts w:hint="eastAsia" w:ascii="宋体" w:hAnsi="宋体" w:eastAsia="宋体" w:cs="宋体"/>
          <w:sz w:val="24"/>
          <w:lang w:val="en-US" w:eastAsia="zh-CN"/>
        </w:rPr>
        <w:t xml:space="preserve">   </w:t>
      </w:r>
      <w:r>
        <w:rPr>
          <w:rFonts w:hint="eastAsia" w:ascii="宋体" w:hAnsi="宋体" w:eastAsia="宋体" w:cs="宋体"/>
          <w:sz w:val="24"/>
        </w:rPr>
        <w:t xml:space="preserve"> 】内响应，双方按需协商后【 </w:t>
      </w:r>
      <w:r>
        <w:rPr>
          <w:rFonts w:hint="eastAsia" w:ascii="宋体" w:hAnsi="宋体" w:eastAsia="宋体" w:cs="宋体"/>
          <w:sz w:val="24"/>
          <w:lang w:val="en-US" w:eastAsia="zh-CN"/>
        </w:rPr>
        <w:t xml:space="preserve">   </w:t>
      </w:r>
      <w:r>
        <w:rPr>
          <w:rFonts w:hint="eastAsia" w:ascii="宋体" w:hAnsi="宋体" w:eastAsia="宋体" w:cs="宋体"/>
          <w:sz w:val="24"/>
        </w:rPr>
        <w:t xml:space="preserve"> 】内派出技术人员到达现场，乙方解决故障等问题、恢复系统正常运行的时间不得超过接到甲方通知时起【 </w:t>
      </w:r>
      <w:r>
        <w:rPr>
          <w:rFonts w:hint="eastAsia" w:ascii="宋体" w:hAnsi="宋体" w:eastAsia="宋体" w:cs="宋体"/>
          <w:sz w:val="24"/>
          <w:lang w:val="en-US" w:eastAsia="zh-CN"/>
        </w:rPr>
        <w:t xml:space="preserve">   </w:t>
      </w:r>
      <w:r>
        <w:rPr>
          <w:rFonts w:hint="eastAsia" w:ascii="宋体" w:hAnsi="宋体" w:eastAsia="宋体" w:cs="宋体"/>
          <w:sz w:val="24"/>
        </w:rPr>
        <w:t xml:space="preserve"> 】小时，因甲方、第三方或不可抗力因素等导致无法进行正常系统故障处理的，双方协商后可顺延售后服务时间。如乙方未按时响应或未按时到达现场、未按时解决故障等问题的，甲方有权委托第三方解决，由此产生的全部风险及费用（包括但不限于委托第三人所支付的费用）由乙方承担。</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5.免费维保期结束后，维保协议双方另行商定并签订维保合同。</w:t>
      </w:r>
    </w:p>
    <w:p>
      <w:pPr>
        <w:spacing w:line="360" w:lineRule="auto"/>
        <w:jc w:val="left"/>
        <w:rPr>
          <w:rFonts w:hint="eastAsia" w:ascii="宋体" w:hAnsi="宋体" w:eastAsia="宋体" w:cs="宋体"/>
          <w:b/>
          <w:sz w:val="24"/>
        </w:rPr>
      </w:pPr>
      <w:r>
        <w:rPr>
          <w:rFonts w:hint="eastAsia" w:ascii="宋体" w:hAnsi="宋体" w:eastAsia="宋体" w:cs="宋体"/>
          <w:b/>
          <w:sz w:val="24"/>
        </w:rPr>
        <w:t>第八条 违约责任</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1．双方应遵守本合同，严格履行各自的义务，任一方违反合同约定的任一义务，均应向合同相对方承担相应的违约责任。</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 xml:space="preserve">2．乙方不得擅自部分或全部转让其应履行的合同义务，否则甲方有权单方解除本合同（合同自书面解除通知到达乙方之日起解除），并要求乙方支付违约金【 </w:t>
      </w:r>
      <w:r>
        <w:rPr>
          <w:rFonts w:hint="eastAsia" w:ascii="宋体" w:hAnsi="宋体" w:eastAsia="宋体" w:cs="宋体"/>
          <w:sz w:val="24"/>
          <w:lang w:val="en-US" w:eastAsia="zh-CN"/>
        </w:rPr>
        <w:t xml:space="preserve">     </w:t>
      </w:r>
      <w:r>
        <w:rPr>
          <w:rFonts w:hint="eastAsia" w:ascii="宋体" w:hAnsi="宋体" w:eastAsia="宋体" w:cs="宋体"/>
          <w:sz w:val="24"/>
        </w:rPr>
        <w:t>】元，违约金不足以弥补甲方损失的，乙方应另行承担。</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 xml:space="preserve">3．乙方未按合同约定期限完成产品和服务工作的，每逾期一天，乙方向甲方支付合同总金额【 </w:t>
      </w:r>
      <w:r>
        <w:rPr>
          <w:rFonts w:hint="eastAsia" w:ascii="宋体" w:hAnsi="宋体" w:eastAsia="宋体" w:cs="宋体"/>
          <w:sz w:val="24"/>
          <w:lang w:val="en-US" w:eastAsia="zh-CN"/>
        </w:rPr>
        <w:t xml:space="preserve">    </w:t>
      </w:r>
      <w:r>
        <w:rPr>
          <w:rFonts w:hint="eastAsia" w:ascii="宋体" w:hAnsi="宋体" w:eastAsia="宋体" w:cs="宋体"/>
          <w:sz w:val="24"/>
        </w:rPr>
        <w:t xml:space="preserve"> 】%作为违约金，累计逾期超过【 </w:t>
      </w:r>
      <w:r>
        <w:rPr>
          <w:rFonts w:hint="eastAsia" w:ascii="宋体" w:hAnsi="宋体" w:eastAsia="宋体" w:cs="宋体"/>
          <w:sz w:val="24"/>
          <w:lang w:val="en-US" w:eastAsia="zh-CN"/>
        </w:rPr>
        <w:t xml:space="preserve">  </w:t>
      </w:r>
      <w:r>
        <w:rPr>
          <w:rFonts w:hint="eastAsia" w:ascii="宋体" w:hAnsi="宋体" w:eastAsia="宋体" w:cs="宋体"/>
          <w:sz w:val="24"/>
        </w:rPr>
        <w:t xml:space="preserve"> 】天的，视为乙方根本违约，甲方有权单方解除合同，合同自甲方书面解除通知送达乙方之日起解除，乙方应按合同总价的【 </w:t>
      </w:r>
      <w:r>
        <w:rPr>
          <w:rFonts w:hint="eastAsia" w:ascii="宋体" w:hAnsi="宋体" w:eastAsia="宋体" w:cs="宋体"/>
          <w:sz w:val="24"/>
          <w:lang w:val="en-US" w:eastAsia="zh-CN"/>
        </w:rPr>
        <w:t xml:space="preserve">  </w:t>
      </w:r>
      <w:r>
        <w:rPr>
          <w:rFonts w:hint="eastAsia" w:ascii="宋体" w:hAnsi="宋体" w:eastAsia="宋体" w:cs="宋体"/>
          <w:sz w:val="24"/>
        </w:rPr>
        <w:t xml:space="preserve"> 】%向甲方支付违约金，违约金不足以赔偿甲方损失的，由乙方另行承担。</w:t>
      </w:r>
    </w:p>
    <w:p>
      <w:pPr>
        <w:spacing w:line="360" w:lineRule="auto"/>
        <w:jc w:val="left"/>
        <w:rPr>
          <w:rFonts w:hint="eastAsia" w:ascii="宋体" w:hAnsi="宋体" w:eastAsia="宋体" w:cs="宋体"/>
          <w:b/>
          <w:sz w:val="24"/>
        </w:rPr>
      </w:pPr>
      <w:r>
        <w:rPr>
          <w:rFonts w:hint="eastAsia" w:ascii="宋体" w:hAnsi="宋体" w:eastAsia="宋体" w:cs="宋体"/>
          <w:b/>
          <w:sz w:val="24"/>
        </w:rPr>
        <w:t>第九条　其他</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rPr>
        <w:tab/>
      </w:r>
      <w:r>
        <w:rPr>
          <w:rFonts w:hint="eastAsia" w:ascii="宋体" w:hAnsi="宋体" w:eastAsia="宋体" w:cs="宋体"/>
          <w:sz w:val="24"/>
        </w:rPr>
        <w:t xml:space="preserve">本合同正文和附件均一式【 </w:t>
      </w:r>
      <w:r>
        <w:rPr>
          <w:rFonts w:hint="eastAsia" w:ascii="宋体" w:hAnsi="宋体" w:eastAsia="宋体" w:cs="宋体"/>
          <w:sz w:val="24"/>
          <w:lang w:val="en-US" w:eastAsia="zh-CN"/>
        </w:rPr>
        <w:t xml:space="preserve">  </w:t>
      </w:r>
      <w:r>
        <w:rPr>
          <w:rFonts w:hint="eastAsia" w:ascii="宋体" w:hAnsi="宋体" w:eastAsia="宋体" w:cs="宋体"/>
          <w:sz w:val="24"/>
        </w:rPr>
        <w:t xml:space="preserve"> 】份，具有同等法律效力，甲方执【 </w:t>
      </w:r>
      <w:r>
        <w:rPr>
          <w:rFonts w:hint="eastAsia" w:ascii="宋体" w:hAnsi="宋体" w:eastAsia="宋体" w:cs="宋体"/>
          <w:sz w:val="24"/>
          <w:lang w:val="en-US" w:eastAsia="zh-CN"/>
        </w:rPr>
        <w:t xml:space="preserve">  </w:t>
      </w:r>
      <w:r>
        <w:rPr>
          <w:rFonts w:hint="eastAsia" w:ascii="宋体" w:hAnsi="宋体" w:eastAsia="宋体" w:cs="宋体"/>
          <w:sz w:val="24"/>
        </w:rPr>
        <w:t xml:space="preserve"> 】份，乙方执【 </w:t>
      </w:r>
      <w:r>
        <w:rPr>
          <w:rFonts w:hint="eastAsia" w:ascii="宋体" w:hAnsi="宋体" w:eastAsia="宋体" w:cs="宋体"/>
          <w:sz w:val="24"/>
          <w:lang w:val="en-US" w:eastAsia="zh-CN"/>
        </w:rPr>
        <w:t xml:space="preserve">    </w:t>
      </w:r>
      <w:r>
        <w:rPr>
          <w:rFonts w:hint="eastAsia" w:ascii="宋体" w:hAnsi="宋体" w:eastAsia="宋体" w:cs="宋体"/>
          <w:sz w:val="24"/>
        </w:rPr>
        <w:t>】份，各份具有同等的法律效力。</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rPr>
        <w:tab/>
      </w:r>
      <w:r>
        <w:rPr>
          <w:rFonts w:hint="eastAsia" w:ascii="宋体" w:hAnsi="宋体" w:eastAsia="宋体" w:cs="宋体"/>
          <w:sz w:val="24"/>
        </w:rPr>
        <w:t>合同一经签订，不得擅自变更、中止或者终止合同，对确需变更、调整或者中止、终止合同的，应按规定履行相应的手续。对本合同条款（包括附件）的任何修改、变更或增减，须经双方授权代表人或法人代表亲笔签署书面文件才为有效，并成为本合同的组成部分，具有同等法律效力。</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rPr>
        <w:tab/>
      </w:r>
      <w:r>
        <w:rPr>
          <w:rFonts w:hint="eastAsia" w:ascii="宋体" w:hAnsi="宋体" w:eastAsia="宋体" w:cs="宋体"/>
          <w:sz w:val="24"/>
        </w:rPr>
        <w:t>在此未包括的事宜将由双方此后通过协商决定，因此订立书面补充协议的，补充协议与本合同具有同等法律效力。</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rPr>
        <w:tab/>
      </w:r>
      <w:r>
        <w:rPr>
          <w:rFonts w:hint="eastAsia" w:ascii="宋体" w:hAnsi="宋体" w:eastAsia="宋体" w:cs="宋体"/>
          <w:sz w:val="24"/>
        </w:rPr>
        <w:t>本合同的订立、履行和解释适用中国法律。</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sz w:val="24"/>
        </w:rPr>
        <w:tab/>
      </w:r>
      <w:r>
        <w:rPr>
          <w:rFonts w:hint="eastAsia" w:ascii="宋体" w:hAnsi="宋体" w:eastAsia="宋体" w:cs="宋体"/>
          <w:sz w:val="24"/>
        </w:rPr>
        <w:t>本合同未涉及到的部分，均按《中华人民共和国民法典》和其他中国法律法规的相关规定执行。</w:t>
      </w:r>
    </w:p>
    <w:p>
      <w:pPr>
        <w:spacing w:line="360" w:lineRule="auto"/>
        <w:jc w:val="left"/>
        <w:rPr>
          <w:rFonts w:hint="eastAsia" w:ascii="宋体" w:hAnsi="宋体" w:eastAsia="宋体" w:cs="宋体"/>
          <w:b/>
          <w:bCs/>
          <w:sz w:val="24"/>
        </w:rPr>
      </w:pPr>
      <w:r>
        <w:rPr>
          <w:rFonts w:hint="eastAsia" w:ascii="宋体" w:hAnsi="宋体" w:eastAsia="宋体" w:cs="宋体"/>
          <w:b/>
          <w:bCs/>
          <w:sz w:val="24"/>
        </w:rPr>
        <w:t>第十条 合同争议解决的方式</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本合同在履行过程中发生争议，由甲、乙双方当事人协商解决，协商不成的依法向甲方所在地人民法院起诉。</w:t>
      </w:r>
    </w:p>
    <w:p>
      <w:pPr>
        <w:spacing w:line="360" w:lineRule="auto"/>
        <w:ind w:firstLine="560"/>
        <w:jc w:val="left"/>
        <w:rPr>
          <w:rFonts w:hint="eastAsia" w:ascii="宋体" w:hAnsi="宋体" w:eastAsia="宋体" w:cs="宋体"/>
          <w:sz w:val="24"/>
        </w:rPr>
      </w:pPr>
      <w:r>
        <w:rPr>
          <w:rFonts w:hint="eastAsia" w:ascii="宋体" w:hAnsi="宋体" w:eastAsia="宋体" w:cs="宋体"/>
          <w:sz w:val="24"/>
        </w:rPr>
        <w:t>（以下无正文）</w:t>
      </w: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tbl>
      <w:tblPr>
        <w:tblStyle w:val="50"/>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694"/>
        <w:gridCol w:w="1417"/>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b/>
                <w:sz w:val="24"/>
              </w:rPr>
              <w:t>甲    方：</w:t>
            </w:r>
          </w:p>
        </w:tc>
        <w:tc>
          <w:tcPr>
            <w:tcW w:w="2694" w:type="dxa"/>
          </w:tcPr>
          <w:p>
            <w:pPr>
              <w:spacing w:line="360" w:lineRule="auto"/>
              <w:rPr>
                <w:rFonts w:hint="eastAsia" w:ascii="宋体" w:hAnsi="宋体" w:eastAsia="宋体" w:cs="宋体"/>
                <w:b/>
                <w:sz w:val="24"/>
              </w:rPr>
            </w:pPr>
            <w:r>
              <w:rPr>
                <w:rFonts w:hint="eastAsia" w:ascii="宋体" w:hAnsi="宋体" w:eastAsia="宋体" w:cs="宋体"/>
                <w:b/>
                <w:sz w:val="24"/>
                <w:lang w:val="en-US" w:eastAsia="zh-CN"/>
              </w:rPr>
              <w:t>西北大学第一医院</w:t>
            </w:r>
            <w:r>
              <w:rPr>
                <w:rFonts w:hint="eastAsia" w:ascii="宋体" w:hAnsi="宋体" w:eastAsia="宋体" w:cs="宋体"/>
                <w:b/>
                <w:sz w:val="24"/>
              </w:rPr>
              <w:t>（章）</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b/>
                <w:sz w:val="24"/>
              </w:rPr>
              <w:t>乙    方：</w:t>
            </w:r>
          </w:p>
        </w:tc>
        <w:tc>
          <w:tcPr>
            <w:tcW w:w="3544" w:type="dxa"/>
            <w:vAlign w:val="top"/>
          </w:tcPr>
          <w:p>
            <w:pPr>
              <w:spacing w:line="360" w:lineRule="auto"/>
              <w:rPr>
                <w:rFonts w:hint="eastAsia" w:ascii="宋体" w:hAnsi="宋体" w:eastAsia="宋体" w:cs="宋体"/>
                <w:b/>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单位地址</w:t>
            </w:r>
          </w:p>
        </w:tc>
        <w:tc>
          <w:tcPr>
            <w:tcW w:w="2694" w:type="dxa"/>
          </w:tcPr>
          <w:p>
            <w:pPr>
              <w:spacing w:line="360" w:lineRule="auto"/>
              <w:rPr>
                <w:rFonts w:hint="eastAsia" w:ascii="宋体" w:hAnsi="宋体" w:eastAsia="宋体" w:cs="宋体"/>
                <w:sz w:val="24"/>
              </w:rPr>
            </w:pPr>
            <w:r>
              <w:rPr>
                <w:rFonts w:hint="eastAsia" w:ascii="宋体" w:hAnsi="宋体" w:eastAsia="宋体" w:cs="宋体"/>
                <w:sz w:val="24"/>
              </w:rPr>
              <w:t>西安市咸宁东路512号</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单位地址</w:t>
            </w:r>
          </w:p>
        </w:tc>
        <w:tc>
          <w:tcPr>
            <w:tcW w:w="3544" w:type="dxa"/>
            <w:vAlign w:val="top"/>
          </w:tcPr>
          <w:p>
            <w:pPr>
              <w:spacing w:line="360" w:lineRule="auto"/>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电  话</w:t>
            </w:r>
          </w:p>
        </w:tc>
        <w:tc>
          <w:tcPr>
            <w:tcW w:w="2694" w:type="dxa"/>
          </w:tcPr>
          <w:p>
            <w:pPr>
              <w:spacing w:line="360" w:lineRule="auto"/>
              <w:rPr>
                <w:rFonts w:hint="eastAsia" w:ascii="宋体" w:hAnsi="宋体" w:eastAsia="宋体" w:cs="宋体"/>
                <w:sz w:val="24"/>
              </w:rPr>
            </w:pPr>
            <w:r>
              <w:rPr>
                <w:rFonts w:hint="eastAsia" w:ascii="宋体" w:hAnsi="宋体" w:eastAsia="宋体" w:cs="宋体"/>
                <w:sz w:val="24"/>
              </w:rPr>
              <w:t>029-89539008</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电  话</w:t>
            </w:r>
          </w:p>
        </w:tc>
        <w:tc>
          <w:tcPr>
            <w:tcW w:w="3544" w:type="dxa"/>
            <w:vAlign w:val="top"/>
          </w:tcPr>
          <w:p>
            <w:pPr>
              <w:spacing w:line="360" w:lineRule="auto"/>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银  行</w:t>
            </w:r>
          </w:p>
        </w:tc>
        <w:tc>
          <w:tcPr>
            <w:tcW w:w="2694" w:type="dxa"/>
          </w:tcPr>
          <w:p>
            <w:pPr>
              <w:spacing w:line="360" w:lineRule="auto"/>
              <w:rPr>
                <w:rFonts w:hint="eastAsia" w:ascii="宋体" w:hAnsi="宋体" w:eastAsia="宋体" w:cs="宋体"/>
                <w:sz w:val="24"/>
              </w:rPr>
            </w:pPr>
            <w:r>
              <w:rPr>
                <w:rFonts w:hint="eastAsia" w:ascii="宋体" w:hAnsi="宋体" w:eastAsia="宋体" w:cs="宋体"/>
                <w:sz w:val="24"/>
              </w:rPr>
              <w:t>工行咸宁路支行</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3544" w:type="dxa"/>
            <w:vAlign w:val="top"/>
          </w:tcPr>
          <w:p>
            <w:pPr>
              <w:spacing w:line="360" w:lineRule="auto"/>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账  号</w:t>
            </w:r>
          </w:p>
        </w:tc>
        <w:tc>
          <w:tcPr>
            <w:tcW w:w="2694" w:type="dxa"/>
          </w:tcPr>
          <w:p>
            <w:pPr>
              <w:spacing w:line="360" w:lineRule="auto"/>
              <w:rPr>
                <w:rFonts w:hint="eastAsia" w:ascii="宋体" w:hAnsi="宋体" w:eastAsia="宋体" w:cs="宋体"/>
                <w:sz w:val="24"/>
              </w:rPr>
            </w:pPr>
            <w:r>
              <w:rPr>
                <w:rFonts w:hint="eastAsia" w:ascii="宋体" w:hAnsi="宋体" w:eastAsia="宋体" w:cs="宋体"/>
                <w:sz w:val="24"/>
              </w:rPr>
              <w:t>3700025609014469002</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账  号</w:t>
            </w:r>
          </w:p>
        </w:tc>
        <w:tc>
          <w:tcPr>
            <w:tcW w:w="3544" w:type="dxa"/>
            <w:vAlign w:val="top"/>
          </w:tcPr>
          <w:p>
            <w:pPr>
              <w:spacing w:line="360" w:lineRule="auto"/>
              <w:rPr>
                <w:rFonts w:hint="eastAsia" w:ascii="宋体" w:hAnsi="宋体" w:eastAsia="宋体" w:cs="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委托代理人或法定代表人</w:t>
            </w:r>
          </w:p>
        </w:tc>
        <w:tc>
          <w:tcPr>
            <w:tcW w:w="2694" w:type="dxa"/>
          </w:tcPr>
          <w:p>
            <w:pPr>
              <w:spacing w:line="360" w:lineRule="auto"/>
              <w:rPr>
                <w:rFonts w:hint="eastAsia" w:ascii="宋体" w:hAnsi="宋体" w:eastAsia="宋体" w:cs="宋体"/>
                <w:sz w:val="24"/>
              </w:rPr>
            </w:pP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3544" w:type="dxa"/>
          </w:tcPr>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spacing w:line="360" w:lineRule="auto"/>
              <w:jc w:val="center"/>
              <w:rPr>
                <w:rFonts w:hint="eastAsia" w:ascii="宋体" w:hAnsi="宋体" w:eastAsia="宋体" w:cs="宋体"/>
                <w:sz w:val="24"/>
              </w:rPr>
            </w:pPr>
            <w:r>
              <w:rPr>
                <w:rFonts w:hint="eastAsia" w:ascii="宋体" w:hAnsi="宋体" w:eastAsia="宋体" w:cs="宋体"/>
                <w:sz w:val="24"/>
              </w:rPr>
              <w:t>签订日期</w:t>
            </w:r>
          </w:p>
        </w:tc>
        <w:tc>
          <w:tcPr>
            <w:tcW w:w="2694" w:type="dxa"/>
          </w:tcPr>
          <w:p>
            <w:pPr>
              <w:spacing w:line="360" w:lineRule="auto"/>
              <w:ind w:firstLine="960" w:firstLineChars="400"/>
              <w:rPr>
                <w:rFonts w:hint="eastAsia" w:ascii="宋体" w:hAnsi="宋体" w:eastAsia="宋体" w:cs="宋体"/>
                <w:sz w:val="24"/>
              </w:rPr>
            </w:pPr>
            <w:r>
              <w:rPr>
                <w:rFonts w:hint="eastAsia" w:ascii="宋体" w:hAnsi="宋体" w:eastAsia="宋体" w:cs="宋体"/>
                <w:sz w:val="24"/>
              </w:rPr>
              <w:t>年   月   日</w:t>
            </w:r>
          </w:p>
        </w:tc>
        <w:tc>
          <w:tcPr>
            <w:tcW w:w="1417" w:type="dxa"/>
          </w:tcPr>
          <w:p>
            <w:pPr>
              <w:spacing w:line="360" w:lineRule="auto"/>
              <w:jc w:val="center"/>
              <w:rPr>
                <w:rFonts w:hint="eastAsia" w:ascii="宋体" w:hAnsi="宋体" w:eastAsia="宋体" w:cs="宋体"/>
                <w:sz w:val="24"/>
              </w:rPr>
            </w:pPr>
            <w:r>
              <w:rPr>
                <w:rFonts w:hint="eastAsia" w:ascii="宋体" w:hAnsi="宋体" w:eastAsia="宋体" w:cs="宋体"/>
                <w:sz w:val="24"/>
              </w:rPr>
              <w:t>签订日期</w:t>
            </w:r>
          </w:p>
        </w:tc>
        <w:tc>
          <w:tcPr>
            <w:tcW w:w="3544" w:type="dxa"/>
          </w:tcPr>
          <w:p>
            <w:pPr>
              <w:spacing w:line="360" w:lineRule="auto"/>
              <w:ind w:firstLine="1680" w:firstLineChars="700"/>
              <w:rPr>
                <w:rFonts w:hint="eastAsia" w:ascii="宋体" w:hAnsi="宋体" w:eastAsia="宋体" w:cs="宋体"/>
                <w:sz w:val="24"/>
              </w:rPr>
            </w:pPr>
            <w:r>
              <w:rPr>
                <w:rFonts w:hint="eastAsia" w:ascii="宋体" w:hAnsi="宋体" w:eastAsia="宋体" w:cs="宋体"/>
                <w:sz w:val="24"/>
              </w:rPr>
              <w:t>年   月   日</w:t>
            </w:r>
          </w:p>
        </w:tc>
      </w:tr>
    </w:tbl>
    <w:p>
      <w:pPr>
        <w:keepNext/>
        <w:keepLines/>
        <w:widowControl w:val="0"/>
        <w:spacing w:before="280" w:after="290" w:line="376" w:lineRule="auto"/>
        <w:jc w:val="both"/>
        <w:outlineLvl w:val="3"/>
        <w:rPr>
          <w:rFonts w:hint="eastAsia" w:ascii="宋体" w:hAnsi="宋体" w:eastAsia="宋体" w:cs="宋体"/>
          <w:b/>
          <w:bCs/>
          <w:kern w:val="2"/>
          <w:sz w:val="28"/>
          <w:szCs w:val="28"/>
          <w:lang w:val="en-US" w:eastAsia="zh-CN" w:bidi="ar-SA"/>
        </w:rPr>
      </w:pPr>
    </w:p>
    <w:p>
      <w:pPr>
        <w:widowControl w:val="0"/>
        <w:spacing w:after="120"/>
        <w:ind w:left="0" w:leftChars="0" w:firstLine="0" w:firstLineChars="0"/>
        <w:jc w:val="both"/>
        <w:rPr>
          <w:rFonts w:hint="eastAsia" w:ascii="宋体" w:hAnsi="宋体" w:eastAsia="宋体" w:cs="宋体"/>
          <w:kern w:val="2"/>
          <w:sz w:val="21"/>
          <w:szCs w:val="24"/>
          <w:lang w:val="en-US" w:eastAsia="zh-CN" w:bidi="ar-SA"/>
        </w:rPr>
      </w:pPr>
    </w:p>
    <w:p>
      <w:pPr>
        <w:pStyle w:val="46"/>
        <w:numPr>
          <w:ilvl w:val="0"/>
          <w:numId w:val="0"/>
        </w:numPr>
        <w:spacing w:line="360" w:lineRule="auto"/>
        <w:jc w:val="both"/>
        <w:rPr>
          <w:rStyle w:val="63"/>
          <w:rFonts w:hint="eastAsia" w:ascii="宋体" w:hAnsi="宋体" w:eastAsia="宋体" w:cs="宋体"/>
          <w:color w:val="auto"/>
          <w:sz w:val="32"/>
          <w:szCs w:val="32"/>
          <w:highlight w:val="none"/>
        </w:rPr>
      </w:pPr>
    </w:p>
    <w:p>
      <w:pPr>
        <w:pStyle w:val="46"/>
        <w:numPr>
          <w:ilvl w:val="0"/>
          <w:numId w:val="0"/>
        </w:numPr>
        <w:spacing w:line="360" w:lineRule="auto"/>
        <w:jc w:val="both"/>
        <w:rPr>
          <w:rStyle w:val="63"/>
          <w:rFonts w:hint="eastAsia" w:ascii="宋体" w:hAnsi="宋体" w:eastAsia="宋体" w:cs="宋体"/>
          <w:color w:val="auto"/>
          <w:sz w:val="32"/>
          <w:szCs w:val="32"/>
          <w:highlight w:val="none"/>
        </w:rPr>
      </w:pPr>
    </w:p>
    <w:p>
      <w:pPr>
        <w:pStyle w:val="46"/>
        <w:numPr>
          <w:ilvl w:val="0"/>
          <w:numId w:val="0"/>
        </w:numPr>
        <w:spacing w:line="360" w:lineRule="auto"/>
        <w:jc w:val="both"/>
        <w:rPr>
          <w:rStyle w:val="63"/>
          <w:rFonts w:hint="eastAsia" w:ascii="宋体" w:hAnsi="宋体" w:eastAsia="宋体" w:cs="宋体"/>
          <w:color w:val="auto"/>
          <w:sz w:val="32"/>
          <w:szCs w:val="32"/>
          <w:highlight w:val="none"/>
        </w:rPr>
      </w:pPr>
    </w:p>
    <w:p>
      <w:pPr>
        <w:pStyle w:val="46"/>
        <w:spacing w:line="360" w:lineRule="auto"/>
        <w:rPr>
          <w:rStyle w:val="63"/>
          <w:rFonts w:hint="eastAsia" w:ascii="宋体" w:hAnsi="宋体" w:eastAsia="宋体" w:cs="宋体"/>
          <w:color w:val="auto"/>
          <w:sz w:val="36"/>
          <w:szCs w:val="36"/>
          <w:highlight w:val="none"/>
        </w:rPr>
      </w:pPr>
      <w:bookmarkStart w:id="439" w:name="_Toc58504448"/>
      <w:bookmarkStart w:id="440" w:name="_Toc68590980"/>
      <w:r>
        <w:rPr>
          <w:rStyle w:val="63"/>
          <w:rFonts w:hint="eastAsia" w:ascii="宋体" w:hAnsi="宋体" w:eastAsia="宋体" w:cs="宋体"/>
          <w:color w:val="auto"/>
          <w:sz w:val="36"/>
          <w:szCs w:val="36"/>
          <w:highlight w:val="none"/>
        </w:rPr>
        <w:t>第五章  采购内容及要求</w:t>
      </w:r>
      <w:bookmarkEnd w:id="439"/>
      <w:bookmarkEnd w:id="440"/>
    </w:p>
    <w:p>
      <w:pPr>
        <w:numPr>
          <w:ilvl w:val="0"/>
          <w:numId w:val="17"/>
        </w:numPr>
        <w:spacing w:line="400" w:lineRule="exact"/>
        <w:ind w:left="210"/>
        <w:rPr>
          <w:rFonts w:hint="eastAsia" w:ascii="宋体" w:hAnsi="宋体" w:eastAsia="宋体" w:cs="宋体"/>
          <w:b/>
          <w:bCs/>
          <w:color w:val="auto"/>
          <w:sz w:val="24"/>
          <w:szCs w:val="32"/>
          <w:highlight w:val="none"/>
        </w:rPr>
      </w:pPr>
      <w:bookmarkStart w:id="441" w:name="_Toc31008"/>
      <w:bookmarkStart w:id="442" w:name="_Toc415499899"/>
      <w:bookmarkStart w:id="443" w:name="_Toc68590981"/>
      <w:bookmarkStart w:id="444" w:name="_Toc389620241"/>
      <w:bookmarkStart w:id="445" w:name="_Toc58504449"/>
      <w:bookmarkStart w:id="446" w:name="_Toc385992401"/>
      <w:r>
        <w:rPr>
          <w:rFonts w:hint="eastAsia" w:ascii="宋体" w:hAnsi="宋体" w:eastAsia="宋体" w:cs="宋体"/>
          <w:b/>
          <w:bCs/>
          <w:color w:val="auto"/>
          <w:sz w:val="24"/>
          <w:szCs w:val="32"/>
          <w:highlight w:val="none"/>
        </w:rPr>
        <w:t>项目名称：</w:t>
      </w:r>
      <w:r>
        <w:rPr>
          <w:rFonts w:hint="eastAsia" w:ascii="宋体" w:hAnsi="宋体" w:eastAsia="宋体" w:cs="宋体"/>
          <w:b/>
          <w:bCs/>
          <w:color w:val="auto"/>
          <w:sz w:val="24"/>
          <w:szCs w:val="32"/>
          <w:highlight w:val="none"/>
          <w:lang w:eastAsia="zh-CN"/>
        </w:rPr>
        <w:t>西北大学第一医院DRG信息管理系统建设项目采购项目</w:t>
      </w:r>
    </w:p>
    <w:p>
      <w:pPr>
        <w:numPr>
          <w:ilvl w:val="0"/>
          <w:numId w:val="17"/>
        </w:numPr>
        <w:spacing w:line="400" w:lineRule="exact"/>
        <w:ind w:left="21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项目建设内容</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1.系统</w:t>
      </w:r>
      <w:r>
        <w:rPr>
          <w:rFonts w:hint="eastAsia" w:ascii="宋体" w:hAnsi="宋体" w:eastAsia="宋体" w:cs="宋体"/>
          <w:b/>
          <w:bCs/>
          <w:color w:val="auto"/>
          <w:sz w:val="24"/>
          <w:szCs w:val="32"/>
          <w:highlight w:val="none"/>
        </w:rPr>
        <w:t>总体技术要求</w:t>
      </w:r>
    </w:p>
    <w:p>
      <w:pPr>
        <w:numPr>
          <w:ilvl w:val="0"/>
          <w:numId w:val="0"/>
        </w:numPr>
        <w:spacing w:line="400" w:lineRule="exact"/>
        <w:ind w:left="0" w:firstLine="480"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基于DRG分组逻辑和大数据技术构建DRG管理平台，确保医院医疗质量，控制资源消耗，优化诊疗方案，以精细化管理确保DRG管理下的合理收益和医院发展尺度，全面系统地服务于医院管理、决策和运营，实现DRG支付下医院的精细化运营管理。</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（1）提高病案首页数据质量</w:t>
      </w:r>
    </w:p>
    <w:p>
      <w:pPr>
        <w:numPr>
          <w:ilvl w:val="0"/>
          <w:numId w:val="0"/>
        </w:numPr>
        <w:spacing w:line="400" w:lineRule="exact"/>
        <w:ind w:left="0" w:firstLine="480" w:firstLineChars="200"/>
        <w:rPr>
          <w:rFonts w:hint="eastAsia" w:ascii="宋体" w:hAnsi="宋体" w:eastAsia="宋体" w:cs="宋体"/>
          <w:b w:val="0"/>
          <w:bCs w:val="0"/>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从规范性、完整性和合理性等角度对医院病案首页进行校验，实现自动化病案数据核查和标准化ICD编码映射，便捷地对病案编码进行校验和修正，提高病案首页主要诊断、主要手术操作和编码的准确性，让病历进入正确的DRG组，实现病案诊断准确上报，促进院内基础数据良性生态建立。</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（2）提高DRG入组率</w:t>
      </w:r>
    </w:p>
    <w:p>
      <w:pPr>
        <w:numPr>
          <w:ilvl w:val="0"/>
          <w:numId w:val="0"/>
        </w:numPr>
        <w:spacing w:line="400" w:lineRule="exact"/>
        <w:ind w:left="0" w:firstLine="480" w:firstLineChars="200"/>
        <w:rPr>
          <w:rFonts w:hint="eastAsia" w:ascii="宋体" w:hAnsi="宋体" w:eastAsia="宋体" w:cs="宋体"/>
          <w:b w:val="0"/>
          <w:bCs w:val="0"/>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根据病案首页书写规范和临床医学知识库建立病案首页质控规则知识库，对病案首页进行监控和分析，将有问题的病案首页在上传之前筛选出来并加以调整，全面提升住院病案首页数据填报的完整性、规范性和逻辑性，提高医院DRG入组率，保障医院在DRG支付方式改革下的合理收益。</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（3）提高医保结算清单数据质量</w:t>
      </w:r>
    </w:p>
    <w:p>
      <w:pPr>
        <w:numPr>
          <w:ilvl w:val="0"/>
          <w:numId w:val="0"/>
        </w:numPr>
        <w:spacing w:line="400" w:lineRule="exact"/>
        <w:ind w:left="0" w:firstLine="480" w:firstLineChars="200"/>
        <w:rPr>
          <w:rFonts w:hint="eastAsia" w:ascii="宋体" w:hAnsi="宋体" w:eastAsia="宋体" w:cs="宋体"/>
          <w:b w:val="0"/>
          <w:bCs w:val="0"/>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将住院病案首页自动转化为医保结算清单，从规范性、完整性和合理性等角度对医保结算清单进行校验，提高医保结算清单数据质量，保证能够正确入组。</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（4）精准把控费用</w:t>
      </w:r>
    </w:p>
    <w:p>
      <w:pPr>
        <w:numPr>
          <w:ilvl w:val="0"/>
          <w:numId w:val="0"/>
        </w:numPr>
        <w:spacing w:line="400" w:lineRule="exact"/>
        <w:ind w:left="0" w:firstLine="480"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通过DRG入组费用测算，精准定位至异常费用DRG病组，并与业务环节形成联动，提醒职能科室和临床科室采取必要的干预措施，实现临床管理和运营管理的事中控制。建立真实数据和DRG指标标杆值对比分析数据库，对各类费用和病种结构进行对比分析及测算。为病种费用管理、病种结构分析和医保基金使用监控提供客观数据支撑，形成医保费用预警机制，有效控制医疗费用不合理增长，实现医疗卫生资源合理配置。减少对医疗付费的影响，使医院获得DRG支付下的合理收益。</w:t>
      </w:r>
    </w:p>
    <w:p>
      <w:pPr>
        <w:numPr>
          <w:ilvl w:val="0"/>
          <w:numId w:val="0"/>
        </w:numPr>
        <w:spacing w:line="400" w:lineRule="exact"/>
        <w:ind w:left="0" w:firstLine="482" w:firstLineChars="20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（5）DRG绩效</w:t>
      </w:r>
    </w:p>
    <w:p>
      <w:pPr>
        <w:numPr>
          <w:ilvl w:val="0"/>
          <w:numId w:val="0"/>
        </w:numPr>
        <w:spacing w:line="400" w:lineRule="exact"/>
        <w:ind w:left="0" w:firstLine="480" w:firstLineChars="200"/>
        <w:rPr>
          <w:rFonts w:hint="eastAsia" w:ascii="宋体" w:hAnsi="宋体" w:eastAsia="宋体" w:cs="宋体"/>
          <w:b w:val="0"/>
          <w:bCs w:val="0"/>
          <w:color w:val="auto"/>
          <w:sz w:val="24"/>
          <w:szCs w:val="32"/>
          <w:highlight w:val="none"/>
          <w:lang w:val="en-US" w:eastAsia="zh-CN"/>
        </w:rPr>
      </w:pPr>
      <w:r>
        <w:rPr>
          <w:rFonts w:hint="eastAsia" w:ascii="宋体" w:hAnsi="宋体" w:eastAsia="宋体" w:cs="宋体"/>
          <w:b w:val="0"/>
          <w:bCs w:val="0"/>
          <w:color w:val="auto"/>
          <w:sz w:val="24"/>
          <w:szCs w:val="32"/>
          <w:highlight w:val="none"/>
          <w:lang w:val="en-US" w:eastAsia="zh-CN"/>
        </w:rPr>
        <w:t>基于DRG的绩效管理可通过分析比较CMI、RW分段占比、平均住院天数、平均费用、平均药费、平均耗材费、三四级手术占比、日间手术、术前天数、病种结构和重点监控病种等指标，从多个维度引导医院提升自身的技术水平和管理水平，包括医疗服务能力、服务效率、医疗安全与质量医疗。使医疗机构充分发挥自身的强项，发展优势病种，建设自己的重点学科，促进分级诊疗的发展和完善。</w:t>
      </w: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三、建设要求：</w:t>
      </w:r>
    </w:p>
    <w:tbl>
      <w:tblPr>
        <w:tblStyle w:val="50"/>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2"/>
        <w:gridCol w:w="679"/>
        <w:gridCol w:w="894"/>
        <w:gridCol w:w="7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序号</w:t>
            </w:r>
          </w:p>
        </w:tc>
        <w:tc>
          <w:tcPr>
            <w:tcW w:w="679" w:type="dxa"/>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模块</w:t>
            </w:r>
          </w:p>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名称</w:t>
            </w:r>
          </w:p>
        </w:tc>
        <w:tc>
          <w:tcPr>
            <w:tcW w:w="8048" w:type="dxa"/>
            <w:gridSpan w:val="2"/>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592"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w:t>
            </w:r>
          </w:p>
        </w:tc>
        <w:tc>
          <w:tcPr>
            <w:tcW w:w="679"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病案首页质控系统</w:t>
            </w: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目标</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对病案的完整性和正确性、病案书写规范和病案书写缺陷监管的管理系统，避免病案首页数据质量参差不齐，提高病案数据质量，为医院医疗质量管理、等级评审、DRG医保支付、公立医院绩效考核提供重要的数据支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多种质控模式</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1）文件导入：支持卫统四、hqms等标准格式的病案首页数据手动导入；</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2）数据接口：支持从医院病案系统、电子病历等系统通过数据接口自动导入；</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3）前端调用模块：提供webservice或webapi接口，支持嵌入电子病历、HIS或病案首页系统实时传入首页数据，并实时反馈质控结果。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病案首页数据质控功能</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1）完整性质控：审核首页数据填写完整性，所有必填项是否未填，数据格式是否正确；</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2）值域范围质控：校验各数据项的值域范围是否在标准值域范围内；</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3）逻辑合理性质控：判断各数据项之间的逻辑合理性；</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4）新生儿逻辑质控：判断所有与新生儿相关的数据项的合理性；</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诊断逻辑质控：对诊断编码规则、合理性、完整性进行校验，并提示整改建议。包含以下校验规则：主诊选择规则、次诊顺序合理性、诊断NOS规则、诊断与性别、年龄符合性、编码冲突规则、编码漏编规则(病理、损伤中毒)、诊断与入院病情符合规则、主诊与离院方式符合性、特征规则、合并规则；</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6）手术逻辑质控：判断手术操作编码合理性、完整性进行校验，并提示整改建议。包含以下校验规则：无效主手术规则、手术部位未指明（NOS）、手术与性别符合性、不包括规则、合并规则、另编规则；</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7）质控规则库：包含国家、医保质控标准规则，提供自定义质控规则功能，能够新增、维护、停止质控规则 。</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8）提供填写内容联合质控功能，能够根据多变量条件对填写内容进行质控。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DRG分组功能</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1）DRG预分组：对每份病案进行DRG实时分组，展现分组信息，根据预分组情况判断病案分组是否准确，编码填写是否合理，是否存在遗漏疾病诊断和手术操作编码或是否存在主要疾病诊断选择错误等问题；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2）标杆值比对▲：展示该组的标杆值，如住院天数、费用等信息，超出阈值进行提醒；</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3）低风险死亡：提示是否为低风险死亡病例；</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4）重点监控病种▲：提示是否为重点监控病种或术种；</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5）高编、低编提示：根据预分组情况与标杆值对比分析，判断病案是否存在高编、低编问题。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病案评分功能</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1）病案评分标准设置▲：提供合理的病案评分标准，按照患者信息、住院信息、诊疗信息、费用信息、其他信息进行分类。各部分设置相应分值，并能根据实际情况进行调整。</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2）病案评分情况报告：对每份病历依据评分标准计算最终得分，并标记病案是否合格。可查看每份病案的扣分项以及扣分原因。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综合分析功能</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1）质控监测：图表形式综合体现某时间段内病案质控的各项结果包含：总病例数、质控病例数、合格率、平均得分等；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2）问题分析：统计全院及各科室病例常见错误分布情况并细化到具体医生；</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3）对比分析▲：展现全院及各科的病案质控情况的环比、合格率增长情况、各科之间的病案合格率，平均得分排名情况等；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4）质控结果分析：展现全院及各科室病例质控结果以及合格率得分等。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数据导出功能</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1）质控结果导出：可分科室导出质控结果、错误情况等信息；</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2）双首页质控分析▲：可提供病案首页逻辑规则及编码规则质控和医保结算清单审核规则质控，如QY组质控，高倍率病例质控，低倍率病例质控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w:t>
            </w:r>
          </w:p>
        </w:tc>
        <w:tc>
          <w:tcPr>
            <w:tcW w:w="679"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等级医院评审系统</w:t>
            </w: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目标</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 xml:space="preserve">面对上千条数据和主观评价的条款内容，对任何医院来说都是任务量非常大的。一般来说，医院都会成立专门部门来迎检，共同参与。但是条款应该如何分工，如何确定指标结果、如何实现有步骤、有计划的迎检工作是医院面临的重要难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迎评工作设置▲</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1）角色权限分配：可以按需划分权限，根据不同的角色分配不同的菜单访问权限，系统默认有七大督导组角色、承办、责任、填报等角色，也可以根据需要自由新增、删除其他角色及权限等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2）科室人员设置：自由设定将哪些相关科室人员维护到评审这项工作当中，科室可以维护两级层级关系，以及每个科室下面的人员都可以一次性添加导入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评审管理▲</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合理缺项：可以根据医院实际情况选择出本院的第二部分、第三部分合理缺项，即选择出来的合理缺项将在本次自评中排除，不需要医院填报数据，也不纳入总分计算。还可以将确定好的合理缺项导出，再在省平台中导入</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2）创建自评：可以根据医院需要自由选择自评范围，包括全部、第二部分、第三部分、自定义四种选择。新增自评需要记录下自评名称、时间、状态等信息（管理员有权限可以随时新增、删除自评）</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3）条款分配：根据医院设置的组织架构图进行条款的分配，每个条款分配到每个人员身上，实现责任到人。而且每个条款的七大督导组是根据省平台默认分配好的，不需要医院再去分配。</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4）任务总览：可以查询到所有条款的任务分配情况，任务量分配是否合理。任务分配确定之后如果某个人因特殊原因没办法继续担任工作，也支持将这个人的工作量批量分配给其他人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第二部分填报▲</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1）工作进度：领导可以查看到整个填报工作的实时进度以及预测得分，支持按照角色、章节自由切换查询进度，方便领导进行监督管理</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2）填报管理：可以进行数据填报、提交、查看填报进度、实时计算数据结果</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数据填报：按照年度、季度进行数据的填报工作，可以查看上季度、年度省平台填报的数据及预测得分，以及本次填报数据的预测得分，支持单条提交也支持批量提交。支持对数据进行简单的质控，例如分子大于分母系统提示数据填报有误</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4）自动获取指标导入质控：可根据自动获取类数据在系统进行导入，并支持在省级公布的细则进行事前质控，让医院提前对自动获取类指标进行干预</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5）督导组管理：对填报员提交的数据进行审核操作，可以一目了然的查看到季度、年度数据趋势的变化情况，支持单条审核也支持批量审核，审核结果使用不同颜色标记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第三部分管理</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工作进度：领导可以查看到整个现场检查各个组工作的实时进度，能够实时监控当前的工作积压是在承办、责任、督导三组中哪个组，也可以了解到第三部分的实时打分情况，支持按照角色、章节自由切换查询进度</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承办组管理：承办组首先可以对条款进行一个判定，选择不符合、部分符合、完全符合三种情况；其次对判定结果进行说明以及上传佐证材料来验证自己的判定结果。如果条款需要其他科室人员协助完成，支持自由选择协助人员发出协调单</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3）承办未处理事项：查询出本次自评新分配的条款、责任驳回到承办的条款、协调人处理完成返回条款进行处理。支持上传资料、发送协调、支持查看条款的详细解读、评审办法、参考资料</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4）协调单处理：处理所有其他人发送给我需要我协助处理的条款，支持查看各个科室发送协调单的占比以及是否超时未处理的条款</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5）责任组管理：对承办提交上来的条款进行审核，可以通过或者驳回。可以查询对应承办的任务分配占比和各章节每个科室的占比</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6）责任组未处理事项：查询出承办提交上来的条款、督导审核驳回的条款进行审核处理。支持查看佐证材料及条款的详细解读、评审办法、参考资料</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7）督导组管理：对责任提交上来的条款进行审核，可以通过或者驳回。支持查看承办组、责任组各个科室的任务分配占比和各章节每个科室的占比</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8）督导组未处理事项：导出责任提交到督导的条款进行审核处理。支持查看佐证材料及条款的详细解读、评审办法、参考资料。条款审核通过还可以填写改进目标、改进建议作为下次自评的参考建议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自评进度与分析</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单次自评分析：分析某一次历史自评的预测得分以及工作量情况。通过分析预测得分可以发现医院哪个章节的条款数据比较差，引导医院来改善数据。通过分析工作量情况可以了解到每个人的工作量情况以及工作当中是否认真对待。支持按照人员、科室、分组、章节等多维度进行分析。也可以将某次自评填报的数据导出生成execl文档，在省平台开放填报数据时直接将数据进行导入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多次结果对比</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将多次历史自评放在一起进行预测得分、工作量的分析。通过预测得分的分析可以看出医院在不断的自评过程中某个指标数据是否得到改善或者中间落差比较大，能够方便医院及时发现问题所在并进行处理。通过工作量的分析可以看出某个条款提交多次都未审核通过，分析是这个条款的难度太大无法确定还是员工未认真对待胡乱提交，能够帮助医院抓住问题条款进行分析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w:t>
            </w:r>
          </w:p>
        </w:tc>
        <w:tc>
          <w:tcPr>
            <w:tcW w:w="679"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基于DRG的医疗质量分析系统</w:t>
            </w: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目标</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基于DRG的绩效管理可通过分析比较CMI、RW分段占比、平均住院天数、平均费用、平均药费、平均耗材费、三四级手术占比、日间手术、术前天数、病种结构和重点监控病种等指标，从多个维度引导医院提升自身的技术水平和管理水平，包括医疗服务能力、服务效率、医疗安全与质量医疗。使医疗机构充分发挥自身的强项，发展优势病种，建设自己的重点学科，减弱或放弃一些非优势病种，促进分级诊疗的发展和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数据采集</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病案首页数据采集功能，采用国家卫生直报系统接口规范，支持西医与中医的卫统数据格式。支持DBF、CSV、Excel文件格式，支持数据覆盖和添加。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数据量查询</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系统可分月查看数据上报质量及入组率等指标，指标包含：月份、上报数量、合格病案数、入组率、审核错误病案数等。帮助医院及时对首页数据进行整改，确保数据分析的合理性与准确性。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数据审核</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为保证DRG数据分析的真实有效，对数据完整性、合理性、准确性进行审核，医院可对低质量或缺失的病案首页数据进行修正和补充后重传。系统需至少提供以下数据审核服务：</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完整性校验：对首页数据必填项及相关数据内容进行校验，并提示医院进行整改、重传。如：总费用不可为空，离院方式不可为空等。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规范性校验：对首页数据进行规范性校验，检查数据内容是否符合值域范围要求、是否符合编码规范。如；字段要求的值域不符、无效主诊、非标准编码、新生儿诊断错误等。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合理性校验：对首页数据进行逻辑性校验，排除不合理错误。如：疾病诊断/手术编码性别错误，性别与诊断不匹配，无死亡风险主要诊断转归死亡，各项住院费用之和不等于总费用等。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分组器</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1）DRG分组器▲</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DRG分组器需在院内安装，需使用多维度对相对权重RW进行设置，即DRG组的疑难程度、风险程度和消耗资源的多少。系统需提供分组明细查询，可下载每个病例的详细DRG入组明细。明细应至少包含：病案号，出院时间，病人性别、年龄、主要诊断、次要诊断、主手术等基本信息，DRG组代码，DRG组名称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2）.重点监控病种/术种分组</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系统需提供具有自主知识产权的重点监控病种/术种分组器，并能根据省（市）的具体情况，能够进行扩充和修改。系统需提供重点监控病种/术种分组明细查询，可下载每个病例的详细明细。明细应至少包含：病案号，出院时间，病人性别、年龄、主要诊断、次要诊断、主手术等基本信息，重点监控病种/术种代码，重点监控病种/术种名称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3）手术分级▲</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应具有独立的手术分级系统，可按用户要求调整手术分级目录，能实际反映临床实际。系统需提供手术分级情况查询，下载每个病例的手术分级明细。明细应至少包含：病案号，出院时间，病人性别、年龄、主要诊断、次要诊断、主手术等基本信息，手术级别，是否为日间手术判定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基于DRG医疗服务评价分析</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1）综合能力分析▲</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综合能力分析是衡量医院在区域内核心竞争力的重要指标，医院可根据综合能力分析结果了解院内医疗质量情况，有针对性的提升医院医疗专业技术能力，规范医院诊疗流程。系统需提供以下三个层级的综合能力分析功能：</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全院综合能力分析：可在指定时间段内对全院综合能力进行分析，包含出院人数、DRG组数、DRG总量、CMI值、平均住院天数、平均总费用、平均药费、平均耗材费、低风险死亡率、费用指数、时间指数等。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科室综合能力分析：可在指定时间段内对某单一科室或多个科室综合能力进行分析，包含出院人数、DRG组数、DRG总量、CMI值、平均住院天数、平均总费用、平均药费、平均耗材费、低风险死亡率、费用指数、时间指数等。并可提供同环比对比分析功能，帮助医院了解各科室发展情况与现存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医生综合能力分析：可在指定时间段内对各医生的综合能力进行分析，包含出院人数、DRG组数、DRG总量、CMI值、平均住院天数、平均总费用、平均药费、平均耗材费、低风险死亡率、费用指数、时间指数等。可由科室或医疗组下钻到具体医生综合能力分析情况，通过指标对比帮助医院了解各医生的发展情况与存在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2）疑难病例分析▲</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DRG疑难病历分析是反映医院专业能力、治疗能力的重要指标。通过疑难病例分析可有效帮助医院了解自身重点学科发展情况，综合治疗情况。系统可按医院要求制定RW区间（如RW&gt;2）作为疑难病例的权重值的基准，并按所制定的区间分析各个RW区间的病例比例。系统需提供以下三个层级的疑难病例分析功能：</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全院疑难病例分析：可在指定时间段内对全院疑难病例进行分析，包含出院人数、各RW区间人次、各RW区间人次占比、疑难病例出院人数、组数、平均住院天数、平均总费用、平均药费及占比、平均耗材费及占比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科室疑难病例分析：可在指定时间段内对某单一科室或多个科室疑难病例进行分析，包含科室名称、出院人数、各RW区间人次、各RW区间人次占比、疑难病例出院人数、组数、平均住院天数、平均总费用、平均药费及占比、平均耗材费及占比等。并可提供同环比对比分析功能，帮助医院了解各科室发展情况与现存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医生疑难病例分析：可在指定时间段内对各医生的疑难病例进行分析，包含医生名称、出院人数、各RW区间人次、各RW区间人次占比、疑难病例出院人数、组数、平均住院天数、平均总费用、平均药费及占比、平均耗材费及占比等。可由科室下钻到具体医生疑难病例分析情况，通过指标对比帮助医院了解各医生的发展情况与存在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3）外科能力分析</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DRG外科能力分析是体现医院外科综合实力的重要指标，系统需对手术进行科学的分级，按医院要求设置三四级手术分类目录，分析医院的三四级手术比例，代表外科能力的强弱。系统需提供以下三个层级的外科能力分析功能：</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全院外科能力分析：可在指定时间段内对全院外科能力进行分析，包含出院人数、各级别手术人次、各级手术人次占比、三四级手术人次之和、三四级手术人次占比、平均术前等待天数、平均术后恢复天数、平均住院天数、各级别手术人次变化趋势、各级别术种数量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科室外科能力分析：可在指定时间段内对某单一科室或多个科室疑难病例进行分析，包含科室名称、出院人数、各级别手术人次、各级手术人次占比、三四级手术人次之和、三四级手术人次占比、平均术前等待天数、平均术后恢复天数、平均住院天数、各级别手术人次变化趋势、各级别术种数量等。并可提供同环比对比分析功能，帮助医院了解各科室发展情况与现存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医生外科能力分析：可在指定时间段内对各医生的疑难病例进行分析，包含医生名称、出院人数、各级别手术人次、各级手术人次占比、三四级手术人次之和、三四级手术人次占比、平均术前等待天数、平均术后恢复天数、平均住院天数、各级别手术人次变化趋势、各级别术种数量等。可由科室下钻到具体医生外科能力分析情况，通过指标对比帮助医院了解各医生的发展情况与存在的问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4）重点监控病种/术种分析</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系统提供重点监控病种/术种分析功能，可按医院要求设置重点监控病种/术种表单。系统提供全院整体分析，帮助医院全面了解自身重点学科发展情况，为医院学科发展政策导向制定，提供数据支撑。并可下钻到具体科室，帮助科室负责人了解自身科室学科发展情况，有针对性的提升科室竞争力。</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包含以下考核指标：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重点监控病种：月份、科室名称、出院人数、均次费用、均次药费、药占比、平均住院日等。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重点监控术种：月份、科室名称、出院人数、均次费用、均次药费、药占比、平均住院日、术前等待时间、均次卫材费、卫材占比等。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自定义配置</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可按医院要求对系统进行个性化配置，满足医院特定要求，帮助医院更好的应用系统。院方可根据需求进行如下的自定义配置：</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a. RW区间配置。</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b. 选择使用院方自带的手术分级。</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c. 自定义单病种</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d. 自定义报表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92"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w:t>
            </w:r>
          </w:p>
        </w:tc>
        <w:tc>
          <w:tcPr>
            <w:tcW w:w="679"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医院管理综合评价平台</w:t>
            </w: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目标</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平台接口标准采用公立医院绩效考核接口标准，数据源为医院住院病案首页，数据格式支持：csv\dbf\xlsx\zip。平台意义在于可及时查看平台DRG绩效部分数据，达到提升病案首页数据质量的目的，进行上传国家平台之前的预审核,做到精细化的卫健委绩效评价drg数据分析工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功能参数</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1）数据上传</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用户上传数据并查看审核结果，用户根据审核结果修正数据，重新上传。</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2）上传记录</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查看历史数据文件的上传记录，包含文件名称、上传时间、文件中行数、成功行数、失败行数、导入状态等。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3）数据维护</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分月查看上传病案数据量及数据状态。</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4）数据导出</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选定文件类型和导出类型，导出历史数据文件。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5）公立医院绩效</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在线填报并查看公立医院绩效指标。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6）国考数据质控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 xml:space="preserve">查看全院数据质控情况，包含达标病例数、问题病例数等指标。 </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7）编码质量分析</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病案编码质量情况，编码问题包括：数据规范、编码规范、编码遗漏、低风险死亡、分类轴心逻辑冲突、合并编码、内涵重复、手术逻辑、诊断逻辑、诊断与手术不匹配、主要手术选择错误、主要诊断选择错误、笼统诊断、笼统手术、诊断与性别不符、手术与性别不符、无效主诊断、无效主手术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8）问题明细查询</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按照完整性、规范性、合理性、编码规则等类别，查看全院质控问题详情。</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9）单病种监控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查看国考单病种分布情况，包括病种的例数、平均住院日、均次费用、死亡人数等指标。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10）等级手术监控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查看全院国考等级手术情况，包括等级手术人数及占比、本院常见手术的例数及占比等指标。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11）微创手术监控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查看全院微创手术情况，包括微创手术人数及占比、本院常见微创手术的例数及占比等指标。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12）日间手术监控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查看全院日间手术情况，包括日间手术人数及占比、本院常见日间手术的例数及占比等指标。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13）手术质量监控</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查看全院Ⅰ类切口感染、手术并发症情况，包括Ⅰ类切口感染人数及感染率、术后并发症人数及发生比例、本院常见术后并发症的例数及占比等指标。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14）入组率</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查看全院上传数据质量及入组率情况，无法入组错误包括：无效主诊断、性别不符、新生儿不符、不规范诊断和非标准编码等类型。</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15）CMI综合能力</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查看全院及科室出院人次、CMI、DRG总量、组数、疑难病例例数、低风险组死亡例数、平均住院日、平均费用、时间指数、费用指数等指标。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16）医生CMI</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按照医生类型(科主任、主任、主治、住院医师)，查看医生的CMI、DRG总量、组数、病例数、平均总费用、平均药费、平均耗材费、平均住院天数等指标。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17）RW分布</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查看全院及科室不同难度病例数，RW区间分布为：RW≤0.5、0.5＜RW≤0.8、0.8＜RW≤1.0、1.0＜RW≤1.2、1.2＜RW≤1.5、1.5＜RW≤2.0、2.0＜RW≤5、5＜RW≤10、RW＞10。</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18）全院病种结构</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查看全院病种分布情况，包含病种例数、占比、平均权重、平均住院天数、平均费用等指标。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19）科室病种结构</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查看科室病种分布情况，包含病种例数、占比、平均权重、平均住院天数、平均费用等指标。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20）重点病种/术种</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查看全院重点病种和重点术种分布情况，包含病种术种的例数、死亡人数、住院天数、均次费用、术前术后天数等指标。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21）科室手术情况</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查看科室的手术人次及占比，包含一、二、三、四各级手术例数及占比，以及三四级手术占比等指标。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22）医生手术情况</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查看医生作为主刀或助手参与的手术例数、包含一、二、三、四各级手术例数及占比等指标。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23）医疗安全情况</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查看全院的总死亡人次、低风险组死亡、术后死亡、新生儿死亡例数及占比等指标。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24）低风险组死亡</w:t>
            </w:r>
            <w:r>
              <w:rPr>
                <w:rFonts w:hint="eastAsia" w:ascii="宋体" w:hAnsi="宋体" w:eastAsia="宋体" w:cs="宋体"/>
                <w:b w:val="0"/>
                <w:bCs/>
                <w:color w:val="auto"/>
                <w:kern w:val="2"/>
                <w:sz w:val="21"/>
                <w:szCs w:val="21"/>
                <w:highlight w:val="none"/>
                <w:lang w:val="en-US" w:eastAsia="zh-CN" w:bidi="ar-SA"/>
              </w:rPr>
              <w:tab/>
            </w:r>
            <w:r>
              <w:rPr>
                <w:rFonts w:hint="eastAsia" w:ascii="宋体" w:hAnsi="宋体" w:eastAsia="宋体" w:cs="宋体"/>
                <w:b w:val="0"/>
                <w:bCs/>
                <w:color w:val="auto"/>
                <w:kern w:val="2"/>
                <w:sz w:val="21"/>
                <w:szCs w:val="21"/>
                <w:highlight w:val="none"/>
                <w:lang w:val="en-US" w:eastAsia="zh-CN" w:bidi="ar-SA"/>
              </w:rPr>
              <w:t>查看全院低风险组死亡病例，包含低风险死亡病例的出院科室、病案号、DRGs组、死亡日期、死亡风险等指标。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9319" w:type="dxa"/>
            <w:gridSpan w:val="4"/>
            <w:shd w:val="clear" w:color="auto" w:fill="B8CCE4"/>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2.2系统接口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2"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w:t>
            </w:r>
          </w:p>
        </w:tc>
        <w:tc>
          <w:tcPr>
            <w:tcW w:w="679" w:type="dxa"/>
            <w:vMerge w:val="restart"/>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系统</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接口</w:t>
            </w: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数据分析能力</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根据临床业务系统数据库结构文档，能够做到系统数据分析、获取。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HIS系统接口</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实现与电子病历系统接口对接，数据接收。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（目前医院在用系统厂商：成电医星）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LIS系统接口</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实现与LIS系统接口对接，数据接收。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（目前医院在用系统厂商：上海瑞美）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PACS系统接口</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实现与PACS、病理系统接口对接，数据接收。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（目前医院在用系统厂商：伟业前程）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手术麻醉、重症系统接口</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实现与手术麻醉、重症系统接口对接，数据接收。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（目前医院在用系统厂商：麦迪斯顿）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592"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679" w:type="dxa"/>
            <w:vMerge w:val="continue"/>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p>
        </w:tc>
        <w:tc>
          <w:tcPr>
            <w:tcW w:w="89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护理文书系统接口</w:t>
            </w:r>
          </w:p>
        </w:tc>
        <w:tc>
          <w:tcPr>
            <w:tcW w:w="7154"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实现与护理文书、护理质量接口对接，数据接收。</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（目前医院在用系统厂商：上海京颐）</w:t>
            </w:r>
          </w:p>
        </w:tc>
      </w:tr>
    </w:tbl>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设备要求：</w:t>
      </w:r>
    </w:p>
    <w:tbl>
      <w:tblPr>
        <w:tblStyle w:val="51"/>
        <w:tblW w:w="92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169"/>
        <w:gridCol w:w="7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序号</w:t>
            </w:r>
          </w:p>
        </w:tc>
        <w:tc>
          <w:tcPr>
            <w:tcW w:w="1169" w:type="dxa"/>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设备名称</w:t>
            </w:r>
          </w:p>
        </w:tc>
        <w:tc>
          <w:tcPr>
            <w:tcW w:w="7305" w:type="dxa"/>
            <w:shd w:val="clear" w:color="auto" w:fill="C6D9F0"/>
            <w:noWrap w:val="0"/>
            <w:vAlign w:val="center"/>
          </w:tcPr>
          <w:p>
            <w:pPr>
              <w:widowControl w:val="0"/>
              <w:ind w:firstLine="0" w:firstLineChars="0"/>
              <w:jc w:val="center"/>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w:t>
            </w:r>
          </w:p>
        </w:tc>
        <w:tc>
          <w:tcPr>
            <w:tcW w:w="1169"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服务器（2台）</w:t>
            </w:r>
          </w:p>
        </w:tc>
        <w:tc>
          <w:tcPr>
            <w:tcW w:w="7305" w:type="dxa"/>
            <w:noWrap w:val="0"/>
            <w:vAlign w:val="center"/>
          </w:tcPr>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1）2U机架式服务器;</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2）处理器：配置≥2颗处理器，单核心频率≥2.2GHz，核心数≥24C;</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3）内存：配置≥768GB DDR4内存，实配≥24个内存插槽。</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4）SSD硬盘：配置≥2块240GB M2固态硬盘，配置≥2块960GB固态硬盘(读密集型数据缓存盘)，配置≥2块3.84TB固态硬盘(数据库、大数据业务专用);</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5）机械硬盘：配置≥4块4TB.3.5寸7.2k 转速硬盘;</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6）RAID：配置≥1块12Gb2端口 SAS RAID卡，支持RAID0/1/5/10/50/等:</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7）接口：配置≥4个千兆以太网电接口，配置≥2 块双口以太网万兆网卡(含万兆光纤模块);</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8）电源：配置热插拔 1+1 冗余电源，支持单个电源运行。</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9）风扇：配置≥4 个热插拔高速系统风扇；</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10）管理功能：配置1G 专用独立远程管理端口，具有图形管理界面, 支持远程监控图形界面. 集成系统管理处理器,支持：自动服务器重启，风扇监视和控制，电源监控，温度监控，启动/关闭，按序重启，本地固件更新，错误日志，系统状况的可视化显示。</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11）配套滑轨;</w:t>
            </w:r>
          </w:p>
          <w:p>
            <w:pPr>
              <w:widowControl w:val="0"/>
              <w:ind w:firstLine="0" w:firstLineChars="0"/>
              <w:jc w:val="both"/>
              <w:rPr>
                <w:rFonts w:hint="eastAsia" w:ascii="宋体" w:hAnsi="宋体" w:eastAsia="宋体" w:cs="宋体"/>
                <w:b w:val="0"/>
                <w:bCs/>
                <w:color w:val="auto"/>
                <w:kern w:val="2"/>
                <w:sz w:val="21"/>
                <w:szCs w:val="21"/>
                <w:highlight w:val="none"/>
                <w:lang w:val="en-US" w:eastAsia="zh-CN" w:bidi="ar-SA"/>
              </w:rPr>
            </w:pPr>
            <w:r>
              <w:rPr>
                <w:rFonts w:hint="eastAsia" w:ascii="宋体" w:hAnsi="宋体" w:eastAsia="宋体" w:cs="宋体"/>
                <w:b w:val="0"/>
                <w:bCs/>
                <w:color w:val="auto"/>
                <w:kern w:val="2"/>
                <w:sz w:val="21"/>
                <w:szCs w:val="21"/>
                <w:highlight w:val="none"/>
                <w:lang w:val="en-US" w:eastAsia="zh-CN" w:bidi="ar-SA"/>
              </w:rPr>
              <w:t>12）服务：三年原厂服务。</w:t>
            </w:r>
          </w:p>
        </w:tc>
      </w:tr>
    </w:tbl>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ind w:firstLine="0" w:firstLineChars="0"/>
        <w:jc w:val="both"/>
        <w:rPr>
          <w:rFonts w:hint="eastAsia" w:ascii="宋体" w:hAnsi="宋体" w:eastAsia="宋体" w:cs="宋体"/>
          <w:b/>
          <w:color w:val="auto"/>
          <w:kern w:val="2"/>
          <w:sz w:val="24"/>
          <w:szCs w:val="24"/>
          <w:highlight w:val="none"/>
          <w:lang w:val="en-US" w:eastAsia="zh-CN" w:bidi="ar-SA"/>
        </w:rPr>
      </w:pPr>
    </w:p>
    <w:p>
      <w:pPr>
        <w:widowControl w:val="0"/>
        <w:autoSpaceDE w:val="0"/>
        <w:autoSpaceDN w:val="0"/>
        <w:adjustRightInd w:val="0"/>
        <w:spacing w:line="500" w:lineRule="exact"/>
        <w:ind w:left="210" w:firstLine="281" w:firstLineChars="100"/>
        <w:jc w:val="center"/>
        <w:rPr>
          <w:rFonts w:hint="eastAsia" w:ascii="宋体" w:hAnsi="宋体" w:eastAsia="宋体" w:cs="宋体"/>
          <w:b/>
          <w:bCs/>
          <w:snapToGrid w:val="0"/>
          <w:color w:val="auto"/>
          <w:kern w:val="0"/>
          <w:sz w:val="28"/>
          <w:szCs w:val="28"/>
          <w:highlight w:val="none"/>
          <w:lang w:val="en-US" w:eastAsia="zh-CN" w:bidi="ar-SA"/>
        </w:rPr>
      </w:pPr>
      <w:r>
        <w:rPr>
          <w:rFonts w:hint="eastAsia" w:ascii="宋体" w:hAnsi="宋体" w:eastAsia="宋体" w:cs="宋体"/>
          <w:b/>
          <w:bCs/>
          <w:snapToGrid w:val="0"/>
          <w:color w:val="auto"/>
          <w:kern w:val="0"/>
          <w:sz w:val="28"/>
          <w:szCs w:val="28"/>
          <w:highlight w:val="none"/>
          <w:lang w:val="en-US" w:eastAsia="zh-CN" w:bidi="ar-SA"/>
        </w:rPr>
        <w:t>商务要求</w:t>
      </w:r>
    </w:p>
    <w:p>
      <w:pPr>
        <w:widowControl w:val="0"/>
        <w:spacing w:line="440" w:lineRule="exact"/>
        <w:ind w:firstLine="482" w:firstLineChars="200"/>
        <w:jc w:val="left"/>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一、</w:t>
      </w:r>
      <w:r>
        <w:rPr>
          <w:rFonts w:hint="eastAsia" w:ascii="宋体" w:hAnsi="宋体" w:eastAsia="宋体" w:cs="宋体"/>
          <w:b/>
          <w:bCs/>
          <w:snapToGrid w:val="0"/>
          <w:color w:val="auto"/>
          <w:kern w:val="0"/>
          <w:sz w:val="24"/>
          <w:szCs w:val="24"/>
          <w:highlight w:val="none"/>
          <w:lang w:val="zh-CN" w:eastAsia="zh-CN" w:bidi="ar-SA"/>
        </w:rPr>
        <w:t>建设期</w:t>
      </w:r>
      <w:r>
        <w:rPr>
          <w:rFonts w:hint="eastAsia" w:ascii="宋体" w:hAnsi="宋体" w:eastAsia="宋体" w:cs="宋体"/>
          <w:b/>
          <w:bCs/>
          <w:snapToGrid w:val="0"/>
          <w:color w:val="auto"/>
          <w:kern w:val="0"/>
          <w:sz w:val="24"/>
          <w:szCs w:val="24"/>
          <w:highlight w:val="none"/>
          <w:lang w:val="en-US" w:eastAsia="zh-CN" w:bidi="ar-SA"/>
        </w:rPr>
        <w:t>、地点与方式：</w:t>
      </w:r>
    </w:p>
    <w:p>
      <w:pPr>
        <w:widowControl w:val="0"/>
        <w:numPr>
          <w:ilvl w:val="0"/>
          <w:numId w:val="18"/>
        </w:numPr>
        <w:spacing w:line="440" w:lineRule="exact"/>
        <w:ind w:firstLine="480" w:firstLineChars="200"/>
        <w:jc w:val="left"/>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建设期：合同签订后120个日历日内</w:t>
      </w:r>
    </w:p>
    <w:p>
      <w:pPr>
        <w:widowControl w:val="0"/>
        <w:numPr>
          <w:ilvl w:val="0"/>
          <w:numId w:val="18"/>
        </w:numPr>
        <w:spacing w:line="440" w:lineRule="exact"/>
        <w:ind w:firstLine="480" w:firstLineChars="200"/>
        <w:jc w:val="left"/>
        <w:rPr>
          <w:rFonts w:hint="eastAsia" w:ascii="宋体" w:hAnsi="宋体" w:eastAsia="宋体" w:cs="宋体"/>
          <w:snapToGrid w:val="0"/>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服务地点：西北大学第一医院。</w:t>
      </w:r>
    </w:p>
    <w:p>
      <w:pPr>
        <w:widowControl w:val="0"/>
        <w:spacing w:line="440" w:lineRule="exact"/>
        <w:ind w:firstLine="480" w:firstLineChars="200"/>
        <w:jc w:val="left"/>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snapToGrid w:val="0"/>
          <w:color w:val="auto"/>
          <w:kern w:val="0"/>
          <w:sz w:val="24"/>
          <w:szCs w:val="24"/>
          <w:highlight w:val="none"/>
          <w:lang w:val="en-US" w:eastAsia="zh-CN" w:bidi="ar-SA"/>
        </w:rPr>
        <w:t>3、</w:t>
      </w:r>
      <w:r>
        <w:rPr>
          <w:rFonts w:hint="eastAsia" w:ascii="宋体" w:hAnsi="宋体" w:eastAsia="宋体" w:cs="宋体"/>
          <w:b/>
          <w:bCs/>
          <w:snapToGrid w:val="0"/>
          <w:color w:val="auto"/>
          <w:kern w:val="0"/>
          <w:sz w:val="24"/>
          <w:szCs w:val="24"/>
          <w:highlight w:val="none"/>
          <w:lang w:val="en-US" w:eastAsia="zh-CN" w:bidi="ar-SA"/>
        </w:rPr>
        <w:t>服务</w:t>
      </w:r>
      <w:r>
        <w:rPr>
          <w:rFonts w:hint="eastAsia" w:ascii="宋体" w:hAnsi="宋体" w:eastAsia="宋体" w:cs="宋体"/>
          <w:b/>
          <w:bCs/>
          <w:color w:val="auto"/>
          <w:kern w:val="0"/>
          <w:sz w:val="24"/>
          <w:szCs w:val="24"/>
          <w:highlight w:val="none"/>
          <w:lang w:val="en-US" w:eastAsia="zh-CN" w:bidi="ar-SA"/>
        </w:rPr>
        <w:t>期限：项目验收合格后壹年</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4、</w:t>
      </w:r>
      <w:bookmarkStart w:id="507" w:name="_GoBack"/>
      <w:r>
        <w:rPr>
          <w:rFonts w:hint="eastAsia" w:ascii="宋体" w:hAnsi="宋体" w:eastAsia="宋体" w:cs="宋体"/>
          <w:b/>
          <w:bCs/>
          <w:snapToGrid w:val="0"/>
          <w:color w:val="auto"/>
          <w:kern w:val="0"/>
          <w:sz w:val="24"/>
          <w:szCs w:val="24"/>
          <w:highlight w:val="none"/>
          <w:lang w:val="en-US" w:eastAsia="zh-CN" w:bidi="ar-SA"/>
        </w:rPr>
        <w:t>售后服务和技术支持要求：提供完善的售后服务和技术支持方案，至少包括以下内容：</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（1）免费提供壹年软件升级运维服务（以项目验收合格后时间计算）。</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2）在系统建设、使用、运维等过程中遇到问题时，都能够得到制造商或代理商相应的技术支持与帮助；以全面、灵活的服务支持方式和手段提供7*24小时支持维护服务，包括不限于工程师驻场、网站服务、热线支持、邮件支持、现场支持等。</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（3）故障修复及解决，接到故障电话2小时内派技术人员电话或远程支持，远程支持无法解决的问题12小时内上门支持，在24小时内解决问题；对于24小时内无法解决的问题，应提出应急措施。</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（4）根据医院绩效和评审工作须提供日常现场技术支持。</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5、安全性要求：信息安全是任何业务开展的基础，制造商或代理商对于本次项目涉及的相关信息的安全和隐私保护措施，给出详细可行的解决方案，包括但不限于应用审计安全、用户权限控制等。</w:t>
      </w:r>
    </w:p>
    <w:p>
      <w:pPr>
        <w:widowControl w:val="0"/>
        <w:numPr>
          <w:ilvl w:val="0"/>
          <w:numId w:val="0"/>
        </w:numPr>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6、文档交付要求：系统开发应严格按照国家软件工程规范进行，在整个项目实施过程中，需根据开发进度，按照医院要求及时提供用户相关技术文档。包括但不限于：《项目实施方案》、《接口文档》、《培训计划》、《用户手册》等。</w:t>
      </w:r>
    </w:p>
    <w:bookmarkEnd w:id="507"/>
    <w:p>
      <w:pPr>
        <w:widowControl w:val="0"/>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二、付款方式</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1.合同分项单价即中标价，为一次性报价，不受市场价变化或实际工作量变化的升高，如因国家下调检查项目收费价格或试剂价格，采购人可要求供应商相应下调试剂供货价，具体价格双方商议或执行国家集采价格。</w:t>
      </w:r>
    </w:p>
    <w:p>
      <w:pPr>
        <w:spacing w:line="440" w:lineRule="exact"/>
        <w:ind w:firstLine="480" w:firstLineChars="200"/>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2.付款方式和程序：</w:t>
      </w:r>
    </w:p>
    <w:p>
      <w:pPr>
        <w:spacing w:line="440" w:lineRule="exact"/>
        <w:ind w:firstLine="480" w:firstLineChars="200"/>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（1）由采购人以人民币负责结算，在付款前，供应商必须开具全额发票给采购人。（附详细清单）。</w:t>
      </w:r>
    </w:p>
    <w:p>
      <w:pPr>
        <w:spacing w:line="440" w:lineRule="exact"/>
        <w:ind w:firstLine="480" w:firstLineChars="200"/>
        <w:rPr>
          <w:rFonts w:hint="eastAsia" w:ascii="宋体" w:hAnsi="宋体" w:eastAsia="宋体" w:cs="宋体"/>
          <w:color w:val="auto"/>
          <w:kern w:val="28"/>
          <w:sz w:val="24"/>
          <w:highlight w:val="none"/>
          <w:lang w:eastAsia="zh-CN"/>
        </w:rPr>
      </w:pPr>
      <w:r>
        <w:rPr>
          <w:rFonts w:hint="eastAsia" w:ascii="宋体" w:hAnsi="宋体" w:eastAsia="宋体" w:cs="宋体"/>
          <w:color w:val="auto"/>
          <w:kern w:val="28"/>
          <w:sz w:val="24"/>
          <w:highlight w:val="none"/>
        </w:rPr>
        <w:t>（2）付款方式</w:t>
      </w:r>
      <w:r>
        <w:rPr>
          <w:rFonts w:hint="eastAsia" w:ascii="宋体" w:hAnsi="宋体" w:eastAsia="宋体" w:cs="宋体"/>
          <w:color w:val="auto"/>
          <w:kern w:val="28"/>
          <w:sz w:val="24"/>
          <w:highlight w:val="none"/>
          <w:lang w:eastAsia="zh-CN"/>
        </w:rPr>
        <w:t>：</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（1）第一次付款：项目签订合同后支付合同金额的30%；</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（2）第</w:t>
      </w:r>
      <w:r>
        <w:rPr>
          <w:rFonts w:hint="eastAsia" w:ascii="宋体" w:hAnsi="宋体" w:eastAsia="宋体" w:cs="宋体"/>
          <w:color w:val="auto"/>
          <w:kern w:val="28"/>
          <w:sz w:val="24"/>
          <w:highlight w:val="none"/>
          <w:lang w:val="en-US" w:eastAsia="zh-CN"/>
        </w:rPr>
        <w:t>二</w:t>
      </w:r>
      <w:r>
        <w:rPr>
          <w:rFonts w:hint="eastAsia" w:ascii="宋体" w:hAnsi="宋体" w:eastAsia="宋体" w:cs="宋体"/>
          <w:color w:val="auto"/>
          <w:kern w:val="28"/>
          <w:sz w:val="24"/>
          <w:highlight w:val="none"/>
        </w:rPr>
        <w:t>次付款：项目完成验收后支付合同金额的60%</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rPr>
      </w:pPr>
      <w:r>
        <w:rPr>
          <w:rFonts w:hint="eastAsia" w:ascii="宋体" w:hAnsi="宋体" w:eastAsia="宋体" w:cs="宋体"/>
          <w:color w:val="auto"/>
          <w:kern w:val="28"/>
          <w:sz w:val="24"/>
          <w:highlight w:val="none"/>
        </w:rPr>
        <w:t>（3）第</w:t>
      </w:r>
      <w:r>
        <w:rPr>
          <w:rFonts w:hint="eastAsia" w:ascii="宋体" w:hAnsi="宋体" w:eastAsia="宋体" w:cs="宋体"/>
          <w:color w:val="auto"/>
          <w:kern w:val="28"/>
          <w:sz w:val="24"/>
          <w:highlight w:val="none"/>
          <w:lang w:val="en-US" w:eastAsia="zh-CN"/>
        </w:rPr>
        <w:t>三</w:t>
      </w:r>
      <w:r>
        <w:rPr>
          <w:rFonts w:hint="eastAsia" w:ascii="宋体" w:hAnsi="宋体" w:eastAsia="宋体" w:cs="宋体"/>
          <w:color w:val="auto"/>
          <w:kern w:val="28"/>
          <w:sz w:val="24"/>
          <w:highlight w:val="none"/>
        </w:rPr>
        <w:t>次付款：</w:t>
      </w:r>
      <w:r>
        <w:rPr>
          <w:rFonts w:hint="eastAsia" w:ascii="宋体" w:hAnsi="宋体" w:eastAsia="宋体" w:cs="宋体"/>
          <w:color w:val="auto"/>
          <w:kern w:val="28"/>
          <w:sz w:val="24"/>
          <w:highlight w:val="none"/>
          <w:lang w:val="en-US" w:eastAsia="zh-CN"/>
        </w:rPr>
        <w:t>免费维保</w:t>
      </w:r>
      <w:r>
        <w:rPr>
          <w:rFonts w:hint="eastAsia" w:ascii="宋体" w:hAnsi="宋体" w:eastAsia="宋体" w:cs="宋体"/>
          <w:color w:val="auto"/>
          <w:kern w:val="28"/>
          <w:sz w:val="24"/>
          <w:highlight w:val="none"/>
        </w:rPr>
        <w:t>期满一年无质量及服务问题后无息支付剩余合同金额的10%。</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color w:val="auto"/>
          <w:kern w:val="28"/>
          <w:sz w:val="24"/>
          <w:highlight w:val="none"/>
          <w:lang w:eastAsia="zh-CN"/>
        </w:rPr>
        <w:t>（</w:t>
      </w:r>
      <w:r>
        <w:rPr>
          <w:rFonts w:hint="eastAsia" w:ascii="宋体" w:hAnsi="宋体" w:eastAsia="宋体" w:cs="宋体"/>
          <w:color w:val="auto"/>
          <w:kern w:val="28"/>
          <w:sz w:val="24"/>
          <w:highlight w:val="none"/>
          <w:lang w:val="en-US" w:eastAsia="zh-CN"/>
        </w:rPr>
        <w:t>4</w:t>
      </w:r>
      <w:r>
        <w:rPr>
          <w:rFonts w:hint="eastAsia" w:ascii="宋体" w:hAnsi="宋体" w:eastAsia="宋体" w:cs="宋体"/>
          <w:color w:val="auto"/>
          <w:kern w:val="28"/>
          <w:sz w:val="24"/>
          <w:highlight w:val="none"/>
          <w:lang w:eastAsia="zh-CN"/>
        </w:rPr>
        <w:t>）</w:t>
      </w:r>
      <w:r>
        <w:rPr>
          <w:rFonts w:hint="eastAsia" w:ascii="宋体" w:hAnsi="宋体" w:eastAsia="宋体" w:cs="宋体"/>
          <w:snapToGrid w:val="0"/>
          <w:color w:val="auto"/>
          <w:sz w:val="24"/>
          <w:highlight w:val="none"/>
        </w:rPr>
        <w:t>发票要求：乙方</w:t>
      </w:r>
      <w:r>
        <w:rPr>
          <w:rFonts w:hint="eastAsia" w:ascii="宋体" w:hAnsi="宋体" w:eastAsia="宋体" w:cs="宋体"/>
          <w:snapToGrid w:val="0"/>
          <w:color w:val="auto"/>
          <w:sz w:val="24"/>
          <w:highlight w:val="none"/>
          <w:lang w:val="en-US" w:eastAsia="zh-CN"/>
        </w:rPr>
        <w:t>每月</w:t>
      </w:r>
      <w:r>
        <w:rPr>
          <w:rFonts w:hint="eastAsia" w:ascii="宋体" w:hAnsi="宋体" w:eastAsia="宋体" w:cs="宋体"/>
          <w:snapToGrid w:val="0"/>
          <w:color w:val="auto"/>
          <w:sz w:val="24"/>
          <w:highlight w:val="none"/>
        </w:rPr>
        <w:t>按照国家相关规定向甲方提供</w:t>
      </w:r>
      <w:r>
        <w:rPr>
          <w:rFonts w:hint="eastAsia" w:ascii="宋体" w:hAnsi="宋体" w:eastAsia="宋体" w:cs="宋体"/>
          <w:snapToGrid w:val="0"/>
          <w:color w:val="auto"/>
          <w:sz w:val="24"/>
          <w:highlight w:val="none"/>
          <w:lang w:val="en-US" w:eastAsia="zh-CN"/>
        </w:rPr>
        <w:t>每月试剂实际采购量进行计算的</w:t>
      </w:r>
      <w:r>
        <w:rPr>
          <w:rFonts w:hint="eastAsia" w:ascii="宋体" w:hAnsi="宋体" w:eastAsia="宋体" w:cs="宋体"/>
          <w:snapToGrid w:val="0"/>
          <w:color w:val="auto"/>
          <w:sz w:val="24"/>
          <w:highlight w:val="none"/>
        </w:rPr>
        <w:t>价款总额的正式增值税发票，乙方延期提供发票或提供的发票不符合甲方要求的，甲方有权拒付合同款项且不承担任何法律责任。</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snapToGrid w:val="0"/>
          <w:color w:val="auto"/>
          <w:sz w:val="24"/>
          <w:highlight w:val="none"/>
        </w:rPr>
        <w:t>甲方开票信息如下：</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snapToGrid w:val="0"/>
          <w:color w:val="auto"/>
          <w:sz w:val="24"/>
          <w:highlight w:val="none"/>
        </w:rPr>
        <w:t>名        称：陕西省第四人民医院</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snapToGrid w:val="0"/>
          <w:color w:val="auto"/>
          <w:sz w:val="24"/>
          <w:highlight w:val="none"/>
        </w:rPr>
        <w:t>开   户   行：工行西安咸宁路支行</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snapToGrid w:val="0"/>
          <w:color w:val="auto"/>
          <w:sz w:val="24"/>
          <w:highlight w:val="none"/>
        </w:rPr>
        <w:t>账        号：3700025609014469002</w:t>
      </w:r>
    </w:p>
    <w:p>
      <w:pPr>
        <w:adjustRightInd w:val="0"/>
        <w:snapToGrid w:val="0"/>
        <w:spacing w:line="440" w:lineRule="exact"/>
        <w:ind w:firstLine="480" w:firstLineChars="200"/>
        <w:jc w:val="left"/>
        <w:rPr>
          <w:rFonts w:hint="eastAsia" w:ascii="宋体" w:hAnsi="宋体" w:eastAsia="宋体" w:cs="宋体"/>
          <w:snapToGrid w:val="0"/>
          <w:color w:val="auto"/>
          <w:sz w:val="24"/>
          <w:highlight w:val="none"/>
          <w:lang w:val="en-US" w:eastAsia="zh-CN"/>
        </w:rPr>
      </w:pPr>
      <w:r>
        <w:rPr>
          <w:rFonts w:hint="eastAsia" w:ascii="宋体" w:hAnsi="宋体" w:eastAsia="宋体" w:cs="宋体"/>
          <w:snapToGrid w:val="0"/>
          <w:color w:val="auto"/>
          <w:sz w:val="24"/>
          <w:highlight w:val="none"/>
          <w:lang w:val="en-US" w:eastAsia="zh-CN"/>
        </w:rPr>
        <w:t>纳税人识别号：126100004352037399</w:t>
      </w:r>
    </w:p>
    <w:p>
      <w:pPr>
        <w:widowControl w:val="0"/>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三、技术培训：</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lang w:val="zh-CN" w:eastAsia="zh-CN"/>
        </w:rPr>
      </w:pPr>
      <w:r>
        <w:rPr>
          <w:rFonts w:hint="eastAsia" w:ascii="宋体" w:hAnsi="宋体" w:eastAsia="宋体" w:cs="宋体"/>
          <w:color w:val="auto"/>
          <w:kern w:val="28"/>
          <w:sz w:val="24"/>
          <w:highlight w:val="none"/>
          <w:lang w:val="en-US" w:eastAsia="zh-CN"/>
        </w:rPr>
        <w:t>1</w:t>
      </w:r>
      <w:r>
        <w:rPr>
          <w:rFonts w:hint="eastAsia" w:ascii="宋体" w:hAnsi="宋体" w:eastAsia="宋体" w:cs="宋体"/>
          <w:color w:val="auto"/>
          <w:kern w:val="28"/>
          <w:sz w:val="24"/>
          <w:highlight w:val="none"/>
          <w:lang w:eastAsia="zh-CN"/>
        </w:rPr>
        <w:t>、</w:t>
      </w:r>
      <w:r>
        <w:rPr>
          <w:rFonts w:hint="eastAsia" w:ascii="宋体" w:hAnsi="宋体" w:eastAsia="宋体" w:cs="宋体"/>
          <w:color w:val="auto"/>
          <w:kern w:val="28"/>
          <w:sz w:val="24"/>
          <w:highlight w:val="none"/>
          <w:lang w:val="zh-CN" w:eastAsia="zh-CN"/>
        </w:rPr>
        <w:t>安装、调试完毕后，中标人必须安排技术人员对使用单位的管理人员进行操作应用及维护保养方面的技能培训，使其掌握基本技能；对系统使用人员进行应用培训，使其能达到独立操作维护的水平；须具体规定培训内容、培训时间和培训名额等。</w:t>
      </w:r>
    </w:p>
    <w:p>
      <w:pPr>
        <w:adjustRightInd w:val="0"/>
        <w:snapToGrid w:val="0"/>
        <w:spacing w:line="440" w:lineRule="exact"/>
        <w:ind w:firstLine="480" w:firstLineChars="200"/>
        <w:jc w:val="left"/>
        <w:rPr>
          <w:rFonts w:hint="eastAsia" w:ascii="宋体" w:hAnsi="宋体" w:eastAsia="宋体" w:cs="宋体"/>
          <w:color w:val="auto"/>
          <w:kern w:val="28"/>
          <w:sz w:val="24"/>
          <w:highlight w:val="none"/>
          <w:lang w:val="zh-CN" w:eastAsia="zh-CN"/>
        </w:rPr>
      </w:pPr>
      <w:r>
        <w:rPr>
          <w:rFonts w:hint="eastAsia" w:ascii="宋体" w:hAnsi="宋体" w:eastAsia="宋体" w:cs="宋体"/>
          <w:color w:val="auto"/>
          <w:kern w:val="28"/>
          <w:sz w:val="24"/>
          <w:highlight w:val="none"/>
          <w:lang w:val="en-US" w:eastAsia="zh-CN"/>
        </w:rPr>
        <w:t>2、软件平台</w:t>
      </w:r>
      <w:r>
        <w:rPr>
          <w:rFonts w:hint="default" w:ascii="宋体" w:hAnsi="宋体" w:eastAsia="宋体" w:cs="宋体"/>
          <w:color w:val="auto"/>
          <w:kern w:val="28"/>
          <w:sz w:val="24"/>
          <w:highlight w:val="none"/>
          <w:lang w:val="en-US" w:eastAsia="zh-CN"/>
        </w:rPr>
        <w:t xml:space="preserve">试运行时，对运维人员进行培训，培训内容必须满足系统维护人员能够顺利完成日常的维护工作，培训后必须有培训结果的书面确认。使用培训应使得系统维护人员能够顺利地完成日常的维护工作，保证系统的正常运行，内容包括系统配置、使用、维护知识，使运维人员有清晰明确的认识并能够高效及时地解决系统突发运行故障。负责使用人员的技术培训，培训内容包括系统操作和规范培训。详细列出所能提供的各种培训的具体情况，包括培训对象、培训计划、培训内容等。 </w:t>
      </w:r>
    </w:p>
    <w:p>
      <w:pPr>
        <w:adjustRightInd w:val="0"/>
        <w:snapToGrid w:val="0"/>
        <w:spacing w:line="440" w:lineRule="exact"/>
        <w:ind w:firstLine="480" w:firstLineChars="200"/>
        <w:jc w:val="left"/>
        <w:rPr>
          <w:rFonts w:hint="eastAsia"/>
        </w:rPr>
      </w:pPr>
      <w:r>
        <w:rPr>
          <w:rFonts w:hint="eastAsia" w:ascii="宋体" w:hAnsi="宋体" w:eastAsia="宋体" w:cs="宋体"/>
          <w:color w:val="auto"/>
          <w:kern w:val="28"/>
          <w:sz w:val="24"/>
          <w:highlight w:val="none"/>
          <w:lang w:val="en-US" w:eastAsia="zh-CN"/>
        </w:rPr>
        <w:t>3</w:t>
      </w:r>
      <w:r>
        <w:rPr>
          <w:rFonts w:hint="eastAsia" w:ascii="宋体" w:hAnsi="宋体" w:eastAsia="宋体" w:cs="宋体"/>
          <w:color w:val="auto"/>
          <w:kern w:val="28"/>
          <w:sz w:val="24"/>
          <w:highlight w:val="none"/>
        </w:rPr>
        <w:t>、培训费用：受训人员的食宿费、资料费、培训场地费、耗材（包括水电费等）费等已包含在合同总价中，</w:t>
      </w:r>
      <w:r>
        <w:rPr>
          <w:rFonts w:hint="eastAsia" w:ascii="宋体" w:hAnsi="宋体" w:eastAsia="宋体" w:cs="宋体"/>
          <w:color w:val="auto"/>
          <w:kern w:val="28"/>
          <w:sz w:val="24"/>
          <w:highlight w:val="none"/>
          <w:lang w:eastAsia="zh-CN"/>
        </w:rPr>
        <w:t>采购人</w:t>
      </w:r>
      <w:r>
        <w:rPr>
          <w:rFonts w:hint="eastAsia" w:ascii="宋体" w:hAnsi="宋体" w:eastAsia="宋体" w:cs="宋体"/>
          <w:color w:val="auto"/>
          <w:kern w:val="28"/>
          <w:sz w:val="24"/>
          <w:highlight w:val="none"/>
        </w:rPr>
        <w:t>不再另行支付。</w:t>
      </w:r>
    </w:p>
    <w:p>
      <w:pPr>
        <w:widowControl w:val="0"/>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四、专利权和保密要求</w:t>
      </w:r>
    </w:p>
    <w:p>
      <w:pPr>
        <w:spacing w:line="440" w:lineRule="exact"/>
        <w:ind w:firstLine="480" w:firstLineChars="200"/>
        <w:jc w:val="left"/>
        <w:rPr>
          <w:rFonts w:hint="eastAsia" w:ascii="宋体" w:hAnsi="宋体" w:eastAsia="宋体" w:cs="宋体"/>
          <w:snapToGrid w:val="0"/>
          <w:color w:val="auto"/>
          <w:sz w:val="24"/>
          <w:highlight w:val="none"/>
          <w:lang w:val="zh-CN"/>
        </w:rPr>
      </w:pPr>
      <w:r>
        <w:rPr>
          <w:rFonts w:hint="eastAsia" w:ascii="宋体" w:hAnsi="宋体" w:eastAsia="宋体" w:cs="宋体"/>
          <w:snapToGrid w:val="0"/>
          <w:color w:val="auto"/>
          <w:sz w:val="24"/>
          <w:highlight w:val="none"/>
        </w:rPr>
        <w:t>1.</w:t>
      </w:r>
      <w:r>
        <w:rPr>
          <w:rFonts w:hint="eastAsia" w:ascii="宋体" w:hAnsi="宋体" w:eastAsia="宋体" w:cs="宋体"/>
          <w:snapToGrid w:val="0"/>
          <w:color w:val="auto"/>
          <w:sz w:val="24"/>
          <w:highlight w:val="none"/>
          <w:lang w:val="zh-CN"/>
        </w:rPr>
        <w:t>成交人应保证使用方在使用该</w:t>
      </w:r>
      <w:r>
        <w:rPr>
          <w:rFonts w:hint="eastAsia" w:ascii="宋体" w:hAnsi="宋体" w:eastAsia="宋体" w:cs="宋体"/>
          <w:snapToGrid w:val="0"/>
          <w:color w:val="auto"/>
          <w:sz w:val="24"/>
          <w:highlight w:val="none"/>
          <w:lang w:val="en-US" w:eastAsia="zh-CN"/>
        </w:rPr>
        <w:t>服务</w:t>
      </w:r>
      <w:r>
        <w:rPr>
          <w:rFonts w:hint="eastAsia" w:ascii="宋体" w:hAnsi="宋体" w:eastAsia="宋体" w:cs="宋体"/>
          <w:snapToGrid w:val="0"/>
          <w:color w:val="auto"/>
          <w:sz w:val="24"/>
          <w:highlight w:val="none"/>
          <w:lang w:val="zh-CN"/>
        </w:rPr>
        <w:t>或其任何一部分时，不受第三方侵权指控。同时，成交人保证不向第三方泄露采购机构提供的技术文件等资料。</w:t>
      </w:r>
    </w:p>
    <w:p>
      <w:pPr>
        <w:spacing w:line="440" w:lineRule="exact"/>
        <w:ind w:firstLine="480" w:firstLineChars="200"/>
        <w:jc w:val="left"/>
        <w:rPr>
          <w:rFonts w:hint="eastAsia" w:ascii="宋体" w:hAnsi="宋体" w:eastAsia="宋体" w:cs="宋体"/>
          <w:b/>
          <w:snapToGrid w:val="0"/>
          <w:color w:val="auto"/>
          <w:sz w:val="24"/>
          <w:highlight w:val="none"/>
        </w:rPr>
      </w:pPr>
      <w:r>
        <w:rPr>
          <w:rFonts w:hint="eastAsia" w:ascii="宋体" w:hAnsi="宋体" w:eastAsia="宋体" w:cs="宋体"/>
          <w:snapToGrid w:val="0"/>
          <w:color w:val="auto"/>
          <w:sz w:val="24"/>
          <w:highlight w:val="none"/>
        </w:rPr>
        <w:t>2.</w:t>
      </w:r>
      <w:r>
        <w:rPr>
          <w:rFonts w:hint="eastAsia" w:ascii="宋体" w:hAnsi="宋体" w:eastAsia="宋体" w:cs="宋体"/>
          <w:snapToGrid w:val="0"/>
          <w:color w:val="auto"/>
          <w:sz w:val="24"/>
          <w:highlight w:val="none"/>
          <w:lang w:val="en-US" w:eastAsia="zh-CN"/>
        </w:rPr>
        <w:t>服务</w:t>
      </w:r>
      <w:r>
        <w:rPr>
          <w:rFonts w:hint="eastAsia" w:ascii="宋体" w:hAnsi="宋体" w:eastAsia="宋体" w:cs="宋体"/>
          <w:snapToGrid w:val="0"/>
          <w:color w:val="auto"/>
          <w:sz w:val="24"/>
          <w:highlight w:val="none"/>
          <w:lang w:val="zh-CN"/>
        </w:rPr>
        <w:t>的</w:t>
      </w:r>
      <w:r>
        <w:rPr>
          <w:rFonts w:hint="eastAsia" w:ascii="宋体" w:hAnsi="宋体" w:eastAsia="宋体" w:cs="宋体"/>
          <w:snapToGrid w:val="0"/>
          <w:color w:val="auto"/>
          <w:sz w:val="24"/>
          <w:highlight w:val="none"/>
          <w:lang w:val="en-US" w:eastAsia="zh-CN"/>
        </w:rPr>
        <w:t>开发</w:t>
      </w:r>
      <w:r>
        <w:rPr>
          <w:rFonts w:hint="eastAsia" w:ascii="宋体" w:hAnsi="宋体" w:eastAsia="宋体" w:cs="宋体"/>
          <w:snapToGrid w:val="0"/>
          <w:color w:val="auto"/>
          <w:sz w:val="24"/>
          <w:highlight w:val="none"/>
          <w:lang w:val="zh-CN"/>
        </w:rPr>
        <w:t>应当符合国家保密规定。</w:t>
      </w:r>
    </w:p>
    <w:p>
      <w:pPr>
        <w:spacing w:line="440" w:lineRule="exact"/>
        <w:ind w:firstLine="480" w:firstLineChars="200"/>
        <w:jc w:val="left"/>
        <w:rPr>
          <w:rFonts w:hint="eastAsia" w:ascii="宋体" w:hAnsi="宋体" w:eastAsia="宋体" w:cs="宋体"/>
          <w:snapToGrid w:val="0"/>
          <w:color w:val="auto"/>
          <w:sz w:val="24"/>
          <w:highlight w:val="none"/>
        </w:rPr>
      </w:pPr>
      <w:r>
        <w:rPr>
          <w:rFonts w:hint="eastAsia" w:ascii="宋体" w:hAnsi="宋体" w:eastAsia="宋体" w:cs="宋体"/>
          <w:snapToGrid w:val="0"/>
          <w:color w:val="auto"/>
          <w:sz w:val="24"/>
          <w:highlight w:val="none"/>
        </w:rPr>
        <w:t>3.成交人在实施</w:t>
      </w:r>
      <w:r>
        <w:rPr>
          <w:rFonts w:hint="eastAsia" w:ascii="宋体" w:hAnsi="宋体" w:eastAsia="宋体" w:cs="宋体"/>
          <w:snapToGrid w:val="0"/>
          <w:color w:val="auto"/>
          <w:sz w:val="24"/>
          <w:highlight w:val="none"/>
          <w:lang w:val="en-US" w:eastAsia="zh-CN"/>
        </w:rPr>
        <w:t>服务</w:t>
      </w:r>
      <w:r>
        <w:rPr>
          <w:rFonts w:hint="eastAsia" w:ascii="宋体" w:hAnsi="宋体" w:eastAsia="宋体" w:cs="宋体"/>
          <w:snapToGrid w:val="0"/>
          <w:color w:val="auto"/>
          <w:sz w:val="24"/>
          <w:highlight w:val="none"/>
        </w:rPr>
        <w:t>期间，不得将</w:t>
      </w:r>
      <w:r>
        <w:rPr>
          <w:rFonts w:hint="eastAsia" w:ascii="宋体" w:hAnsi="宋体" w:eastAsia="宋体" w:cs="宋体"/>
          <w:snapToGrid w:val="0"/>
          <w:color w:val="auto"/>
          <w:sz w:val="24"/>
          <w:highlight w:val="none"/>
          <w:lang w:val="en-US" w:eastAsia="zh-CN"/>
        </w:rPr>
        <w:t>服务</w:t>
      </w:r>
      <w:r>
        <w:rPr>
          <w:rFonts w:hint="eastAsia" w:ascii="宋体" w:hAnsi="宋体" w:eastAsia="宋体" w:cs="宋体"/>
          <w:snapToGrid w:val="0"/>
          <w:color w:val="auto"/>
          <w:sz w:val="24"/>
          <w:highlight w:val="none"/>
        </w:rPr>
        <w:t>的</w:t>
      </w:r>
      <w:r>
        <w:rPr>
          <w:rFonts w:hint="eastAsia" w:ascii="宋体" w:hAnsi="宋体" w:eastAsia="宋体" w:cs="宋体"/>
          <w:snapToGrid w:val="0"/>
          <w:color w:val="auto"/>
          <w:sz w:val="24"/>
          <w:highlight w:val="none"/>
          <w:lang w:val="en-US" w:eastAsia="zh-CN"/>
        </w:rPr>
        <w:t>内容</w:t>
      </w:r>
      <w:r>
        <w:rPr>
          <w:rFonts w:hint="eastAsia" w:ascii="宋体" w:hAnsi="宋体" w:eastAsia="宋体" w:cs="宋体"/>
          <w:snapToGrid w:val="0"/>
          <w:color w:val="auto"/>
          <w:sz w:val="24"/>
          <w:highlight w:val="none"/>
        </w:rPr>
        <w:t>泄露给其他企业或者个人，成交人须指派相对固定的人员完成服务，并需将人员的详细资料报采购人备案，人员须遵纪守法、品行良好，无违法犯罪记录。</w:t>
      </w:r>
    </w:p>
    <w:p>
      <w:pPr>
        <w:spacing w:line="440" w:lineRule="exact"/>
        <w:ind w:firstLine="482" w:firstLineChars="200"/>
        <w:jc w:val="left"/>
        <w:rPr>
          <w:rFonts w:hint="eastAsia" w:ascii="宋体" w:hAnsi="宋体" w:eastAsia="宋体" w:cs="宋体"/>
          <w:b/>
          <w:bCs/>
          <w:snapToGrid w:val="0"/>
          <w:color w:val="auto"/>
          <w:sz w:val="24"/>
          <w:highlight w:val="none"/>
        </w:rPr>
      </w:pPr>
      <w:r>
        <w:rPr>
          <w:rFonts w:hint="eastAsia" w:ascii="宋体" w:hAnsi="宋体" w:eastAsia="宋体" w:cs="宋体"/>
          <w:b/>
          <w:bCs/>
          <w:snapToGrid w:val="0"/>
          <w:color w:val="auto"/>
          <w:sz w:val="24"/>
          <w:highlight w:val="none"/>
        </w:rPr>
        <w:t>4.成交人应严格遵守《中华人民共和国</w:t>
      </w:r>
      <w:r>
        <w:rPr>
          <w:rFonts w:hint="eastAsia" w:ascii="宋体" w:hAnsi="宋体" w:eastAsia="宋体" w:cs="宋体"/>
          <w:b/>
          <w:bCs/>
          <w:snapToGrid w:val="0"/>
          <w:color w:val="auto"/>
          <w:sz w:val="24"/>
          <w:highlight w:val="none"/>
        </w:rPr>
        <w:fldChar w:fldCharType="begin"/>
      </w:r>
      <w:r>
        <w:rPr>
          <w:rFonts w:hint="eastAsia" w:ascii="宋体" w:hAnsi="宋体" w:eastAsia="宋体" w:cs="宋体"/>
          <w:b/>
          <w:bCs/>
          <w:snapToGrid w:val="0"/>
          <w:color w:val="auto"/>
          <w:sz w:val="24"/>
          <w:highlight w:val="none"/>
        </w:rPr>
        <w:instrText xml:space="preserve"> HYPERLINK "https://baike.sogou.com/lemma/ShowInnerLink.htm?lemmaId=65519585" \t "https://baike.sogou.com/_blank" </w:instrText>
      </w:r>
      <w:r>
        <w:rPr>
          <w:rFonts w:hint="eastAsia" w:ascii="宋体" w:hAnsi="宋体" w:eastAsia="宋体" w:cs="宋体"/>
          <w:b/>
          <w:bCs/>
          <w:snapToGrid w:val="0"/>
          <w:color w:val="auto"/>
          <w:sz w:val="24"/>
          <w:highlight w:val="none"/>
        </w:rPr>
        <w:fldChar w:fldCharType="separate"/>
      </w:r>
      <w:r>
        <w:rPr>
          <w:rFonts w:hint="eastAsia" w:ascii="宋体" w:hAnsi="宋体" w:eastAsia="宋体" w:cs="宋体"/>
          <w:b/>
          <w:bCs/>
          <w:snapToGrid w:val="0"/>
          <w:color w:val="auto"/>
          <w:sz w:val="24"/>
          <w:highlight w:val="none"/>
        </w:rPr>
        <w:t>保守国家秘密</w:t>
      </w:r>
      <w:r>
        <w:rPr>
          <w:rFonts w:hint="eastAsia" w:ascii="宋体" w:hAnsi="宋体" w:eastAsia="宋体" w:cs="宋体"/>
          <w:b/>
          <w:bCs/>
          <w:snapToGrid w:val="0"/>
          <w:color w:val="auto"/>
          <w:sz w:val="24"/>
          <w:highlight w:val="none"/>
        </w:rPr>
        <w:fldChar w:fldCharType="end"/>
      </w:r>
      <w:r>
        <w:rPr>
          <w:rFonts w:hint="eastAsia" w:ascii="宋体" w:hAnsi="宋体" w:eastAsia="宋体" w:cs="宋体"/>
          <w:b/>
          <w:bCs/>
          <w:snapToGrid w:val="0"/>
          <w:color w:val="auto"/>
          <w:sz w:val="24"/>
          <w:highlight w:val="none"/>
        </w:rPr>
        <w:t>法》及相关保密条例；中标人在后续</w:t>
      </w:r>
      <w:r>
        <w:rPr>
          <w:rFonts w:hint="eastAsia" w:ascii="宋体" w:hAnsi="宋体" w:eastAsia="宋体" w:cs="宋体"/>
          <w:b/>
          <w:bCs/>
          <w:snapToGrid w:val="0"/>
          <w:color w:val="auto"/>
          <w:sz w:val="24"/>
          <w:highlight w:val="none"/>
          <w:lang w:val="en-US" w:eastAsia="zh-CN"/>
        </w:rPr>
        <w:t>售后维修</w:t>
      </w:r>
      <w:r>
        <w:rPr>
          <w:rFonts w:hint="eastAsia" w:ascii="宋体" w:hAnsi="宋体" w:eastAsia="宋体" w:cs="宋体"/>
          <w:b/>
          <w:bCs/>
          <w:snapToGrid w:val="0"/>
          <w:color w:val="auto"/>
          <w:sz w:val="24"/>
          <w:highlight w:val="none"/>
        </w:rPr>
        <w:t>中，禁止通过任何手段掌握获取相关信息。不得以任何载体形式制作、收发、传递、使用、复制、保存相关信息。</w:t>
      </w:r>
    </w:p>
    <w:p>
      <w:pPr>
        <w:widowControl w:val="0"/>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五、验收方式</w:t>
      </w:r>
    </w:p>
    <w:p>
      <w:pPr>
        <w:widowControl w:val="0"/>
        <w:spacing w:line="44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（1）成交人提交验收申请后30天内进行验收，验收合格前提供工程师驻场服务。</w:t>
      </w:r>
    </w:p>
    <w:p>
      <w:pPr>
        <w:widowControl w:val="0"/>
        <w:spacing w:line="44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（2）项目建设完成后，建设方提出验收申请，由采购人组织验收。根据项目内容逐项核查建设情况。</w:t>
      </w:r>
    </w:p>
    <w:p>
      <w:pPr>
        <w:widowControl/>
        <w:autoSpaceDE w:val="0"/>
        <w:autoSpaceDN w:val="0"/>
        <w:adjustRightInd w:val="0"/>
        <w:snapToGrid w:val="0"/>
        <w:spacing w:line="440" w:lineRule="exact"/>
        <w:ind w:firstLine="482" w:firstLineChars="200"/>
        <w:jc w:val="left"/>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六、其他要求</w:t>
      </w:r>
    </w:p>
    <w:p>
      <w:pPr>
        <w:autoSpaceDE w:val="0"/>
        <w:autoSpaceDN w:val="0"/>
        <w:adjustRightInd w:val="0"/>
        <w:snapToGrid w:val="0"/>
        <w:spacing w:line="440" w:lineRule="exact"/>
        <w:ind w:firstLine="480" w:firstLineChars="200"/>
        <w:jc w:val="left"/>
        <w:rPr>
          <w:rFonts w:hint="eastAsia" w:ascii="宋体" w:hAnsi="宋体" w:eastAsia="宋体" w:cs="宋体"/>
          <w:snapToGrid w:val="0"/>
          <w:color w:val="auto"/>
          <w:sz w:val="24"/>
          <w:highlight w:val="none"/>
          <w:lang w:val="zh-CN"/>
        </w:rPr>
      </w:pPr>
      <w:r>
        <w:rPr>
          <w:rFonts w:hint="eastAsia" w:ascii="宋体" w:hAnsi="宋体" w:eastAsia="宋体" w:cs="宋体"/>
          <w:snapToGrid w:val="0"/>
          <w:color w:val="auto"/>
          <w:sz w:val="24"/>
          <w:highlight w:val="none"/>
        </w:rPr>
        <w:t>（1）</w:t>
      </w:r>
      <w:r>
        <w:rPr>
          <w:rFonts w:hint="eastAsia" w:ascii="宋体" w:hAnsi="宋体" w:eastAsia="宋体" w:cs="宋体"/>
          <w:snapToGrid w:val="0"/>
          <w:color w:val="auto"/>
          <w:sz w:val="24"/>
          <w:highlight w:val="none"/>
          <w:lang w:val="zh-CN"/>
        </w:rPr>
        <w:t>严格执行供需双方签订的技术合同，如有更改必须得到采购人的书面认可，若采购人不认可，则不可对已签订合同做任何改变。</w:t>
      </w:r>
    </w:p>
    <w:p>
      <w:pPr>
        <w:pStyle w:val="49"/>
        <w:rPr>
          <w:rFonts w:hint="eastAsia" w:ascii="宋体" w:hAnsi="宋体" w:eastAsia="宋体" w:cs="宋体"/>
          <w:sz w:val="24"/>
          <w:szCs w:val="24"/>
        </w:rPr>
      </w:pPr>
      <w:r>
        <w:rPr>
          <w:rFonts w:hint="eastAsia" w:ascii="宋体" w:hAnsi="宋体" w:eastAsia="宋体" w:cs="宋体"/>
          <w:b/>
          <w:bCs/>
          <w:snapToGrid w:val="0"/>
          <w:color w:val="auto"/>
          <w:sz w:val="24"/>
          <w:highlight w:val="none"/>
        </w:rPr>
        <w:t>（2）</w:t>
      </w:r>
      <w:r>
        <w:rPr>
          <w:rFonts w:hint="eastAsia" w:ascii="宋体" w:hAnsi="宋体" w:eastAsia="宋体" w:cs="宋体"/>
          <w:b/>
          <w:bCs/>
          <w:snapToGrid w:val="0"/>
          <w:color w:val="auto"/>
          <w:sz w:val="24"/>
          <w:highlight w:val="none"/>
          <w:lang w:val="zh-CN"/>
        </w:rPr>
        <w:t>如</w:t>
      </w:r>
      <w:r>
        <w:rPr>
          <w:rFonts w:hint="eastAsia" w:ascii="宋体" w:hAnsi="宋体" w:eastAsia="宋体" w:cs="宋体"/>
          <w:b/>
          <w:bCs/>
          <w:snapToGrid w:val="0"/>
          <w:color w:val="auto"/>
          <w:sz w:val="24"/>
          <w:highlight w:val="none"/>
        </w:rPr>
        <w:t>招标</w:t>
      </w:r>
      <w:r>
        <w:rPr>
          <w:rFonts w:hint="eastAsia" w:ascii="宋体" w:hAnsi="宋体" w:eastAsia="宋体" w:cs="宋体"/>
          <w:b/>
          <w:bCs/>
          <w:snapToGrid w:val="0"/>
          <w:color w:val="auto"/>
          <w:sz w:val="24"/>
          <w:highlight w:val="none"/>
          <w:lang w:val="zh-CN"/>
        </w:rPr>
        <w:t>文件中遗漏了必须具备</w:t>
      </w:r>
      <w:r>
        <w:rPr>
          <w:rFonts w:hint="eastAsia" w:ascii="宋体" w:hAnsi="宋体" w:eastAsia="宋体" w:cs="宋体"/>
          <w:b/>
          <w:bCs/>
          <w:snapToGrid w:val="0"/>
          <w:color w:val="auto"/>
          <w:sz w:val="24"/>
          <w:highlight w:val="none"/>
        </w:rPr>
        <w:t>的</w:t>
      </w:r>
      <w:r>
        <w:rPr>
          <w:rFonts w:hint="eastAsia" w:ascii="宋体" w:hAnsi="宋体" w:eastAsia="宋体" w:cs="宋体"/>
          <w:b/>
          <w:bCs/>
          <w:snapToGrid w:val="0"/>
          <w:color w:val="auto"/>
          <w:sz w:val="24"/>
          <w:highlight w:val="none"/>
          <w:lang w:val="zh-CN"/>
        </w:rPr>
        <w:t>服务，请成交人在</w:t>
      </w:r>
      <w:r>
        <w:rPr>
          <w:rFonts w:hint="eastAsia" w:ascii="宋体" w:hAnsi="宋体" w:eastAsia="宋体" w:cs="宋体"/>
          <w:b/>
          <w:bCs/>
          <w:snapToGrid w:val="0"/>
          <w:color w:val="auto"/>
          <w:sz w:val="24"/>
          <w:highlight w:val="none"/>
        </w:rPr>
        <w:t>投标</w:t>
      </w:r>
      <w:r>
        <w:rPr>
          <w:rFonts w:hint="eastAsia" w:ascii="宋体" w:hAnsi="宋体" w:eastAsia="宋体" w:cs="宋体"/>
          <w:b/>
          <w:bCs/>
          <w:snapToGrid w:val="0"/>
          <w:color w:val="auto"/>
          <w:sz w:val="24"/>
          <w:highlight w:val="none"/>
          <w:lang w:val="zh-CN"/>
        </w:rPr>
        <w:t>文件中指出，成交人有义务保证采购人系统的完整性、安全性、保密性。如项目实施过程中因缺少功能模块或服务导致采购人产品（系统）无法正常运行，成交人须承诺提供且另不收取费用。</w:t>
      </w:r>
    </w:p>
    <w:p>
      <w:pPr>
        <w:pStyle w:val="49"/>
        <w:rPr>
          <w:rFonts w:hint="eastAsia" w:ascii="宋体" w:hAnsi="宋体" w:eastAsia="宋体" w:cs="宋体"/>
          <w:sz w:val="24"/>
          <w:szCs w:val="24"/>
        </w:rPr>
      </w:pPr>
    </w:p>
    <w:p>
      <w:pPr>
        <w:pStyle w:val="49"/>
        <w:rPr>
          <w:rFonts w:hint="eastAsia" w:ascii="宋体" w:hAnsi="宋体" w:eastAsia="宋体" w:cs="宋体"/>
          <w:sz w:val="24"/>
          <w:szCs w:val="24"/>
        </w:rPr>
      </w:pPr>
    </w:p>
    <w:p>
      <w:pPr>
        <w:pStyle w:val="46"/>
        <w:numPr>
          <w:ilvl w:val="0"/>
          <w:numId w:val="19"/>
        </w:numPr>
        <w:spacing w:line="360" w:lineRule="auto"/>
        <w:rPr>
          <w:rStyle w:val="63"/>
          <w:rFonts w:hint="eastAsia" w:ascii="宋体" w:hAnsi="宋体" w:eastAsia="宋体" w:cs="宋体"/>
          <w:color w:val="auto"/>
          <w:sz w:val="36"/>
          <w:szCs w:val="36"/>
          <w:highlight w:val="none"/>
        </w:rPr>
      </w:pPr>
      <w:r>
        <w:rPr>
          <w:rStyle w:val="63"/>
          <w:rFonts w:hint="eastAsia" w:ascii="宋体" w:hAnsi="宋体" w:eastAsia="宋体" w:cs="宋体"/>
          <w:color w:val="auto"/>
          <w:sz w:val="36"/>
          <w:szCs w:val="36"/>
          <w:highlight w:val="none"/>
        </w:rPr>
        <w:t xml:space="preserve"> 磋商响应文件格式</w:t>
      </w:r>
      <w:bookmarkEnd w:id="441"/>
      <w:bookmarkEnd w:id="442"/>
      <w:bookmarkEnd w:id="443"/>
      <w:bookmarkEnd w:id="444"/>
      <w:bookmarkEnd w:id="445"/>
      <w:bookmarkEnd w:id="446"/>
    </w:p>
    <w:p>
      <w:pPr>
        <w:pStyle w:val="46"/>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159"/>
        <w:ind w:firstLine="6586" w:firstLineChars="2050"/>
        <w:rPr>
          <w:rFonts w:hint="eastAsia" w:ascii="宋体" w:hAnsi="宋体" w:eastAsia="宋体" w:cs="宋体"/>
          <w:bCs/>
          <w:color w:val="auto"/>
          <w:highlight w:val="none"/>
          <w:lang w:val="zh-CN"/>
        </w:rPr>
      </w:pPr>
      <w:bookmarkStart w:id="447" w:name="_Toc62196433"/>
      <w:r>
        <w:rPr>
          <w:rFonts w:hint="eastAsia" w:ascii="宋体" w:hAnsi="宋体" w:eastAsia="宋体" w:cs="宋体"/>
          <w:color w:val="auto"/>
          <w:highlight w:val="none"/>
          <w:lang w:val="zh-CN"/>
        </w:rPr>
        <w:t>正本/副本</w:t>
      </w:r>
      <w:bookmarkEnd w:id="447"/>
    </w:p>
    <w:p>
      <w:pPr>
        <w:autoSpaceDE w:val="0"/>
        <w:autoSpaceDN w:val="0"/>
        <w:adjustRightInd w:val="0"/>
        <w:snapToGrid w:val="0"/>
        <w:spacing w:line="360" w:lineRule="auto"/>
        <w:jc w:val="left"/>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政府采购项目</w:t>
      </w:r>
    </w:p>
    <w:p>
      <w:pPr>
        <w:autoSpaceDE w:val="0"/>
        <w:autoSpaceDN w:val="0"/>
        <w:adjustRightInd w:val="0"/>
        <w:snapToGrid w:val="0"/>
        <w:spacing w:line="360" w:lineRule="auto"/>
        <w:jc w:val="left"/>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采购项目编号：</w:t>
      </w:r>
    </w:p>
    <w:p>
      <w:pPr>
        <w:tabs>
          <w:tab w:val="left" w:pos="5670"/>
        </w:tabs>
        <w:autoSpaceDE w:val="0"/>
        <w:autoSpaceDN w:val="0"/>
        <w:adjustRightInd w:val="0"/>
        <w:snapToGrid w:val="0"/>
        <w:spacing w:line="360" w:lineRule="auto"/>
        <w:jc w:val="center"/>
        <w:rPr>
          <w:rFonts w:hint="eastAsia" w:ascii="宋体" w:hAnsi="宋体" w:eastAsia="宋体" w:cs="宋体"/>
          <w:color w:val="auto"/>
          <w:sz w:val="19"/>
          <w:szCs w:val="19"/>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19"/>
          <w:szCs w:val="19"/>
          <w:highlight w:val="none"/>
        </w:rPr>
      </w:pPr>
    </w:p>
    <w:p>
      <w:pPr>
        <w:tabs>
          <w:tab w:val="left" w:pos="5670"/>
        </w:tabs>
        <w:autoSpaceDE w:val="0"/>
        <w:autoSpaceDN w:val="0"/>
        <w:adjustRightInd w:val="0"/>
        <w:snapToGrid w:val="0"/>
        <w:spacing w:line="360" w:lineRule="auto"/>
        <w:jc w:val="center"/>
        <w:rPr>
          <w:rFonts w:hint="eastAsia" w:ascii="宋体" w:hAnsi="宋体" w:eastAsia="宋体" w:cs="宋体"/>
          <w:color w:val="auto"/>
          <w:sz w:val="19"/>
          <w:szCs w:val="19"/>
          <w:highlight w:val="none"/>
        </w:rPr>
      </w:pPr>
    </w:p>
    <w:p>
      <w:pPr>
        <w:autoSpaceDE w:val="0"/>
        <w:autoSpaceDN w:val="0"/>
        <w:adjustRightInd w:val="0"/>
        <w:snapToGrid w:val="0"/>
        <w:spacing w:line="360" w:lineRule="auto"/>
        <w:jc w:val="center"/>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西北大学第一医院DRG信息管理系统建设项目采购项目</w:t>
      </w: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36"/>
          <w:szCs w:val="36"/>
          <w:highlight w:val="none"/>
          <w:lang w:val="zh-CN"/>
        </w:rPr>
      </w:pPr>
    </w:p>
    <w:p>
      <w:pPr>
        <w:tabs>
          <w:tab w:val="left" w:pos="5670"/>
        </w:tabs>
        <w:autoSpaceDE w:val="0"/>
        <w:autoSpaceDN w:val="0"/>
        <w:adjustRightInd w:val="0"/>
        <w:snapToGrid w:val="0"/>
        <w:spacing w:line="360" w:lineRule="auto"/>
        <w:jc w:val="center"/>
        <w:rPr>
          <w:rFonts w:hint="eastAsia" w:ascii="宋体" w:hAnsi="宋体" w:eastAsia="宋体" w:cs="宋体"/>
          <w:b/>
          <w:bCs/>
          <w:color w:val="auto"/>
          <w:sz w:val="52"/>
          <w:szCs w:val="52"/>
          <w:highlight w:val="none"/>
          <w:lang w:val="zh-CN"/>
        </w:rPr>
      </w:pPr>
      <w:r>
        <w:rPr>
          <w:rFonts w:hint="eastAsia" w:ascii="宋体" w:hAnsi="宋体" w:eastAsia="宋体" w:cs="宋体"/>
          <w:b/>
          <w:bCs/>
          <w:color w:val="auto"/>
          <w:sz w:val="52"/>
          <w:szCs w:val="52"/>
          <w:highlight w:val="none"/>
          <w:lang w:val="zh-CN"/>
        </w:rPr>
        <w:t>磋商响应文件</w:t>
      </w:r>
    </w:p>
    <w:p>
      <w:pPr>
        <w:rPr>
          <w:rFonts w:hint="eastAsia" w:ascii="宋体" w:hAnsi="宋体" w:eastAsia="宋体" w:cs="宋体"/>
          <w:color w:val="auto"/>
          <w:highlight w:val="none"/>
        </w:rPr>
      </w:pPr>
    </w:p>
    <w:p>
      <w:pPr>
        <w:pStyle w:val="22"/>
        <w:rPr>
          <w:rFonts w:hint="eastAsia" w:ascii="宋体" w:hAnsi="宋体" w:eastAsia="宋体" w:cs="宋体"/>
          <w:color w:val="auto"/>
          <w:highlight w:val="none"/>
        </w:rPr>
      </w:pPr>
    </w:p>
    <w:p>
      <w:pPr>
        <w:pStyle w:val="22"/>
        <w:rPr>
          <w:rFonts w:hint="eastAsia" w:ascii="宋体" w:hAnsi="宋体" w:eastAsia="宋体" w:cs="宋体"/>
          <w:color w:val="auto"/>
          <w:highlight w:val="none"/>
        </w:rPr>
      </w:pPr>
    </w:p>
    <w:p>
      <w:pPr>
        <w:pStyle w:val="22"/>
        <w:rPr>
          <w:rFonts w:hint="eastAsia" w:ascii="宋体" w:hAnsi="宋体" w:eastAsia="宋体" w:cs="宋体"/>
          <w:color w:val="auto"/>
          <w:highlight w:val="none"/>
        </w:rPr>
      </w:pPr>
    </w:p>
    <w:p>
      <w:pPr>
        <w:autoSpaceDE w:val="0"/>
        <w:autoSpaceDN w:val="0"/>
        <w:adjustRightInd w:val="0"/>
        <w:snapToGrid w:val="0"/>
        <w:spacing w:line="360" w:lineRule="auto"/>
        <w:rPr>
          <w:rFonts w:hint="eastAsia" w:ascii="宋体" w:hAnsi="宋体" w:eastAsia="宋体" w:cs="宋体"/>
          <w:b/>
          <w:bCs/>
          <w:color w:val="auto"/>
          <w:sz w:val="32"/>
          <w:szCs w:val="32"/>
          <w:highlight w:val="none"/>
          <w:lang w:val="zh-CN"/>
        </w:rPr>
      </w:pPr>
    </w:p>
    <w:p>
      <w:pPr>
        <w:autoSpaceDE w:val="0"/>
        <w:autoSpaceDN w:val="0"/>
        <w:adjustRightInd w:val="0"/>
        <w:snapToGrid w:val="0"/>
        <w:spacing w:line="360" w:lineRule="auto"/>
        <w:rPr>
          <w:rFonts w:hint="eastAsia" w:ascii="宋体" w:hAnsi="宋体" w:eastAsia="宋体" w:cs="宋体"/>
          <w:b/>
          <w:bCs/>
          <w:color w:val="auto"/>
          <w:sz w:val="32"/>
          <w:szCs w:val="32"/>
          <w:highlight w:val="none"/>
          <w:lang w:val="zh-CN"/>
        </w:rPr>
      </w:pPr>
    </w:p>
    <w:p>
      <w:pPr>
        <w:autoSpaceDE w:val="0"/>
        <w:autoSpaceDN w:val="0"/>
        <w:adjustRightInd w:val="0"/>
        <w:snapToGrid w:val="0"/>
        <w:spacing w:line="360" w:lineRule="auto"/>
        <w:rPr>
          <w:rFonts w:hint="eastAsia" w:ascii="宋体" w:hAnsi="宋体" w:eastAsia="宋体" w:cs="宋体"/>
          <w:color w:val="auto"/>
          <w:sz w:val="30"/>
          <w:szCs w:val="30"/>
          <w:highlight w:val="none"/>
        </w:rPr>
      </w:pPr>
    </w:p>
    <w:p>
      <w:pPr>
        <w:bidi w:val="0"/>
        <w:rPr>
          <w:rFonts w:hint="eastAsia" w:ascii="宋体" w:hAnsi="宋体" w:eastAsia="宋体" w:cs="宋体"/>
        </w:rPr>
      </w:pPr>
    </w:p>
    <w:p>
      <w:pPr>
        <w:rPr>
          <w:rFonts w:hint="eastAsia" w:ascii="宋体" w:hAnsi="宋体" w:eastAsia="宋体" w:cs="宋体"/>
          <w:color w:val="auto"/>
          <w:sz w:val="30"/>
          <w:szCs w:val="30"/>
          <w:highlight w:val="none"/>
        </w:rPr>
      </w:pPr>
    </w:p>
    <w:p>
      <w:pPr>
        <w:bidi w:val="0"/>
        <w:rPr>
          <w:rFonts w:hint="eastAsia" w:ascii="宋体" w:hAnsi="宋体" w:eastAsia="宋体" w:cs="宋体"/>
          <w:lang w:val="en-US" w:eastAsia="zh-CN"/>
        </w:rPr>
      </w:pPr>
    </w:p>
    <w:p>
      <w:pPr>
        <w:autoSpaceDE w:val="0"/>
        <w:autoSpaceDN w:val="0"/>
        <w:adjustRightInd w:val="0"/>
        <w:snapToGrid w:val="0"/>
        <w:spacing w:line="360" w:lineRule="auto"/>
        <w:rPr>
          <w:rFonts w:hint="eastAsia" w:ascii="宋体" w:hAnsi="宋体" w:eastAsia="宋体" w:cs="宋体"/>
          <w:b/>
          <w:bCs/>
          <w:color w:val="auto"/>
          <w:sz w:val="32"/>
          <w:szCs w:val="32"/>
          <w:highlight w:val="none"/>
          <w:u w:val="single"/>
        </w:rPr>
      </w:pPr>
      <w:r>
        <w:rPr>
          <w:rFonts w:hint="eastAsia" w:ascii="宋体" w:hAnsi="宋体" w:eastAsia="宋体" w:cs="宋体"/>
          <w:color w:val="auto"/>
          <w:sz w:val="30"/>
          <w:szCs w:val="30"/>
          <w:highlight w:val="none"/>
        </w:rPr>
        <w:t xml:space="preserve">      </w:t>
      </w:r>
      <w:r>
        <w:rPr>
          <w:rFonts w:hint="eastAsia" w:ascii="宋体" w:hAnsi="宋体" w:eastAsia="宋体" w:cs="宋体"/>
          <w:b/>
          <w:bCs/>
          <w:color w:val="auto"/>
          <w:sz w:val="32"/>
          <w:szCs w:val="32"/>
          <w:highlight w:val="none"/>
          <w:lang w:val="zh-CN"/>
        </w:rPr>
        <w:t>供应商：</w:t>
      </w:r>
      <w:r>
        <w:rPr>
          <w:rFonts w:hint="eastAsia" w:ascii="宋体" w:hAnsi="宋体" w:eastAsia="宋体" w:cs="宋体"/>
          <w:b/>
          <w:bCs/>
          <w:color w:val="auto"/>
          <w:sz w:val="32"/>
          <w:szCs w:val="32"/>
          <w:highlight w:val="none"/>
          <w:u w:val="single"/>
        </w:rPr>
        <w:t xml:space="preserve">                   </w:t>
      </w:r>
    </w:p>
    <w:p>
      <w:pPr>
        <w:autoSpaceDE w:val="0"/>
        <w:autoSpaceDN w:val="0"/>
        <w:adjustRightInd w:val="0"/>
        <w:snapToGrid w:val="0"/>
        <w:spacing w:line="360" w:lineRule="auto"/>
        <w:rPr>
          <w:rFonts w:hint="eastAsia" w:ascii="宋体" w:hAnsi="宋体" w:eastAsia="宋体" w:cs="宋体"/>
          <w:b/>
          <w:bCs/>
          <w:color w:val="auto"/>
          <w:sz w:val="32"/>
          <w:szCs w:val="32"/>
          <w:highlight w:val="none"/>
        </w:rPr>
      </w:pPr>
    </w:p>
    <w:p>
      <w:pPr>
        <w:autoSpaceDE w:val="0"/>
        <w:autoSpaceDN w:val="0"/>
        <w:adjustRightInd w:val="0"/>
        <w:snapToGrid w:val="0"/>
        <w:spacing w:line="360" w:lineRule="auto"/>
        <w:ind w:firstLine="964" w:firstLineChars="300"/>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lang w:val="zh-CN"/>
        </w:rPr>
        <w:t>时</w:t>
      </w:r>
      <w:r>
        <w:rPr>
          <w:rFonts w:hint="eastAsia" w:ascii="宋体" w:hAnsi="宋体" w:eastAsia="宋体" w:cs="宋体"/>
          <w:b/>
          <w:bCs/>
          <w:color w:val="auto"/>
          <w:sz w:val="32"/>
          <w:szCs w:val="32"/>
          <w:highlight w:val="none"/>
        </w:rPr>
        <w:t xml:space="preserve">  </w:t>
      </w:r>
      <w:r>
        <w:rPr>
          <w:rFonts w:hint="eastAsia" w:ascii="宋体" w:hAnsi="宋体" w:eastAsia="宋体" w:cs="宋体"/>
          <w:b/>
          <w:bCs/>
          <w:color w:val="auto"/>
          <w:sz w:val="32"/>
          <w:szCs w:val="32"/>
          <w:highlight w:val="none"/>
          <w:lang w:val="zh-CN"/>
        </w:rPr>
        <w:t>间：</w:t>
      </w:r>
      <w:r>
        <w:rPr>
          <w:rFonts w:hint="eastAsia" w:ascii="宋体" w:hAnsi="宋体" w:eastAsia="宋体" w:cs="宋体"/>
          <w:b/>
          <w:bCs/>
          <w:color w:val="auto"/>
          <w:sz w:val="32"/>
          <w:szCs w:val="32"/>
          <w:highlight w:val="none"/>
          <w:u w:val="single"/>
        </w:rPr>
        <w:t xml:space="preserve">  </w:t>
      </w:r>
    </w:p>
    <w:p>
      <w:pPr>
        <w:pStyle w:val="22"/>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第一部分  身份证明文件</w:t>
      </w:r>
    </w:p>
    <w:p>
      <w:pPr>
        <w:spacing w:after="120"/>
        <w:rPr>
          <w:rFonts w:hint="eastAsia" w:ascii="宋体" w:hAnsi="宋体" w:eastAsia="宋体" w:cs="宋体"/>
          <w:b/>
          <w:bCs/>
          <w:color w:val="auto"/>
          <w:sz w:val="24"/>
          <w:szCs w:val="32"/>
          <w:highlight w:val="none"/>
          <w:lang w:val="en-US" w:eastAsia="zh-CN"/>
        </w:rPr>
      </w:pPr>
      <w:r>
        <w:rPr>
          <w:rFonts w:hint="eastAsia" w:ascii="宋体" w:hAnsi="宋体" w:eastAsia="宋体" w:cs="宋体"/>
          <w:b/>
          <w:bCs/>
          <w:color w:val="auto"/>
          <w:sz w:val="24"/>
          <w:szCs w:val="32"/>
          <w:highlight w:val="none"/>
          <w:lang w:val="en-US" w:eastAsia="zh-CN"/>
        </w:rPr>
        <w:t>格式一：</w:t>
      </w:r>
    </w:p>
    <w:p>
      <w:pPr>
        <w:widowControl/>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zh-CN"/>
        </w:rPr>
        <w:t>法定代表人（或单位负责人）授权</w:t>
      </w:r>
      <w:r>
        <w:rPr>
          <w:rFonts w:hint="eastAsia" w:ascii="宋体" w:hAnsi="宋体" w:eastAsia="宋体" w:cs="宋体"/>
          <w:b/>
          <w:bCs/>
          <w:color w:val="auto"/>
          <w:sz w:val="28"/>
          <w:szCs w:val="28"/>
          <w:highlight w:val="none"/>
        </w:rPr>
        <w:t>委托</w:t>
      </w:r>
      <w:r>
        <w:rPr>
          <w:rFonts w:hint="eastAsia" w:ascii="宋体" w:hAnsi="宋体" w:eastAsia="宋体" w:cs="宋体"/>
          <w:b/>
          <w:bCs/>
          <w:color w:val="auto"/>
          <w:sz w:val="28"/>
          <w:szCs w:val="28"/>
          <w:highlight w:val="none"/>
          <w:lang w:val="zh-CN"/>
        </w:rPr>
        <w:t>书</w:t>
      </w:r>
    </w:p>
    <w:p>
      <w:pPr>
        <w:autoSpaceDE w:val="0"/>
        <w:autoSpaceDN w:val="0"/>
        <w:adjustRightInd w:val="0"/>
        <w:spacing w:line="348" w:lineRule="auto"/>
        <w:ind w:firstLine="400"/>
        <w:rPr>
          <w:rFonts w:hint="eastAsia" w:ascii="宋体" w:hAnsi="宋体" w:eastAsia="宋体" w:cs="宋体"/>
          <w:b/>
          <w:bCs/>
          <w:color w:val="auto"/>
          <w:sz w:val="20"/>
          <w:highlight w:val="none"/>
        </w:rPr>
      </w:pPr>
    </w:p>
    <w:p>
      <w:pPr>
        <w:autoSpaceDE w:val="0"/>
        <w:autoSpaceDN w:val="0"/>
        <w:adjustRightInd w:val="0"/>
        <w:spacing w:line="348"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中盛精诚工程项目管理有限公司：</w:t>
      </w:r>
    </w:p>
    <w:p>
      <w:pPr>
        <w:autoSpaceDE w:val="0"/>
        <w:autoSpaceDN w:val="0"/>
        <w:adjustRightInd w:val="0"/>
        <w:spacing w:line="348" w:lineRule="auto"/>
        <w:ind w:firstLine="64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注册于</w:t>
      </w:r>
      <w:r>
        <w:rPr>
          <w:rFonts w:hint="eastAsia" w:ascii="宋体" w:hAnsi="宋体" w:eastAsia="宋体" w:cs="宋体"/>
          <w:color w:val="auto"/>
          <w:sz w:val="24"/>
          <w:highlight w:val="none"/>
          <w:u w:val="single"/>
          <w:lang w:val="zh-CN"/>
        </w:rPr>
        <w:t>（工商行政管理局名称）</w:t>
      </w:r>
      <w:r>
        <w:rPr>
          <w:rFonts w:hint="eastAsia" w:ascii="宋体" w:hAnsi="宋体" w:eastAsia="宋体" w:cs="宋体"/>
          <w:color w:val="auto"/>
          <w:sz w:val="24"/>
          <w:highlight w:val="none"/>
          <w:lang w:val="zh-CN"/>
        </w:rPr>
        <w:t>之</w:t>
      </w:r>
      <w:r>
        <w:rPr>
          <w:rFonts w:hint="eastAsia" w:ascii="宋体" w:hAnsi="宋体" w:eastAsia="宋体" w:cs="宋体"/>
          <w:color w:val="auto"/>
          <w:sz w:val="24"/>
          <w:highlight w:val="none"/>
          <w:u w:val="single"/>
          <w:lang w:val="zh-CN"/>
        </w:rPr>
        <w:t>（供应商全称）</w:t>
      </w:r>
      <w:r>
        <w:rPr>
          <w:rFonts w:hint="eastAsia" w:ascii="宋体" w:hAnsi="宋体" w:eastAsia="宋体" w:cs="宋体"/>
          <w:color w:val="auto"/>
          <w:sz w:val="24"/>
          <w:highlight w:val="none"/>
          <w:lang w:val="zh-CN"/>
        </w:rPr>
        <w:t>法人代表</w:t>
      </w:r>
      <w:r>
        <w:rPr>
          <w:rFonts w:hint="eastAsia" w:ascii="宋体" w:hAnsi="宋体" w:eastAsia="宋体" w:cs="宋体"/>
          <w:color w:val="auto"/>
          <w:sz w:val="24"/>
          <w:highlight w:val="none"/>
          <w:u w:val="single"/>
          <w:lang w:val="zh-CN"/>
        </w:rPr>
        <w:t>（姓名、职务）</w:t>
      </w:r>
      <w:r>
        <w:rPr>
          <w:rFonts w:hint="eastAsia" w:ascii="宋体" w:hAnsi="宋体" w:eastAsia="宋体" w:cs="宋体"/>
          <w:color w:val="auto"/>
          <w:sz w:val="24"/>
          <w:highlight w:val="none"/>
          <w:lang w:val="zh-CN"/>
        </w:rPr>
        <w:t>授权</w:t>
      </w:r>
      <w:r>
        <w:rPr>
          <w:rFonts w:hint="eastAsia" w:ascii="宋体" w:hAnsi="宋体" w:eastAsia="宋体" w:cs="宋体"/>
          <w:color w:val="auto"/>
          <w:sz w:val="24"/>
          <w:highlight w:val="none"/>
          <w:u w:val="single"/>
          <w:lang w:val="zh-CN"/>
        </w:rPr>
        <w:t>（被授权人姓名、职务）</w:t>
      </w:r>
      <w:r>
        <w:rPr>
          <w:rFonts w:hint="eastAsia" w:ascii="宋体" w:hAnsi="宋体" w:eastAsia="宋体" w:cs="宋体"/>
          <w:color w:val="auto"/>
          <w:sz w:val="24"/>
          <w:highlight w:val="none"/>
          <w:lang w:val="zh-CN"/>
        </w:rPr>
        <w:t>为本公司的合法代理人，就</w:t>
      </w:r>
      <w:r>
        <w:rPr>
          <w:rFonts w:hint="eastAsia" w:ascii="宋体" w:hAnsi="宋体" w:eastAsia="宋体" w:cs="宋体"/>
          <w:color w:val="auto"/>
          <w:sz w:val="24"/>
          <w:highlight w:val="none"/>
          <w:u w:val="single"/>
          <w:lang w:val="zh-CN"/>
        </w:rPr>
        <w:t>（项目名称）</w:t>
      </w:r>
      <w:r>
        <w:rPr>
          <w:rFonts w:hint="eastAsia" w:ascii="宋体" w:hAnsi="宋体" w:eastAsia="宋体" w:cs="宋体"/>
          <w:color w:val="auto"/>
          <w:sz w:val="24"/>
          <w:highlight w:val="none"/>
          <w:lang w:val="zh-CN"/>
        </w:rPr>
        <w:t>的磋商及合同的执行和完成，以本公司的名义处理一切与之有关的事宜。</w:t>
      </w:r>
    </w:p>
    <w:p>
      <w:pPr>
        <w:snapToGrid w:val="0"/>
        <w:spacing w:line="360" w:lineRule="auto"/>
        <w:ind w:firstLine="480" w:firstLineChars="200"/>
        <w:rPr>
          <w:rFonts w:hint="eastAsia" w:ascii="宋体" w:hAnsi="宋体" w:eastAsia="宋体" w:cs="宋体"/>
          <w:b/>
          <w:bCs/>
          <w:color w:val="auto"/>
          <w:sz w:val="24"/>
          <w:highlight w:val="none"/>
          <w:lang w:val="zh-CN"/>
        </w:rPr>
      </w:pPr>
      <w:r>
        <w:rPr>
          <w:rFonts w:hint="eastAsia" w:ascii="宋体" w:hAnsi="宋体" w:eastAsia="宋体" w:cs="宋体"/>
          <w:color w:val="auto"/>
          <w:sz w:val="24"/>
          <w:highlight w:val="none"/>
          <w:lang w:val="zh-CN"/>
        </w:rPr>
        <w:t>本授权自    年   月  日起生效。（</w:t>
      </w:r>
      <w:r>
        <w:rPr>
          <w:rFonts w:hint="eastAsia" w:ascii="宋体" w:hAnsi="宋体" w:eastAsia="宋体" w:cs="宋体"/>
          <w:b/>
          <w:color w:val="auto"/>
          <w:sz w:val="24"/>
          <w:highlight w:val="none"/>
          <w:lang w:val="zh-CN"/>
        </w:rPr>
        <w:t>提示：此日期不应晚于磋商响应函签署日期</w:t>
      </w:r>
      <w:r>
        <w:rPr>
          <w:rFonts w:hint="eastAsia" w:ascii="宋体" w:hAnsi="宋体" w:eastAsia="宋体" w:cs="宋体"/>
          <w:color w:val="auto"/>
          <w:sz w:val="24"/>
          <w:highlight w:val="none"/>
          <w:lang w:val="zh-CN"/>
        </w:rPr>
        <w:t>）</w:t>
      </w:r>
    </w:p>
    <w:p>
      <w:pPr>
        <w:autoSpaceDE w:val="0"/>
        <w:autoSpaceDN w:val="0"/>
        <w:adjustRightInd w:val="0"/>
        <w:spacing w:line="348" w:lineRule="auto"/>
        <w:rPr>
          <w:rFonts w:hint="eastAsia" w:ascii="宋体" w:hAnsi="宋体" w:eastAsia="宋体" w:cs="宋体"/>
          <w:color w:val="auto"/>
          <w:sz w:val="24"/>
          <w:highlight w:val="none"/>
        </w:rPr>
      </w:pPr>
    </w:p>
    <w:p>
      <w:pPr>
        <w:autoSpaceDE w:val="0"/>
        <w:autoSpaceDN w:val="0"/>
        <w:adjustRightInd w:val="0"/>
        <w:spacing w:line="348"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附：被授权人姓名：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年龄：</w:t>
      </w:r>
      <w:r>
        <w:rPr>
          <w:rFonts w:hint="eastAsia" w:ascii="宋体" w:hAnsi="宋体" w:eastAsia="宋体" w:cs="宋体"/>
          <w:color w:val="auto"/>
          <w:sz w:val="24"/>
          <w:highlight w:val="none"/>
          <w:u w:val="single"/>
        </w:rPr>
        <w:t xml:space="preserve">        </w:t>
      </w:r>
    </w:p>
    <w:p>
      <w:pPr>
        <w:autoSpaceDE w:val="0"/>
        <w:autoSpaceDN w:val="0"/>
        <w:adjustRightInd w:val="0"/>
        <w:spacing w:line="348"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职</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身份证号码：</w:t>
      </w:r>
      <w:r>
        <w:rPr>
          <w:rFonts w:hint="eastAsia" w:ascii="宋体" w:hAnsi="宋体" w:eastAsia="宋体" w:cs="宋体"/>
          <w:color w:val="auto"/>
          <w:sz w:val="24"/>
          <w:highlight w:val="none"/>
          <w:u w:val="single"/>
        </w:rPr>
        <w:t xml:space="preserve">             </w:t>
      </w:r>
    </w:p>
    <w:p>
      <w:pPr>
        <w:autoSpaceDE w:val="0"/>
        <w:autoSpaceDN w:val="0"/>
        <w:adjustRightInd w:val="0"/>
        <w:spacing w:line="348"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通讯地址：</w:t>
      </w:r>
      <w:r>
        <w:rPr>
          <w:rFonts w:hint="eastAsia" w:ascii="宋体" w:hAnsi="宋体" w:eastAsia="宋体" w:cs="宋体"/>
          <w:color w:val="auto"/>
          <w:sz w:val="24"/>
          <w:highlight w:val="none"/>
          <w:u w:val="single"/>
        </w:rPr>
        <w:t xml:space="preserve">                                      </w:t>
      </w:r>
    </w:p>
    <w:p>
      <w:pPr>
        <w:autoSpaceDE w:val="0"/>
        <w:autoSpaceDN w:val="0"/>
        <w:adjustRightInd w:val="0"/>
        <w:spacing w:line="348"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邮政编码：</w:t>
      </w:r>
      <w:r>
        <w:rPr>
          <w:rFonts w:hint="eastAsia" w:ascii="宋体" w:hAnsi="宋体" w:eastAsia="宋体" w:cs="宋体"/>
          <w:color w:val="auto"/>
          <w:sz w:val="24"/>
          <w:highlight w:val="none"/>
          <w:u w:val="single"/>
        </w:rPr>
        <w:t xml:space="preserve">                                      </w:t>
      </w:r>
    </w:p>
    <w:p>
      <w:pPr>
        <w:autoSpaceDE w:val="0"/>
        <w:autoSpaceDN w:val="0"/>
        <w:adjustRightInd w:val="0"/>
        <w:spacing w:line="348"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电</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传真：</w:t>
      </w:r>
      <w:r>
        <w:rPr>
          <w:rFonts w:hint="eastAsia" w:ascii="宋体" w:hAnsi="宋体" w:eastAsia="宋体" w:cs="宋体"/>
          <w:color w:val="auto"/>
          <w:sz w:val="24"/>
          <w:highlight w:val="none"/>
          <w:u w:val="single"/>
        </w:rPr>
        <w:t xml:space="preserve">           </w:t>
      </w:r>
    </w:p>
    <w:p>
      <w:pPr>
        <w:autoSpaceDE w:val="0"/>
        <w:autoSpaceDN w:val="0"/>
        <w:adjustRightInd w:val="0"/>
        <w:spacing w:line="348" w:lineRule="auto"/>
        <w:rPr>
          <w:rFonts w:hint="eastAsia" w:ascii="宋体" w:hAnsi="宋体" w:eastAsia="宋体" w:cs="宋体"/>
          <w:color w:val="auto"/>
          <w:sz w:val="24"/>
          <w:highlight w:val="none"/>
        </w:rPr>
      </w:pPr>
    </w:p>
    <w:p>
      <w:pPr>
        <w:autoSpaceDE w:val="0"/>
        <w:autoSpaceDN w:val="0"/>
        <w:adjustRightInd w:val="0"/>
        <w:spacing w:line="348"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rPr>
        <w:t>及</w:t>
      </w:r>
      <w:r>
        <w:rPr>
          <w:rFonts w:hint="eastAsia" w:ascii="宋体" w:hAnsi="宋体" w:eastAsia="宋体" w:cs="宋体"/>
          <w:color w:val="auto"/>
          <w:sz w:val="24"/>
          <w:highlight w:val="none"/>
          <w:lang w:val="zh-CN"/>
        </w:rPr>
        <w:t>授权代表身份证复印件</w:t>
      </w:r>
    </w:p>
    <w:tbl>
      <w:tblPr>
        <w:tblStyle w:val="50"/>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法定代表人身份证复印件</w:t>
            </w:r>
          </w:p>
          <w:p>
            <w:pPr>
              <w:autoSpaceDE w:val="0"/>
              <w:autoSpaceDN w:val="0"/>
              <w:adjustRightInd w:val="0"/>
              <w:spacing w:line="348"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48" w:lineRule="auto"/>
              <w:jc w:val="center"/>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授权代表身份证复印件</w:t>
            </w:r>
          </w:p>
          <w:p>
            <w:pPr>
              <w:autoSpaceDE w:val="0"/>
              <w:autoSpaceDN w:val="0"/>
              <w:adjustRightInd w:val="0"/>
              <w:spacing w:line="348" w:lineRule="auto"/>
              <w:jc w:val="cente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（正反面）</w:t>
            </w:r>
          </w:p>
        </w:tc>
      </w:tr>
    </w:tbl>
    <w:p>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adjustRightInd w:val="0"/>
        <w:snapToGrid w:val="0"/>
        <w:spacing w:line="360" w:lineRule="auto"/>
        <w:rPr>
          <w:rFonts w:hint="eastAsia" w:ascii="宋体" w:hAnsi="宋体" w:eastAsia="宋体" w:cs="宋体"/>
          <w:color w:val="auto"/>
          <w:sz w:val="24"/>
          <w:highlight w:val="none"/>
        </w:rPr>
      </w:pPr>
    </w:p>
    <w:p>
      <w:pPr>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                         法定代表人</w:t>
      </w:r>
    </w:p>
    <w:p>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（公章）：                       （签字）：</w:t>
      </w:r>
    </w:p>
    <w:p>
      <w:pPr>
        <w:spacing w:after="120"/>
        <w:rPr>
          <w:rFonts w:hint="eastAsia" w:ascii="宋体" w:hAnsi="宋体" w:eastAsia="宋体" w:cs="宋体"/>
          <w:color w:val="auto"/>
          <w:highlight w:val="none"/>
        </w:rPr>
      </w:pPr>
      <w:r>
        <w:rPr>
          <w:rFonts w:hint="eastAsia" w:ascii="宋体" w:hAnsi="宋体" w:eastAsia="宋体" w:cs="宋体"/>
          <w:color w:val="auto"/>
          <w:highlight w:val="none"/>
        </w:rPr>
        <w:br w:type="page"/>
      </w:r>
    </w:p>
    <w:p>
      <w:pPr>
        <w:autoSpaceDE w:val="0"/>
        <w:autoSpaceDN w:val="0"/>
        <w:adjustRightInd w:val="0"/>
        <w:jc w:val="left"/>
        <w:rPr>
          <w:rFonts w:hint="eastAsia" w:ascii="宋体" w:hAnsi="宋体" w:eastAsia="宋体" w:cs="宋体"/>
          <w:b/>
          <w:color w:val="auto"/>
          <w:kern w:val="0"/>
          <w:sz w:val="28"/>
          <w:szCs w:val="28"/>
          <w:highlight w:val="none"/>
          <w:lang w:val="en-US" w:eastAsia="zh-CN"/>
        </w:rPr>
      </w:pPr>
      <w:r>
        <w:rPr>
          <w:rFonts w:hint="eastAsia" w:ascii="宋体" w:hAnsi="宋体" w:eastAsia="宋体" w:cs="宋体"/>
          <w:b/>
          <w:color w:val="auto"/>
          <w:kern w:val="0"/>
          <w:sz w:val="28"/>
          <w:szCs w:val="28"/>
          <w:highlight w:val="none"/>
          <w:lang w:val="en-US" w:eastAsia="zh-CN"/>
        </w:rPr>
        <w:t>格式二：</w:t>
      </w:r>
    </w:p>
    <w:p>
      <w:pPr>
        <w:autoSpaceDE w:val="0"/>
        <w:autoSpaceDN w:val="0"/>
        <w:adjustRightInd w:val="0"/>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法定代表人</w:t>
      </w:r>
      <w:r>
        <w:rPr>
          <w:rFonts w:hint="eastAsia" w:ascii="宋体" w:hAnsi="宋体" w:eastAsia="宋体" w:cs="宋体"/>
          <w:b/>
          <w:bCs/>
          <w:color w:val="auto"/>
          <w:sz w:val="32"/>
          <w:szCs w:val="32"/>
          <w:highlight w:val="none"/>
          <w:lang w:val="zh-CN"/>
        </w:rPr>
        <w:t>（单位负责人）</w:t>
      </w:r>
      <w:r>
        <w:rPr>
          <w:rFonts w:hint="eastAsia" w:ascii="宋体" w:hAnsi="宋体" w:eastAsia="宋体" w:cs="宋体"/>
          <w:b/>
          <w:color w:val="auto"/>
          <w:kern w:val="0"/>
          <w:sz w:val="28"/>
          <w:szCs w:val="28"/>
          <w:highlight w:val="none"/>
        </w:rPr>
        <w:t>身份证明</w:t>
      </w: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供应商名称：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单位性质：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地    址： </w:t>
      </w:r>
      <w:r>
        <w:rPr>
          <w:rFonts w:hint="eastAsia" w:ascii="宋体" w:hAnsi="宋体" w:eastAsia="宋体" w:cs="宋体"/>
          <w:color w:val="auto"/>
          <w:kern w:val="0"/>
          <w:sz w:val="24"/>
          <w:highlight w:val="none"/>
          <w:u w:val="single"/>
        </w:rPr>
        <w:t xml:space="preserve">                       </w:t>
      </w: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成立时间：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w:t>
      </w: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经营期限：</w:t>
      </w: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性别：</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年龄：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职务：</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系</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（投标人名称）的法定代表人。</w:t>
      </w:r>
    </w:p>
    <w:p>
      <w:pPr>
        <w:autoSpaceDE w:val="0"/>
        <w:autoSpaceDN w:val="0"/>
        <w:adjustRightInd w:val="0"/>
        <w:spacing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特此证明。</w:t>
      </w: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jc w:val="left"/>
        <w:rPr>
          <w:rFonts w:hint="eastAsia" w:ascii="宋体" w:hAnsi="宋体" w:eastAsia="宋体" w:cs="宋体"/>
          <w:color w:val="auto"/>
          <w:kern w:val="0"/>
          <w:sz w:val="24"/>
          <w:highlight w:val="none"/>
        </w:rPr>
      </w:pPr>
    </w:p>
    <w:p>
      <w:pPr>
        <w:autoSpaceDE w:val="0"/>
        <w:autoSpaceDN w:val="0"/>
        <w:adjustRightInd w:val="0"/>
        <w:spacing w:line="360" w:lineRule="auto"/>
        <w:ind w:left="5399" w:leftChars="2571"/>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投标人：           （公章）</w:t>
      </w:r>
    </w:p>
    <w:p>
      <w:pPr>
        <w:autoSpaceDE w:val="0"/>
        <w:autoSpaceDN w:val="0"/>
        <w:adjustRightInd w:val="0"/>
        <w:spacing w:line="360" w:lineRule="auto"/>
        <w:ind w:left="5399" w:leftChars="2571"/>
        <w:jc w:val="left"/>
        <w:rPr>
          <w:rFonts w:hint="eastAsia" w:ascii="宋体" w:hAnsi="宋体" w:eastAsia="宋体" w:cs="宋体"/>
          <w:color w:val="auto"/>
          <w:kern w:val="0"/>
          <w:sz w:val="24"/>
          <w:highlight w:val="none"/>
        </w:rPr>
      </w:pPr>
    </w:p>
    <w:p>
      <w:pPr>
        <w:autoSpaceDE w:val="0"/>
        <w:autoSpaceDN w:val="0"/>
        <w:adjustRightInd w:val="0"/>
        <w:spacing w:line="360" w:lineRule="auto"/>
        <w:ind w:left="6659" w:leftChars="3171"/>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年  月  日</w:t>
      </w:r>
    </w:p>
    <w:p>
      <w:pPr>
        <w:rPr>
          <w:rFonts w:hint="eastAsia" w:ascii="宋体" w:hAnsi="宋体" w:eastAsia="宋体" w:cs="宋体"/>
          <w:b/>
          <w:bCs/>
          <w:color w:val="auto"/>
          <w:sz w:val="32"/>
          <w:szCs w:val="32"/>
          <w:highlight w:val="none"/>
          <w:lang w:val="zh-CN"/>
        </w:rPr>
      </w:pPr>
      <w:r>
        <w:rPr>
          <w:rFonts w:hint="eastAsia" w:ascii="宋体" w:hAnsi="宋体" w:eastAsia="宋体" w:cs="宋体"/>
          <w:color w:val="auto"/>
          <w:highlight w:val="none"/>
        </w:rPr>
        <w:br w:type="page"/>
      </w:r>
    </w:p>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第二部分  资格证明文件</w:t>
      </w:r>
    </w:p>
    <w:p>
      <w:pPr>
        <w:jc w:val="left"/>
        <w:outlineLvl w:val="2"/>
        <w:rPr>
          <w:rFonts w:hint="eastAsia" w:ascii="宋体" w:hAnsi="宋体" w:eastAsia="宋体" w:cs="宋体"/>
          <w:b/>
          <w:bCs/>
          <w:color w:val="auto"/>
          <w:sz w:val="24"/>
          <w:highlight w:val="none"/>
          <w:lang w:val="en-US" w:eastAsia="zh-CN"/>
        </w:rPr>
      </w:pPr>
      <w:bookmarkStart w:id="448" w:name="_Toc7005125"/>
      <w:r>
        <w:rPr>
          <w:rFonts w:hint="eastAsia" w:ascii="宋体" w:hAnsi="宋体" w:eastAsia="宋体" w:cs="宋体"/>
          <w:b/>
          <w:bCs/>
          <w:color w:val="auto"/>
          <w:sz w:val="24"/>
          <w:highlight w:val="none"/>
          <w:lang w:val="en-US" w:eastAsia="zh-CN"/>
        </w:rPr>
        <w:t>格式三：</w:t>
      </w:r>
    </w:p>
    <w:p>
      <w:pPr>
        <w:jc w:val="left"/>
        <w:outlineLvl w:val="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具备履行合同所必需的设备和专业技术能力承诺书</w:t>
      </w:r>
      <w:bookmarkEnd w:id="448"/>
      <w:r>
        <w:rPr>
          <w:rFonts w:hint="eastAsia" w:ascii="宋体" w:hAnsi="宋体" w:eastAsia="宋体" w:cs="宋体"/>
          <w:b/>
          <w:color w:val="auto"/>
          <w:sz w:val="24"/>
          <w:highlight w:val="none"/>
        </w:rPr>
        <w:t xml:space="preserve">                                                                                                                                                                                                                                                                                                                                                                                                                                                                                                                                                                                                                                                                                                      </w:t>
      </w:r>
    </w:p>
    <w:p>
      <w:pPr>
        <w:ind w:firstLine="480"/>
        <w:rPr>
          <w:rFonts w:hint="eastAsia" w:ascii="宋体" w:hAnsi="宋体" w:eastAsia="宋体" w:cs="宋体"/>
          <w:color w:val="auto"/>
          <w:kern w:val="0"/>
          <w:sz w:val="24"/>
          <w:highlight w:val="none"/>
        </w:rPr>
      </w:pPr>
    </w:p>
    <w:p>
      <w:pPr>
        <w:ind w:firstLine="480"/>
        <w:rPr>
          <w:rFonts w:hint="eastAsia" w:ascii="宋体" w:hAnsi="宋体" w:eastAsia="宋体" w:cs="宋体"/>
          <w:color w:val="auto"/>
          <w:kern w:val="0"/>
          <w:sz w:val="24"/>
          <w:highlight w:val="none"/>
        </w:rPr>
      </w:pPr>
    </w:p>
    <w:p>
      <w:pPr>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 xml:space="preserve">中盛精诚工程项目管理有限公司：  </w:t>
      </w:r>
      <w:r>
        <w:rPr>
          <w:rFonts w:hint="eastAsia" w:ascii="宋体" w:hAnsi="宋体" w:eastAsia="宋体" w:cs="宋体"/>
          <w:color w:val="auto"/>
          <w:kern w:val="0"/>
          <w:sz w:val="24"/>
          <w:highlight w:val="none"/>
          <w:u w:val="single"/>
        </w:rPr>
        <w:t xml:space="preserve"> </w:t>
      </w:r>
    </w:p>
    <w:p>
      <w:pPr>
        <w:ind w:firstLine="480"/>
        <w:rPr>
          <w:rFonts w:hint="eastAsia" w:ascii="宋体" w:hAnsi="宋体" w:eastAsia="宋体" w:cs="宋体"/>
          <w:color w:val="auto"/>
          <w:kern w:val="0"/>
          <w:sz w:val="24"/>
          <w:highlight w:val="none"/>
        </w:rPr>
      </w:pPr>
    </w:p>
    <w:p>
      <w:pPr>
        <w:ind w:firstLine="48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我公司承诺</w:t>
      </w:r>
      <w:r>
        <w:rPr>
          <w:rFonts w:hint="eastAsia" w:ascii="宋体" w:hAnsi="宋体" w:eastAsia="宋体" w:cs="宋体"/>
          <w:color w:val="auto"/>
          <w:sz w:val="24"/>
          <w:highlight w:val="none"/>
        </w:rPr>
        <w:t>具备履行合同所必需的设备和专业技术能力</w:t>
      </w:r>
      <w:r>
        <w:rPr>
          <w:rFonts w:hint="eastAsia" w:ascii="宋体" w:hAnsi="宋体" w:eastAsia="宋体" w:cs="宋体"/>
          <w:color w:val="auto"/>
          <w:kern w:val="0"/>
          <w:sz w:val="24"/>
          <w:highlight w:val="none"/>
        </w:rPr>
        <w:t>。</w:t>
      </w:r>
    </w:p>
    <w:p>
      <w:pPr>
        <w:ind w:firstLine="480"/>
        <w:rPr>
          <w:rFonts w:hint="eastAsia" w:ascii="宋体" w:hAnsi="宋体" w:eastAsia="宋体" w:cs="宋体"/>
          <w:b/>
          <w:color w:val="auto"/>
          <w:sz w:val="24"/>
          <w:highlight w:val="none"/>
        </w:rPr>
      </w:pPr>
    </w:p>
    <w:p>
      <w:pPr>
        <w:ind w:firstLine="480"/>
        <w:rPr>
          <w:rFonts w:hint="eastAsia" w:ascii="宋体" w:hAnsi="宋体" w:eastAsia="宋体" w:cs="宋体"/>
          <w:b/>
          <w:color w:val="auto"/>
          <w:sz w:val="24"/>
          <w:highlight w:val="none"/>
        </w:rPr>
      </w:pPr>
    </w:p>
    <w:p>
      <w:pPr>
        <w:ind w:firstLine="480"/>
        <w:rPr>
          <w:rFonts w:hint="eastAsia" w:ascii="宋体" w:hAnsi="宋体" w:eastAsia="宋体" w:cs="宋体"/>
          <w:b/>
          <w:color w:val="auto"/>
          <w:sz w:val="24"/>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供应商名称（公章）：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ind w:right="280"/>
        <w:rPr>
          <w:rFonts w:hint="eastAsia" w:ascii="宋体" w:hAnsi="宋体" w:eastAsia="宋体" w:cs="宋体"/>
          <w:color w:val="auto"/>
          <w:sz w:val="24"/>
          <w:highlight w:val="none"/>
        </w:rPr>
      </w:pPr>
    </w:p>
    <w:p>
      <w:pPr>
        <w:tabs>
          <w:tab w:val="left" w:pos="5580"/>
        </w:tabs>
        <w:spacing w:before="120" w:line="360" w:lineRule="auto"/>
        <w:ind w:firstLine="480" w:firstLineChars="200"/>
        <w:rPr>
          <w:rFonts w:hint="eastAsia" w:ascii="宋体" w:hAnsi="宋体" w:eastAsia="宋体" w:cs="宋体"/>
          <w:color w:val="auto"/>
          <w:sz w:val="24"/>
          <w:highlight w:val="none"/>
        </w:rPr>
      </w:pPr>
    </w:p>
    <w:p>
      <w:pPr>
        <w:widowControl/>
        <w:jc w:val="left"/>
        <w:rPr>
          <w:rFonts w:hint="eastAsia" w:ascii="宋体" w:hAnsi="宋体" w:eastAsia="宋体" w:cs="宋体"/>
          <w:b/>
          <w:color w:val="auto"/>
          <w:sz w:val="24"/>
          <w:highlight w:val="none"/>
        </w:rPr>
      </w:pPr>
    </w:p>
    <w:p>
      <w:pPr>
        <w:numPr>
          <w:ilvl w:val="0"/>
          <w:numId w:val="0"/>
        </w:numPr>
        <w:ind w:leftChars="0"/>
        <w:jc w:val="left"/>
        <w:outlineLvl w:val="2"/>
        <w:rPr>
          <w:rFonts w:hint="eastAsia" w:ascii="宋体" w:hAnsi="宋体" w:eastAsia="宋体" w:cs="宋体"/>
          <w:b/>
          <w:color w:val="auto"/>
          <w:sz w:val="24"/>
          <w:szCs w:val="22"/>
          <w:highlight w:val="none"/>
          <w:lang w:val="en-US" w:eastAsia="zh-CN"/>
        </w:rPr>
      </w:pPr>
      <w:bookmarkStart w:id="449" w:name="_Toc7005126"/>
      <w:r>
        <w:rPr>
          <w:rFonts w:hint="eastAsia" w:ascii="宋体" w:hAnsi="宋体" w:eastAsia="宋体" w:cs="宋体"/>
          <w:b/>
          <w:color w:val="auto"/>
          <w:sz w:val="24"/>
          <w:szCs w:val="22"/>
          <w:highlight w:val="none"/>
          <w:lang w:val="en-US" w:eastAsia="zh-CN"/>
        </w:rPr>
        <w:t>格式四：</w:t>
      </w:r>
    </w:p>
    <w:p>
      <w:pPr>
        <w:numPr>
          <w:ilvl w:val="0"/>
          <w:numId w:val="0"/>
        </w:numPr>
        <w:ind w:leftChars="0"/>
        <w:jc w:val="left"/>
        <w:outlineLvl w:val="2"/>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供应商参加政府采购活动前3年内在经营活动中没有重大违法记录的书面声明</w:t>
      </w:r>
      <w:bookmarkEnd w:id="449"/>
    </w:p>
    <w:p>
      <w:pPr>
        <w:jc w:val="center"/>
        <w:rPr>
          <w:rFonts w:hint="eastAsia" w:ascii="宋体" w:hAnsi="宋体" w:eastAsia="宋体" w:cs="宋体"/>
          <w:color w:val="auto"/>
          <w:sz w:val="24"/>
          <w:highlight w:val="none"/>
        </w:rPr>
      </w:pPr>
    </w:p>
    <w:p>
      <w:pPr>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声明函</w:t>
      </w:r>
    </w:p>
    <w:p>
      <w:pPr>
        <w:jc w:val="center"/>
        <w:rPr>
          <w:rFonts w:hint="eastAsia" w:ascii="宋体" w:hAnsi="宋体" w:eastAsia="宋体" w:cs="宋体"/>
          <w:color w:val="auto"/>
          <w:sz w:val="24"/>
          <w:highlight w:val="none"/>
        </w:rPr>
      </w:pPr>
    </w:p>
    <w:p>
      <w:pPr>
        <w:tabs>
          <w:tab w:val="left" w:pos="5580"/>
        </w:tabs>
        <w:spacing w:before="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中盛精诚工程项目管理有限公司：  </w:t>
      </w:r>
    </w:p>
    <w:p>
      <w:pPr>
        <w:tabs>
          <w:tab w:val="left" w:pos="5580"/>
        </w:tabs>
        <w:spacing w:before="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我公司郑重承诺在参加本项目政府采购活动前三年内，在经营活动中无重大违法记录。公司未受到行政处罚或责令停业、吊销许可证（或执照）；未处于财产被接管、冻结、破产状况。</w:t>
      </w:r>
    </w:p>
    <w:p>
      <w:pPr>
        <w:tabs>
          <w:tab w:val="left" w:pos="5580"/>
        </w:tabs>
        <w:spacing w:before="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pPr>
        <w:tabs>
          <w:tab w:val="left" w:pos="5580"/>
        </w:tabs>
        <w:spacing w:before="120" w:line="360" w:lineRule="auto"/>
        <w:ind w:firstLine="480" w:firstLineChars="200"/>
        <w:rPr>
          <w:rFonts w:hint="eastAsia" w:ascii="宋体" w:hAnsi="宋体" w:eastAsia="宋体" w:cs="宋体"/>
          <w:color w:val="auto"/>
          <w:sz w:val="24"/>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供应商名称（公章）：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spacing w:after="120"/>
        <w:rPr>
          <w:rFonts w:hint="eastAsia" w:ascii="宋体" w:hAnsi="宋体" w:eastAsia="宋体" w:cs="宋体"/>
          <w:color w:val="auto"/>
          <w:highlight w:val="none"/>
        </w:rPr>
      </w:pPr>
    </w:p>
    <w:p>
      <w:pPr>
        <w:rPr>
          <w:rFonts w:hint="eastAsia" w:ascii="宋体" w:hAnsi="宋体" w:eastAsia="宋体" w:cs="宋体"/>
          <w:color w:val="auto"/>
          <w:highlight w:val="none"/>
        </w:rPr>
      </w:pPr>
      <w:r>
        <w:rPr>
          <w:rFonts w:hint="eastAsia" w:ascii="宋体" w:hAnsi="宋体" w:eastAsia="宋体" w:cs="宋体"/>
          <w:color w:val="auto"/>
          <w:highlight w:val="none"/>
        </w:rPr>
        <w:br w:type="page"/>
      </w:r>
    </w:p>
    <w:p>
      <w:pPr>
        <w:numPr>
          <w:ilvl w:val="0"/>
          <w:numId w:val="0"/>
        </w:numPr>
        <w:ind w:leftChars="0"/>
        <w:jc w:val="left"/>
        <w:outlineLvl w:val="2"/>
        <w:rPr>
          <w:rFonts w:hint="eastAsia" w:ascii="宋体" w:hAnsi="宋体" w:eastAsia="宋体" w:cs="宋体"/>
          <w:b/>
          <w:color w:val="auto"/>
          <w:sz w:val="24"/>
          <w:szCs w:val="22"/>
          <w:highlight w:val="none"/>
          <w:lang w:val="en-US" w:eastAsia="zh-CN"/>
        </w:rPr>
      </w:pPr>
      <w:bookmarkStart w:id="450" w:name="_Toc7005127"/>
      <w:r>
        <w:rPr>
          <w:rFonts w:hint="eastAsia" w:ascii="宋体" w:hAnsi="宋体" w:eastAsia="宋体" w:cs="宋体"/>
          <w:b/>
          <w:color w:val="auto"/>
          <w:sz w:val="24"/>
          <w:szCs w:val="22"/>
          <w:highlight w:val="none"/>
          <w:lang w:val="en-US" w:eastAsia="zh-CN"/>
        </w:rPr>
        <w:t>格式四：</w:t>
      </w:r>
    </w:p>
    <w:p>
      <w:pPr>
        <w:numPr>
          <w:ilvl w:val="0"/>
          <w:numId w:val="0"/>
        </w:numPr>
        <w:ind w:leftChars="0"/>
        <w:jc w:val="left"/>
        <w:outlineLvl w:val="2"/>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供应商控股股东名称、控股公司的名称和存在管理、被管理关系的单位名称说明</w:t>
      </w:r>
      <w:bookmarkEnd w:id="450"/>
    </w:p>
    <w:p>
      <w:pPr>
        <w:ind w:firstLine="420"/>
        <w:rPr>
          <w:rFonts w:hint="eastAsia" w:ascii="宋体" w:hAnsi="宋体" w:eastAsia="宋体" w:cs="宋体"/>
          <w:color w:val="auto"/>
          <w:szCs w:val="21"/>
          <w:highlight w:val="none"/>
        </w:rPr>
      </w:pPr>
    </w:p>
    <w:p>
      <w:pPr>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中盛精诚工程项目管理有限公司：</w:t>
      </w:r>
    </w:p>
    <w:p>
      <w:pPr>
        <w:spacing w:after="120"/>
        <w:rPr>
          <w:rFonts w:hint="eastAsia" w:ascii="宋体" w:hAnsi="宋体" w:eastAsia="宋体" w:cs="宋体"/>
          <w:color w:val="auto"/>
          <w:highlight w:val="none"/>
        </w:rPr>
      </w:pPr>
    </w:p>
    <w:p>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与我方的法定代表人（单位负责人）为同一人的企业如下：</w:t>
      </w:r>
    </w:p>
    <w:p>
      <w:pPr>
        <w:ind w:firstLine="426"/>
        <w:rPr>
          <w:rFonts w:hint="eastAsia" w:ascii="宋体" w:hAnsi="宋体" w:eastAsia="宋体" w:cs="宋体"/>
          <w:color w:val="auto"/>
          <w:sz w:val="24"/>
          <w:highlight w:val="none"/>
        </w:rPr>
      </w:pPr>
    </w:p>
    <w:p>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我方的控股股东如下：</w:t>
      </w:r>
    </w:p>
    <w:p>
      <w:pPr>
        <w:ind w:firstLine="426"/>
        <w:rPr>
          <w:rFonts w:hint="eastAsia" w:ascii="宋体" w:hAnsi="宋体" w:eastAsia="宋体" w:cs="宋体"/>
          <w:color w:val="auto"/>
          <w:sz w:val="24"/>
          <w:highlight w:val="none"/>
        </w:rPr>
      </w:pPr>
    </w:p>
    <w:p>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我方直接控股的企业如下：</w:t>
      </w:r>
    </w:p>
    <w:p>
      <w:pPr>
        <w:ind w:firstLine="426"/>
        <w:rPr>
          <w:rFonts w:hint="eastAsia" w:ascii="宋体" w:hAnsi="宋体" w:eastAsia="宋体" w:cs="宋体"/>
          <w:color w:val="auto"/>
          <w:sz w:val="24"/>
          <w:highlight w:val="none"/>
        </w:rPr>
      </w:pPr>
    </w:p>
    <w:p>
      <w:pPr>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与我方存在管理、被管理关系的单位名称如下：</w:t>
      </w:r>
    </w:p>
    <w:p>
      <w:pPr>
        <w:ind w:firstLine="426"/>
        <w:rPr>
          <w:rFonts w:hint="eastAsia" w:ascii="宋体" w:hAnsi="宋体" w:eastAsia="宋体" w:cs="宋体"/>
          <w:color w:val="auto"/>
          <w:sz w:val="24"/>
          <w:highlight w:val="none"/>
        </w:rPr>
      </w:pPr>
    </w:p>
    <w:p>
      <w:pPr>
        <w:ind w:firstLine="426"/>
        <w:rPr>
          <w:rFonts w:hint="eastAsia" w:ascii="宋体" w:hAnsi="宋体" w:eastAsia="宋体" w:cs="宋体"/>
          <w:color w:val="auto"/>
          <w:szCs w:val="21"/>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供应商名称（公章）：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ind w:firstLine="420" w:firstLineChars="200"/>
        <w:rPr>
          <w:rFonts w:hint="eastAsia" w:ascii="宋体" w:hAnsi="宋体" w:eastAsia="宋体" w:cs="宋体"/>
          <w:color w:val="auto"/>
          <w:szCs w:val="21"/>
          <w:highlight w:val="none"/>
        </w:rPr>
      </w:pPr>
    </w:p>
    <w:p>
      <w:pPr>
        <w:ind w:firstLine="420" w:firstLineChars="200"/>
        <w:rPr>
          <w:rFonts w:hint="eastAsia" w:ascii="宋体" w:hAnsi="宋体" w:eastAsia="宋体" w:cs="宋体"/>
          <w:color w:val="auto"/>
          <w:szCs w:val="21"/>
          <w:highlight w:val="none"/>
        </w:rPr>
      </w:pPr>
    </w:p>
    <w:p>
      <w:pPr>
        <w:ind w:firstLine="420" w:firstLineChars="200"/>
        <w:rPr>
          <w:rFonts w:hint="eastAsia" w:ascii="宋体" w:hAnsi="宋体" w:eastAsia="宋体" w:cs="宋体"/>
          <w:color w:val="auto"/>
          <w:szCs w:val="21"/>
          <w:highlight w:val="none"/>
        </w:rPr>
      </w:pPr>
    </w:p>
    <w:p>
      <w:pPr>
        <w:numPr>
          <w:ilvl w:val="0"/>
          <w:numId w:val="0"/>
        </w:numPr>
        <w:ind w:leftChars="0"/>
        <w:jc w:val="left"/>
        <w:outlineLvl w:val="2"/>
        <w:rPr>
          <w:rFonts w:hint="eastAsia" w:ascii="宋体" w:hAnsi="宋体" w:eastAsia="宋体" w:cs="宋体"/>
          <w:b/>
          <w:color w:val="auto"/>
          <w:sz w:val="24"/>
          <w:szCs w:val="22"/>
          <w:highlight w:val="none"/>
          <w:lang w:val="en-US" w:eastAsia="zh-CN"/>
        </w:rPr>
      </w:pPr>
      <w:bookmarkStart w:id="451" w:name="_Toc7005128"/>
      <w:r>
        <w:rPr>
          <w:rFonts w:hint="eastAsia" w:ascii="宋体" w:hAnsi="宋体" w:eastAsia="宋体" w:cs="宋体"/>
          <w:b/>
          <w:color w:val="auto"/>
          <w:sz w:val="24"/>
          <w:szCs w:val="22"/>
          <w:highlight w:val="none"/>
          <w:lang w:val="en-US" w:eastAsia="zh-CN"/>
        </w:rPr>
        <w:t>格式五：</w:t>
      </w:r>
    </w:p>
    <w:p>
      <w:pPr>
        <w:numPr>
          <w:ilvl w:val="0"/>
          <w:numId w:val="0"/>
        </w:numPr>
        <w:ind w:leftChars="0"/>
        <w:jc w:val="left"/>
        <w:outlineLvl w:val="2"/>
        <w:rPr>
          <w:rFonts w:hint="eastAsia" w:ascii="宋体" w:hAnsi="宋体" w:eastAsia="宋体" w:cs="宋体"/>
          <w:b/>
          <w:color w:val="auto"/>
          <w:sz w:val="24"/>
          <w:szCs w:val="22"/>
          <w:highlight w:val="none"/>
        </w:rPr>
      </w:pPr>
      <w:r>
        <w:rPr>
          <w:rFonts w:hint="eastAsia" w:ascii="宋体" w:hAnsi="宋体" w:eastAsia="宋体" w:cs="宋体"/>
          <w:b/>
          <w:color w:val="auto"/>
          <w:sz w:val="24"/>
          <w:szCs w:val="22"/>
          <w:highlight w:val="none"/>
        </w:rPr>
        <w:t xml:space="preserve"> 供应商是否属于为本项目提供整体设计、规范编制或者项目管理、监理、检测等服务的供应商声明</w:t>
      </w:r>
      <w:bookmarkEnd w:id="451"/>
    </w:p>
    <w:p>
      <w:pPr>
        <w:ind w:firstLine="420"/>
        <w:rPr>
          <w:rFonts w:hint="eastAsia" w:ascii="宋体" w:hAnsi="宋体" w:eastAsia="宋体" w:cs="宋体"/>
          <w:color w:val="auto"/>
          <w:szCs w:val="21"/>
          <w:highlight w:val="none"/>
        </w:rPr>
      </w:pPr>
    </w:p>
    <w:p>
      <w:pPr>
        <w:spacing w:line="360" w:lineRule="auto"/>
        <w:rPr>
          <w:rFonts w:hint="eastAsia" w:ascii="宋体" w:hAnsi="宋体" w:eastAsia="宋体" w:cs="宋体"/>
          <w:color w:val="auto"/>
          <w:szCs w:val="21"/>
          <w:highlight w:val="none"/>
        </w:rPr>
      </w:pP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中盛精诚工程项目管理有限公司：</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eastAsia="宋体" w:cs="宋体"/>
          <w:color w:val="auto"/>
          <w:sz w:val="24"/>
          <w:highlight w:val="none"/>
          <w:u w:val="single"/>
        </w:rPr>
        <w:t xml:space="preserve"> 不属于 </w:t>
      </w:r>
      <w:r>
        <w:rPr>
          <w:rFonts w:hint="eastAsia" w:ascii="宋体" w:hAnsi="宋体" w:eastAsia="宋体" w:cs="宋体"/>
          <w:color w:val="auto"/>
          <w:sz w:val="24"/>
          <w:highlight w:val="none"/>
        </w:rPr>
        <w:t>为本项目提供整体设计、规范编制或者项目管理、监理、检测等服务的供应商。</w:t>
      </w:r>
    </w:p>
    <w:p>
      <w:pPr>
        <w:ind w:firstLine="426"/>
        <w:rPr>
          <w:rFonts w:hint="eastAsia" w:ascii="宋体" w:hAnsi="宋体" w:eastAsia="宋体" w:cs="宋体"/>
          <w:color w:val="auto"/>
          <w:sz w:val="24"/>
          <w:highlight w:val="none"/>
        </w:rPr>
      </w:pPr>
    </w:p>
    <w:p>
      <w:pPr>
        <w:ind w:firstLine="426"/>
        <w:rPr>
          <w:rFonts w:hint="eastAsia" w:ascii="宋体" w:hAnsi="宋体" w:eastAsia="宋体" w:cs="宋体"/>
          <w:color w:val="auto"/>
          <w:szCs w:val="21"/>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供应商名称（公章）：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widowControl/>
        <w:jc w:val="left"/>
        <w:rPr>
          <w:rFonts w:hint="eastAsia" w:ascii="宋体" w:hAnsi="宋体" w:eastAsia="宋体" w:cs="宋体"/>
          <w:color w:val="auto"/>
          <w:sz w:val="24"/>
          <w:szCs w:val="21"/>
          <w:highlight w:val="none"/>
          <w:u w:val="single"/>
        </w:rPr>
      </w:pPr>
    </w:p>
    <w:p>
      <w:pPr>
        <w:rPr>
          <w:rFonts w:hint="eastAsia" w:ascii="宋体" w:hAnsi="宋体" w:eastAsia="宋体" w:cs="宋体"/>
          <w:color w:val="auto"/>
          <w:sz w:val="24"/>
          <w:highlight w:val="none"/>
        </w:rPr>
      </w:pPr>
    </w:p>
    <w:p>
      <w:pPr>
        <w:spacing w:after="120"/>
        <w:rPr>
          <w:rFonts w:hint="eastAsia" w:ascii="宋体" w:hAnsi="宋体" w:eastAsia="宋体" w:cs="宋体"/>
          <w:b/>
          <w:color w:val="auto"/>
          <w:sz w:val="24"/>
          <w:highlight w:val="none"/>
        </w:rPr>
      </w:pPr>
      <w:bookmarkStart w:id="452" w:name="_Toc7005129"/>
    </w:p>
    <w:p>
      <w:pPr>
        <w:spacing w:after="120"/>
        <w:rPr>
          <w:rFonts w:hint="eastAsia" w:ascii="宋体" w:hAnsi="宋体" w:eastAsia="宋体" w:cs="宋体"/>
          <w:b/>
          <w:color w:val="auto"/>
          <w:sz w:val="24"/>
          <w:highlight w:val="none"/>
        </w:rPr>
      </w:pPr>
    </w:p>
    <w:p>
      <w:pPr>
        <w:spacing w:after="120"/>
        <w:rPr>
          <w:rFonts w:hint="eastAsia" w:ascii="宋体" w:hAnsi="宋体" w:eastAsia="宋体" w:cs="宋体"/>
          <w:b/>
          <w:color w:val="auto"/>
          <w:sz w:val="24"/>
          <w:highlight w:val="none"/>
        </w:rPr>
      </w:pPr>
    </w:p>
    <w:bookmarkEnd w:id="452"/>
    <w:p>
      <w:pPr>
        <w:pStyle w:val="22"/>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lang w:val="zh-CN"/>
        </w:rPr>
        <w:t>第</w:t>
      </w:r>
      <w:r>
        <w:rPr>
          <w:rFonts w:hint="eastAsia" w:ascii="宋体" w:hAnsi="宋体" w:eastAsia="宋体" w:cs="宋体"/>
          <w:b/>
          <w:bCs/>
          <w:color w:val="auto"/>
          <w:highlight w:val="none"/>
        </w:rPr>
        <w:t>三</w:t>
      </w:r>
      <w:r>
        <w:rPr>
          <w:rFonts w:hint="eastAsia" w:ascii="宋体" w:hAnsi="宋体" w:eastAsia="宋体" w:cs="宋体"/>
          <w:b/>
          <w:bCs/>
          <w:color w:val="auto"/>
          <w:highlight w:val="none"/>
          <w:lang w:val="zh-CN"/>
        </w:rPr>
        <w:t>部分</w:t>
      </w:r>
      <w:r>
        <w:rPr>
          <w:rFonts w:hint="eastAsia" w:ascii="宋体" w:hAnsi="宋体" w:eastAsia="宋体" w:cs="宋体"/>
          <w:b/>
          <w:bCs/>
          <w:color w:val="auto"/>
          <w:highlight w:val="none"/>
        </w:rPr>
        <w:t xml:space="preserve">  </w:t>
      </w:r>
      <w:r>
        <w:rPr>
          <w:rFonts w:hint="eastAsia" w:ascii="宋体" w:hAnsi="宋体" w:eastAsia="宋体" w:cs="宋体"/>
          <w:b/>
          <w:bCs/>
          <w:color w:val="auto"/>
          <w:highlight w:val="none"/>
          <w:lang w:val="zh-CN"/>
        </w:rPr>
        <w:t>磋商响应函</w:t>
      </w:r>
    </w:p>
    <w:p>
      <w:pPr>
        <w:autoSpaceDE w:val="0"/>
        <w:autoSpaceDN w:val="0"/>
        <w:adjustRightInd w:val="0"/>
        <w:snapToGrid w:val="0"/>
        <w:spacing w:line="312" w:lineRule="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 xml:space="preserve">  </w:t>
      </w:r>
    </w:p>
    <w:p>
      <w:pPr>
        <w:autoSpaceDE w:val="0"/>
        <w:autoSpaceDN w:val="0"/>
        <w:adjustRightInd w:val="0"/>
        <w:snapToGrid w:val="0"/>
        <w:spacing w:line="312"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zh-CN"/>
        </w:rPr>
        <w:t>中盛精诚工程项目管理有限公司：</w:t>
      </w:r>
    </w:p>
    <w:p>
      <w:pPr>
        <w:autoSpaceDE w:val="0"/>
        <w:autoSpaceDN w:val="0"/>
        <w:adjustRightInd w:val="0"/>
        <w:snapToGrid w:val="0"/>
        <w:spacing w:line="312"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 xml:space="preserve">我单位收到贵公司   </w:t>
      </w:r>
      <w:r>
        <w:rPr>
          <w:rFonts w:hint="eastAsia" w:ascii="宋体" w:hAnsi="宋体" w:eastAsia="宋体" w:cs="宋体"/>
          <w:color w:val="auto"/>
          <w:sz w:val="24"/>
          <w:highlight w:val="none"/>
          <w:u w:val="single"/>
          <w:lang w:val="zh-CN"/>
        </w:rPr>
        <w:t>（项目名称    ）</w:t>
      </w:r>
      <w:r>
        <w:rPr>
          <w:rFonts w:hint="eastAsia" w:ascii="宋体" w:hAnsi="宋体" w:eastAsia="宋体" w:cs="宋体"/>
          <w:color w:val="auto"/>
          <w:sz w:val="24"/>
          <w:highlight w:val="none"/>
          <w:lang w:val="zh-CN"/>
        </w:rPr>
        <w:t>竞争性磋商文件，经详细研究，我们决定参加本次磋商活动。为此，我方郑重声明以下诸点，并负法律责任：</w:t>
      </w:r>
    </w:p>
    <w:p>
      <w:pPr>
        <w:autoSpaceDE w:val="0"/>
        <w:autoSpaceDN w:val="0"/>
        <w:adjustRightInd w:val="0"/>
        <w:snapToGrid w:val="0"/>
        <w:spacing w:line="312"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rPr>
        <w:t>一</w:t>
      </w:r>
      <w:r>
        <w:rPr>
          <w:rFonts w:hint="eastAsia" w:ascii="宋体" w:hAnsi="宋体" w:eastAsia="宋体" w:cs="宋体"/>
          <w:color w:val="auto"/>
          <w:sz w:val="24"/>
          <w:highlight w:val="none"/>
          <w:lang w:val="zh-CN"/>
        </w:rPr>
        <w:t>、愿意按照竞争性磋商文件中的要求，提供采购产品及技术服务，完成合同的责任和义务。</w:t>
      </w:r>
    </w:p>
    <w:p>
      <w:pPr>
        <w:autoSpaceDE w:val="0"/>
        <w:autoSpaceDN w:val="0"/>
        <w:adjustRightInd w:val="0"/>
        <w:snapToGrid w:val="0"/>
        <w:spacing w:line="312" w:lineRule="auto"/>
        <w:ind w:left="885" w:leftChars="250" w:hanging="360" w:hanging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二</w:t>
      </w:r>
      <w:r>
        <w:rPr>
          <w:rFonts w:hint="eastAsia" w:ascii="宋体" w:hAnsi="宋体" w:eastAsia="宋体" w:cs="宋体"/>
          <w:color w:val="auto"/>
          <w:sz w:val="24"/>
          <w:highlight w:val="none"/>
          <w:lang w:val="zh-CN"/>
        </w:rPr>
        <w:t>、按竞争性磋商文件的规定，我公司的首次磋商响应报价为人民币（大写）：</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元），并对其后的磋商报价负法律责任。</w:t>
      </w:r>
    </w:p>
    <w:p>
      <w:pPr>
        <w:autoSpaceDE w:val="0"/>
        <w:autoSpaceDN w:val="0"/>
        <w:adjustRightInd w:val="0"/>
        <w:snapToGrid w:val="0"/>
        <w:spacing w:line="312"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rPr>
        <w:t>三</w:t>
      </w:r>
      <w:r>
        <w:rPr>
          <w:rFonts w:hint="eastAsia" w:ascii="宋体" w:hAnsi="宋体" w:eastAsia="宋体" w:cs="宋体"/>
          <w:color w:val="auto"/>
          <w:sz w:val="24"/>
          <w:highlight w:val="none"/>
          <w:lang w:val="zh-CN"/>
        </w:rPr>
        <w:t>、我方提交的响应文件正本一份、副本</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份、</w:t>
      </w:r>
      <w:r>
        <w:rPr>
          <w:rFonts w:hint="eastAsia" w:ascii="宋体" w:hAnsi="宋体" w:eastAsia="宋体" w:cs="宋体"/>
          <w:color w:val="auto"/>
          <w:sz w:val="24"/>
          <w:highlight w:val="none"/>
          <w:lang w:val="en-US" w:eastAsia="zh-CN"/>
        </w:rPr>
        <w:t>电子版一份</w:t>
      </w:r>
      <w:r>
        <w:rPr>
          <w:rFonts w:hint="eastAsia" w:ascii="宋体" w:hAnsi="宋体" w:eastAsia="宋体" w:cs="宋体"/>
          <w:color w:val="auto"/>
          <w:sz w:val="24"/>
          <w:highlight w:val="none"/>
          <w:lang w:val="zh-CN"/>
        </w:rPr>
        <w:t>。</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四</w:t>
      </w:r>
      <w:r>
        <w:rPr>
          <w:rFonts w:hint="eastAsia" w:ascii="宋体" w:hAnsi="宋体" w:eastAsia="宋体" w:cs="宋体"/>
          <w:color w:val="auto"/>
          <w:sz w:val="24"/>
          <w:highlight w:val="none"/>
          <w:lang w:val="zh-CN"/>
        </w:rPr>
        <w:t>、我方已详细阅读了竞争性磋商文件，完全理解并放弃提出含糊不清或易形成歧义的表述和资料。</w:t>
      </w:r>
    </w:p>
    <w:p>
      <w:pPr>
        <w:autoSpaceDE w:val="0"/>
        <w:autoSpaceDN w:val="0"/>
        <w:adjustRightInd w:val="0"/>
        <w:snapToGrid w:val="0"/>
        <w:spacing w:line="312"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五、如果我方在磋商有效期内撤销响应文件，则响应保证金将被贵方不予退还。</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六</w:t>
      </w:r>
      <w:r>
        <w:rPr>
          <w:rFonts w:hint="eastAsia" w:ascii="宋体" w:hAnsi="宋体" w:eastAsia="宋体" w:cs="宋体"/>
          <w:color w:val="auto"/>
          <w:sz w:val="24"/>
          <w:highlight w:val="none"/>
          <w:lang w:val="zh-CN"/>
        </w:rPr>
        <w:t>、同意向贵方提供可能要求的与本次磋商有关的任何证据或资料，且尊重磋商小组的评审结论和结果。</w:t>
      </w:r>
    </w:p>
    <w:p>
      <w:pPr>
        <w:autoSpaceDE w:val="0"/>
        <w:autoSpaceDN w:val="0"/>
        <w:adjustRightInd w:val="0"/>
        <w:snapToGrid w:val="0"/>
        <w:spacing w:line="312"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七、我方的响应文件有效期为自磋商之日起</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u w:val="single"/>
        </w:rPr>
        <w:t xml:space="preserve">60 </w:t>
      </w:r>
      <w:r>
        <w:rPr>
          <w:rFonts w:hint="eastAsia" w:ascii="宋体" w:hAnsi="宋体" w:eastAsia="宋体" w:cs="宋体"/>
          <w:color w:val="auto"/>
          <w:sz w:val="24"/>
          <w:highlight w:val="none"/>
          <w:lang w:val="zh-CN"/>
        </w:rPr>
        <w:t>个日历天。若我方成交，响应文件有效期延长至合同执行完毕。</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八</w:t>
      </w:r>
      <w:r>
        <w:rPr>
          <w:rFonts w:hint="eastAsia" w:ascii="宋体" w:hAnsi="宋体" w:eastAsia="宋体" w:cs="宋体"/>
          <w:color w:val="auto"/>
          <w:sz w:val="24"/>
          <w:highlight w:val="none"/>
          <w:lang w:val="zh-CN"/>
        </w:rPr>
        <w:t>、如我方成交：</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（1）我方承诺在收到成交通知书后，在磋商文件规定的期限内与采购人签订合同。</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（2）我方承诺按照磋商文件规定向你方递交履约保证金。作为履行合同的担保。</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（3）我方承诺按合同约定的期限和地点，提供符合磋商文件要求的全部的货物和服务。</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（4）我方保证在领取成交通知书前按要求支付成交服务费。</w:t>
      </w:r>
    </w:p>
    <w:p>
      <w:pPr>
        <w:autoSpaceDE w:val="0"/>
        <w:autoSpaceDN w:val="0"/>
        <w:adjustRightInd w:val="0"/>
        <w:snapToGrid w:val="0"/>
        <w:spacing w:line="312" w:lineRule="auto"/>
        <w:ind w:firstLine="63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九、有关于本响应文件的函电，请按下列地址联系。</w:t>
      </w:r>
    </w:p>
    <w:p>
      <w:pPr>
        <w:autoSpaceDE w:val="0"/>
        <w:autoSpaceDN w:val="0"/>
        <w:adjustRightInd w:val="0"/>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地</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址：</w:t>
      </w:r>
      <w:r>
        <w:rPr>
          <w:rFonts w:hint="eastAsia" w:ascii="宋体" w:hAnsi="宋体" w:eastAsia="宋体" w:cs="宋体"/>
          <w:color w:val="auto"/>
          <w:sz w:val="24"/>
          <w:highlight w:val="none"/>
        </w:rPr>
        <w:t>__________________________________________</w:t>
      </w:r>
    </w:p>
    <w:p>
      <w:pPr>
        <w:autoSpaceDE w:val="0"/>
        <w:autoSpaceDN w:val="0"/>
        <w:adjustRightInd w:val="0"/>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开户银行：</w:t>
      </w:r>
      <w:r>
        <w:rPr>
          <w:rFonts w:hint="eastAsia" w:ascii="宋体" w:hAnsi="宋体" w:eastAsia="宋体" w:cs="宋体"/>
          <w:color w:val="auto"/>
          <w:sz w:val="24"/>
          <w:highlight w:val="none"/>
        </w:rPr>
        <w:t>__________________________________________</w:t>
      </w:r>
    </w:p>
    <w:p>
      <w:pPr>
        <w:autoSpaceDE w:val="0"/>
        <w:autoSpaceDN w:val="0"/>
        <w:adjustRightInd w:val="0"/>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帐</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号：</w:t>
      </w:r>
      <w:r>
        <w:rPr>
          <w:rFonts w:hint="eastAsia" w:ascii="宋体" w:hAnsi="宋体" w:eastAsia="宋体" w:cs="宋体"/>
          <w:color w:val="auto"/>
          <w:sz w:val="24"/>
          <w:highlight w:val="none"/>
        </w:rPr>
        <w:t>__________________________________________</w:t>
      </w:r>
    </w:p>
    <w:p>
      <w:pPr>
        <w:autoSpaceDE w:val="0"/>
        <w:autoSpaceDN w:val="0"/>
        <w:adjustRightInd w:val="0"/>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电</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话：</w:t>
      </w:r>
      <w:r>
        <w:rPr>
          <w:rFonts w:hint="eastAsia" w:ascii="宋体" w:hAnsi="宋体" w:eastAsia="宋体" w:cs="宋体"/>
          <w:color w:val="auto"/>
          <w:sz w:val="24"/>
          <w:highlight w:val="none"/>
        </w:rPr>
        <w:t>_____________________</w:t>
      </w:r>
      <w:r>
        <w:rPr>
          <w:rFonts w:hint="eastAsia" w:ascii="宋体" w:hAnsi="宋体" w:eastAsia="宋体" w:cs="宋体"/>
          <w:color w:val="auto"/>
          <w:sz w:val="24"/>
          <w:highlight w:val="none"/>
          <w:lang w:val="zh-CN"/>
        </w:rPr>
        <w:t>传</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真：</w:t>
      </w:r>
      <w:r>
        <w:rPr>
          <w:rFonts w:hint="eastAsia" w:ascii="宋体" w:hAnsi="宋体" w:eastAsia="宋体" w:cs="宋体"/>
          <w:color w:val="auto"/>
          <w:sz w:val="24"/>
          <w:highlight w:val="none"/>
        </w:rPr>
        <w:t>________________</w:t>
      </w:r>
    </w:p>
    <w:p>
      <w:pPr>
        <w:pStyle w:val="22"/>
        <w:rPr>
          <w:rFonts w:hint="eastAsia" w:ascii="宋体" w:hAnsi="宋体" w:eastAsia="宋体" w:cs="宋体"/>
          <w:color w:val="auto"/>
          <w:highlight w:val="none"/>
        </w:rPr>
      </w:pPr>
    </w:p>
    <w:p>
      <w:pPr>
        <w:autoSpaceDE w:val="0"/>
        <w:autoSpaceDN w:val="0"/>
        <w:adjustRightInd w:val="0"/>
        <w:snapToGrid w:val="0"/>
        <w:spacing w:line="312" w:lineRule="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供应商全称（公章）：</w:t>
      </w:r>
    </w:p>
    <w:p>
      <w:pPr>
        <w:pStyle w:val="22"/>
        <w:rPr>
          <w:rFonts w:hint="eastAsia" w:ascii="宋体" w:hAnsi="宋体" w:eastAsia="宋体" w:cs="宋体"/>
          <w:color w:val="auto"/>
          <w:highlight w:val="none"/>
          <w:lang w:val="zh-CN"/>
        </w:rPr>
      </w:pPr>
    </w:p>
    <w:p>
      <w:pPr>
        <w:autoSpaceDE w:val="0"/>
        <w:autoSpaceDN w:val="0"/>
        <w:adjustRightInd w:val="0"/>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法定代表人或授权代表（签字）：</w:t>
      </w:r>
      <w:r>
        <w:rPr>
          <w:rFonts w:hint="eastAsia" w:ascii="宋体" w:hAnsi="宋体" w:eastAsia="宋体" w:cs="宋体"/>
          <w:color w:val="auto"/>
          <w:sz w:val="24"/>
          <w:highlight w:val="none"/>
        </w:rPr>
        <w:t>______________________________</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_____</w:t>
      </w:r>
      <w:r>
        <w:rPr>
          <w:rFonts w:hint="eastAsia" w:ascii="宋体" w:hAnsi="宋体" w:eastAsia="宋体" w:cs="宋体"/>
          <w:color w:val="auto"/>
          <w:sz w:val="24"/>
          <w:highlight w:val="none"/>
          <w:lang w:val="zh-CN"/>
        </w:rPr>
        <w:t>年</w:t>
      </w:r>
      <w:r>
        <w:rPr>
          <w:rFonts w:hint="eastAsia" w:ascii="宋体" w:hAnsi="宋体" w:eastAsia="宋体" w:cs="宋体"/>
          <w:color w:val="auto"/>
          <w:sz w:val="24"/>
          <w:highlight w:val="none"/>
        </w:rPr>
        <w:t>_____</w:t>
      </w:r>
      <w:r>
        <w:rPr>
          <w:rFonts w:hint="eastAsia" w:ascii="宋体" w:hAnsi="宋体" w:eastAsia="宋体" w:cs="宋体"/>
          <w:color w:val="auto"/>
          <w:sz w:val="24"/>
          <w:highlight w:val="none"/>
          <w:lang w:val="zh-CN"/>
        </w:rPr>
        <w:t>月</w:t>
      </w:r>
      <w:r>
        <w:rPr>
          <w:rFonts w:hint="eastAsia" w:ascii="宋体" w:hAnsi="宋体" w:eastAsia="宋体" w:cs="宋体"/>
          <w:color w:val="auto"/>
          <w:sz w:val="24"/>
          <w:highlight w:val="none"/>
        </w:rPr>
        <w:t>_____</w:t>
      </w:r>
      <w:r>
        <w:rPr>
          <w:rFonts w:hint="eastAsia" w:ascii="宋体" w:hAnsi="宋体" w:eastAsia="宋体" w:cs="宋体"/>
          <w:color w:val="auto"/>
          <w:sz w:val="24"/>
          <w:highlight w:val="none"/>
          <w:lang w:val="zh-CN"/>
        </w:rPr>
        <w:t>日</w:t>
      </w:r>
    </w:p>
    <w:p>
      <w:pPr>
        <w:pStyle w:val="22"/>
        <w:rPr>
          <w:rFonts w:hint="eastAsia" w:ascii="宋体" w:hAnsi="宋体" w:eastAsia="宋体" w:cs="宋体"/>
          <w:color w:val="auto"/>
          <w:highlight w:val="none"/>
        </w:rPr>
      </w:pPr>
    </w:p>
    <w:p>
      <w:pPr>
        <w:pStyle w:val="196"/>
        <w:ind w:firstLine="2640" w:firstLineChars="1100"/>
        <w:rPr>
          <w:rFonts w:hint="eastAsia" w:ascii="宋体" w:hAnsi="宋体" w:eastAsia="宋体" w:cs="宋体"/>
          <w:b/>
          <w:bCs/>
          <w:color w:val="auto"/>
          <w:sz w:val="32"/>
          <w:szCs w:val="32"/>
          <w:highlight w:val="none"/>
        </w:rPr>
      </w:pPr>
      <w:bookmarkStart w:id="453" w:name="_Hlt520356241"/>
      <w:bookmarkEnd w:id="453"/>
      <w:r>
        <w:rPr>
          <w:rFonts w:hint="eastAsia" w:ascii="宋体" w:hAnsi="宋体" w:eastAsia="宋体" w:cs="宋体"/>
          <w:color w:val="auto"/>
          <w:highlight w:val="none"/>
        </w:rPr>
        <w:br w:type="page"/>
      </w:r>
      <w:bookmarkStart w:id="454" w:name="_Toc256342154"/>
      <w:bookmarkStart w:id="455" w:name="_Toc232395224"/>
      <w:bookmarkStart w:id="456" w:name="_Toc232176284"/>
      <w:bookmarkStart w:id="457" w:name="_Toc8496"/>
      <w:bookmarkStart w:id="458" w:name="_Toc415499901"/>
      <w:bookmarkStart w:id="459" w:name="_Toc249515371"/>
      <w:bookmarkStart w:id="460" w:name="_Toc230583554"/>
      <w:bookmarkStart w:id="461" w:name="_Toc249525252"/>
      <w:bookmarkStart w:id="462" w:name="_Toc230099805"/>
      <w:bookmarkStart w:id="463" w:name="_Toc230013640"/>
      <w:r>
        <w:rPr>
          <w:rFonts w:hint="eastAsia" w:ascii="宋体" w:hAnsi="宋体" w:eastAsia="宋体" w:cs="宋体"/>
          <w:b/>
          <w:bCs/>
          <w:color w:val="auto"/>
          <w:kern w:val="2"/>
          <w:sz w:val="32"/>
          <w:szCs w:val="32"/>
          <w:highlight w:val="none"/>
          <w:lang w:val="zh-CN"/>
        </w:rPr>
        <w:t>第</w:t>
      </w:r>
      <w:r>
        <w:rPr>
          <w:rFonts w:hint="eastAsia" w:ascii="宋体" w:hAnsi="宋体" w:eastAsia="宋体" w:cs="宋体"/>
          <w:b/>
          <w:bCs/>
          <w:color w:val="auto"/>
          <w:kern w:val="2"/>
          <w:sz w:val="32"/>
          <w:szCs w:val="32"/>
          <w:highlight w:val="none"/>
        </w:rPr>
        <w:t>四</w:t>
      </w:r>
      <w:r>
        <w:rPr>
          <w:rFonts w:hint="eastAsia" w:ascii="宋体" w:hAnsi="宋体" w:eastAsia="宋体" w:cs="宋体"/>
          <w:b/>
          <w:bCs/>
          <w:color w:val="auto"/>
          <w:kern w:val="2"/>
          <w:sz w:val="32"/>
          <w:szCs w:val="32"/>
          <w:highlight w:val="none"/>
          <w:lang w:val="zh-CN"/>
        </w:rPr>
        <w:t>部分  磋商响应报价表</w:t>
      </w:r>
    </w:p>
    <w:p>
      <w:pPr>
        <w:autoSpaceDE w:val="0"/>
        <w:autoSpaceDN w:val="0"/>
        <w:adjustRightInd w:val="0"/>
        <w:snapToGrid w:val="0"/>
        <w:spacing w:line="360" w:lineRule="auto"/>
        <w:jc w:val="center"/>
        <w:rPr>
          <w:rFonts w:hint="eastAsia" w:ascii="宋体" w:hAnsi="宋体" w:eastAsia="宋体" w:cs="宋体"/>
          <w:b/>
          <w:bCs/>
          <w:color w:val="auto"/>
          <w:sz w:val="32"/>
          <w:szCs w:val="32"/>
          <w:highlight w:val="none"/>
        </w:rPr>
      </w:pP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首次响应</w:t>
      </w:r>
      <w:r>
        <w:rPr>
          <w:rFonts w:hint="eastAsia" w:ascii="宋体" w:hAnsi="宋体" w:eastAsia="宋体" w:cs="宋体"/>
          <w:b/>
          <w:bCs/>
          <w:color w:val="auto"/>
          <w:sz w:val="28"/>
          <w:szCs w:val="36"/>
          <w:highlight w:val="none"/>
          <w:lang w:val="zh-CN"/>
        </w:rPr>
        <w:t>报价表</w:t>
      </w:r>
    </w:p>
    <w:p>
      <w:pPr>
        <w:autoSpaceDE w:val="0"/>
        <w:autoSpaceDN w:val="0"/>
        <w:adjustRightInd w:val="0"/>
        <w:snapToGrid w:val="0"/>
        <w:spacing w:line="360" w:lineRule="auto"/>
        <w:jc w:val="right"/>
        <w:rPr>
          <w:rFonts w:hint="eastAsia" w:ascii="宋体" w:hAnsi="宋体" w:eastAsia="宋体" w:cs="宋体"/>
          <w:color w:val="auto"/>
          <w:sz w:val="24"/>
          <w:highlight w:val="none"/>
          <w:lang w:val="zh-CN"/>
        </w:rPr>
      </w:pPr>
      <w:r>
        <w:rPr>
          <w:rFonts w:hint="eastAsia" w:ascii="宋体" w:hAnsi="宋体" w:eastAsia="宋体" w:cs="宋体"/>
          <w:color w:val="auto"/>
          <w:sz w:val="32"/>
          <w:szCs w:val="32"/>
          <w:highlight w:val="none"/>
        </w:rPr>
        <w:t xml:space="preserve">    </w:t>
      </w:r>
    </w:p>
    <w:tbl>
      <w:tblPr>
        <w:tblStyle w:val="5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82"/>
        <w:gridCol w:w="6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color w:val="auto"/>
                <w:sz w:val="24"/>
                <w:highlight w:val="none"/>
                <w:lang w:val="zh-CN"/>
              </w:rPr>
              <w:br w:type="page"/>
            </w:r>
            <w:r>
              <w:rPr>
                <w:rFonts w:hint="eastAsia" w:ascii="宋体" w:hAnsi="宋体" w:eastAsia="宋体" w:cs="宋体"/>
                <w:b/>
                <w:color w:val="auto"/>
                <w:sz w:val="24"/>
                <w:highlight w:val="none"/>
              </w:rPr>
              <w:t>项目编号及名称</w:t>
            </w:r>
          </w:p>
        </w:tc>
        <w:tc>
          <w:tcPr>
            <w:tcW w:w="6697" w:type="dxa"/>
            <w:vAlign w:val="center"/>
          </w:tcPr>
          <w:p>
            <w:pPr>
              <w:pStyle w:val="2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pStyle w:val="2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包号：（如有）          </w:t>
            </w:r>
            <w:r>
              <w:rPr>
                <w:rFonts w:hint="eastAsia" w:ascii="宋体" w:hAnsi="宋体" w:eastAsia="宋体" w:cs="宋体"/>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响应总价</w:t>
            </w:r>
          </w:p>
        </w:tc>
        <w:tc>
          <w:tcPr>
            <w:tcW w:w="6697" w:type="dxa"/>
            <w:vAlign w:val="center"/>
          </w:tcPr>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整（小写：¥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服务</w:t>
            </w:r>
            <w:r>
              <w:rPr>
                <w:rFonts w:hint="eastAsia" w:ascii="宋体" w:hAnsi="宋体" w:eastAsia="宋体" w:cs="宋体"/>
                <w:b/>
                <w:color w:val="auto"/>
                <w:sz w:val="24"/>
                <w:highlight w:val="none"/>
              </w:rPr>
              <w:t>期</w:t>
            </w:r>
          </w:p>
        </w:tc>
        <w:tc>
          <w:tcPr>
            <w:tcW w:w="6697" w:type="dxa"/>
            <w:vAlign w:val="center"/>
          </w:tcPr>
          <w:p>
            <w:pPr>
              <w:pStyle w:val="22"/>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服务</w:t>
            </w:r>
            <w:r>
              <w:rPr>
                <w:rFonts w:hint="eastAsia" w:ascii="宋体" w:hAnsi="宋体" w:eastAsia="宋体" w:cs="宋体"/>
                <w:b/>
                <w:color w:val="auto"/>
                <w:sz w:val="24"/>
                <w:highlight w:val="none"/>
              </w:rPr>
              <w:t>地点</w:t>
            </w:r>
          </w:p>
        </w:tc>
        <w:tc>
          <w:tcPr>
            <w:tcW w:w="6697" w:type="dxa"/>
            <w:vAlign w:val="center"/>
          </w:tcPr>
          <w:p>
            <w:pPr>
              <w:pStyle w:val="22"/>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项目负责人</w:t>
            </w:r>
          </w:p>
        </w:tc>
        <w:tc>
          <w:tcPr>
            <w:tcW w:w="6697" w:type="dxa"/>
            <w:vAlign w:val="center"/>
          </w:tcPr>
          <w:p>
            <w:pPr>
              <w:pStyle w:val="22"/>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882" w:type="dxa"/>
            <w:vAlign w:val="center"/>
          </w:tcPr>
          <w:p>
            <w:pPr>
              <w:pStyle w:val="22"/>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w:t>
            </w:r>
          </w:p>
        </w:tc>
        <w:tc>
          <w:tcPr>
            <w:tcW w:w="6697" w:type="dxa"/>
            <w:vAlign w:val="center"/>
          </w:tcPr>
          <w:p>
            <w:pPr>
              <w:pStyle w:val="22"/>
              <w:rPr>
                <w:rFonts w:hint="eastAsia" w:ascii="宋体" w:hAnsi="宋体" w:eastAsia="宋体" w:cs="宋体"/>
                <w:color w:val="auto"/>
                <w:sz w:val="24"/>
                <w:highlight w:val="none"/>
              </w:rPr>
            </w:pPr>
          </w:p>
        </w:tc>
      </w:tr>
    </w:tbl>
    <w:p>
      <w:pPr>
        <w:pStyle w:val="22"/>
        <w:rPr>
          <w:rFonts w:hint="eastAsia" w:ascii="宋体" w:hAnsi="宋体" w:eastAsia="宋体" w:cs="宋体"/>
          <w:color w:val="auto"/>
          <w:highlight w:val="none"/>
          <w:lang w:val="zh-CN"/>
        </w:rPr>
      </w:pPr>
    </w:p>
    <w:p>
      <w:pPr>
        <w:autoSpaceDE w:val="0"/>
        <w:autoSpaceDN w:val="0"/>
        <w:adjustRightInd w:val="0"/>
        <w:snapToGrid w:val="0"/>
        <w:spacing w:line="360" w:lineRule="auto"/>
        <w:ind w:firstLine="1080" w:firstLineChars="45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供应商</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highlight w:val="none"/>
          <w:lang w:val="zh-CN"/>
        </w:rPr>
        <w:t>授权代表</w:t>
      </w:r>
    </w:p>
    <w:p>
      <w:pPr>
        <w:autoSpaceDE w:val="0"/>
        <w:autoSpaceDN w:val="0"/>
        <w:adjustRightInd w:val="0"/>
        <w:snapToGrid w:val="0"/>
        <w:spacing w:line="360" w:lineRule="auto"/>
        <w:ind w:firstLine="960" w:firstLineChars="4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（公章）：                            （</w:t>
      </w:r>
      <w:r>
        <w:rPr>
          <w:rFonts w:hint="eastAsia" w:ascii="宋体" w:hAnsi="宋体" w:eastAsia="宋体" w:cs="宋体"/>
          <w:b/>
          <w:color w:val="auto"/>
          <w:sz w:val="24"/>
          <w:highlight w:val="none"/>
          <w:lang w:val="zh-CN"/>
        </w:rPr>
        <w:t>签字</w:t>
      </w:r>
      <w:r>
        <w:rPr>
          <w:rFonts w:hint="eastAsia" w:ascii="宋体" w:hAnsi="宋体" w:eastAsia="宋体" w:cs="宋体"/>
          <w:color w:val="auto"/>
          <w:sz w:val="24"/>
          <w:highlight w:val="none"/>
          <w:lang w:val="zh-CN"/>
        </w:rPr>
        <w:t>）：</w:t>
      </w:r>
    </w:p>
    <w:p>
      <w:pPr>
        <w:autoSpaceDE w:val="0"/>
        <w:autoSpaceDN w:val="0"/>
        <w:adjustRightInd w:val="0"/>
        <w:snapToGrid w:val="0"/>
        <w:spacing w:line="360" w:lineRule="auto"/>
        <w:rPr>
          <w:rFonts w:hint="eastAsia" w:ascii="宋体" w:hAnsi="宋体" w:eastAsia="宋体" w:cs="宋体"/>
          <w:color w:val="auto"/>
          <w:sz w:val="24"/>
          <w:highlight w:val="none"/>
          <w:lang w:val="zh-CN"/>
        </w:rPr>
      </w:pPr>
    </w:p>
    <w:p>
      <w:pPr>
        <w:autoSpaceDE w:val="0"/>
        <w:autoSpaceDN w:val="0"/>
        <w:adjustRightInd w:val="0"/>
        <w:snapToGrid w:val="0"/>
        <w:spacing w:line="360" w:lineRule="auto"/>
        <w:ind w:firstLine="240" w:firstLineChars="1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年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月</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日</w:t>
      </w:r>
    </w:p>
    <w:p>
      <w:pPr>
        <w:adjustRightInd w:val="0"/>
        <w:snapToGrid w:val="0"/>
        <w:spacing w:line="360" w:lineRule="auto"/>
        <w:jc w:val="center"/>
        <w:rPr>
          <w:rFonts w:hint="eastAsia" w:ascii="宋体" w:hAnsi="宋体" w:eastAsia="宋体" w:cs="宋体"/>
          <w:b/>
          <w:color w:val="auto"/>
          <w:sz w:val="42"/>
          <w:highlight w:val="none"/>
        </w:rPr>
      </w:pPr>
    </w:p>
    <w:p>
      <w:pPr>
        <w:adjustRightInd w:val="0"/>
        <w:snapToGrid w:val="0"/>
        <w:spacing w:line="360" w:lineRule="auto"/>
        <w:jc w:val="center"/>
        <w:rPr>
          <w:rFonts w:hint="eastAsia" w:ascii="宋体" w:hAnsi="宋体" w:eastAsia="宋体" w:cs="宋体"/>
          <w:b/>
          <w:color w:val="auto"/>
          <w:sz w:val="42"/>
          <w:highlight w:val="none"/>
        </w:rPr>
      </w:pPr>
    </w:p>
    <w:p>
      <w:pPr>
        <w:adjustRightInd w:val="0"/>
        <w:snapToGrid w:val="0"/>
        <w:spacing w:line="360" w:lineRule="auto"/>
        <w:jc w:val="center"/>
        <w:rPr>
          <w:rFonts w:hint="eastAsia" w:ascii="宋体" w:hAnsi="宋体" w:eastAsia="宋体" w:cs="宋体"/>
          <w:b/>
          <w:color w:val="auto"/>
          <w:sz w:val="42"/>
          <w:highlight w:val="none"/>
        </w:rPr>
        <w:sectPr>
          <w:headerReference r:id="rId8" w:type="default"/>
          <w:footerReference r:id="rId9" w:type="default"/>
          <w:pgSz w:w="11906" w:h="16838"/>
          <w:pgMar w:top="1418" w:right="1418" w:bottom="1418" w:left="1418" w:header="851" w:footer="992" w:gutter="0"/>
          <w:pgNumType w:start="1"/>
          <w:cols w:space="720" w:num="1"/>
          <w:docGrid w:linePitch="312" w:charSpace="0"/>
        </w:sectPr>
      </w:pPr>
    </w:p>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54"/>
    <w:bookmarkEnd w:id="455"/>
    <w:bookmarkEnd w:id="456"/>
    <w:bookmarkEnd w:id="457"/>
    <w:bookmarkEnd w:id="458"/>
    <w:bookmarkEnd w:id="459"/>
    <w:bookmarkEnd w:id="460"/>
    <w:bookmarkEnd w:id="461"/>
    <w:bookmarkEnd w:id="462"/>
    <w:bookmarkEnd w:id="463"/>
    <w:p>
      <w:pPr>
        <w:pStyle w:val="4"/>
        <w:jc w:val="center"/>
        <w:rPr>
          <w:rFonts w:hint="eastAsia" w:ascii="宋体" w:hAnsi="宋体" w:eastAsia="宋体" w:cs="宋体"/>
          <w:b/>
          <w:bCs/>
          <w:color w:val="auto"/>
          <w:highlight w:val="none"/>
        </w:rPr>
      </w:pPr>
      <w:bookmarkStart w:id="464" w:name="_Toc499711088"/>
      <w:bookmarkStart w:id="465" w:name="_Toc184043059"/>
      <w:bookmarkStart w:id="466" w:name="_Toc499711929"/>
      <w:bookmarkStart w:id="467" w:name="_Toc70687203"/>
      <w:bookmarkStart w:id="468" w:name="_Toc249515372"/>
      <w:bookmarkStart w:id="469" w:name="_Toc496324624"/>
      <w:bookmarkStart w:id="470" w:name="_Toc415499902"/>
      <w:bookmarkStart w:id="471" w:name="_Toc256342155"/>
      <w:bookmarkStart w:id="472" w:name="_Toc389620242"/>
      <w:bookmarkStart w:id="473" w:name="_Toc500747107"/>
      <w:bookmarkStart w:id="474" w:name="_Toc53722866"/>
      <w:bookmarkStart w:id="475" w:name="_Toc177189246"/>
      <w:bookmarkStart w:id="476" w:name="_Toc385992402"/>
      <w:bookmarkStart w:id="477" w:name="_Toc230013641"/>
      <w:bookmarkStart w:id="478" w:name="_Toc177817345"/>
      <w:bookmarkStart w:id="479" w:name="_Toc249525253"/>
      <w:bookmarkStart w:id="480" w:name="_Toc500747234"/>
      <w:bookmarkStart w:id="481" w:name="_Toc492955460"/>
      <w:bookmarkStart w:id="482" w:name="_Toc176882553"/>
      <w:bookmarkStart w:id="483" w:name="_Toc232395225"/>
      <w:bookmarkStart w:id="484" w:name="_Toc230099806"/>
      <w:bookmarkStart w:id="485" w:name="_Toc503063459"/>
      <w:bookmarkStart w:id="486" w:name="_Toc83547687"/>
      <w:bookmarkStart w:id="487" w:name="_Toc232176285"/>
      <w:bookmarkStart w:id="488" w:name="_Toc177995484"/>
      <w:bookmarkStart w:id="489" w:name="_Toc230583555"/>
      <w:bookmarkStart w:id="490" w:name="_Toc225933091"/>
      <w:bookmarkStart w:id="491" w:name="_Toc500747011"/>
      <w:r>
        <w:rPr>
          <w:rFonts w:hint="eastAsia" w:ascii="宋体" w:hAnsi="宋体" w:eastAsia="宋体" w:cs="宋体"/>
          <w:b/>
          <w:bCs/>
          <w:color w:val="auto"/>
          <w:highlight w:val="none"/>
        </w:rPr>
        <w:t>第五部分  偏离表</w:t>
      </w:r>
    </w:p>
    <w:p>
      <w:pPr>
        <w:rPr>
          <w:rFonts w:hint="eastAsia" w:ascii="宋体" w:hAnsi="宋体" w:eastAsia="宋体" w:cs="宋体"/>
          <w:color w:val="auto"/>
          <w:highlight w:val="none"/>
        </w:rPr>
      </w:pP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一、商务、合同条款偏离表</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项目编号：</w:t>
      </w:r>
    </w:p>
    <w:p>
      <w:pPr>
        <w:pStyle w:val="22"/>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pPr>
              <w:pStyle w:val="2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2835" w:type="dxa"/>
          </w:tcPr>
          <w:p>
            <w:pPr>
              <w:pStyle w:val="2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磋商文件商务、合同条款</w:t>
            </w:r>
          </w:p>
        </w:tc>
        <w:tc>
          <w:tcPr>
            <w:tcW w:w="1701" w:type="dxa"/>
          </w:tcPr>
          <w:p>
            <w:pPr>
              <w:pStyle w:val="2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完全响应</w:t>
            </w:r>
          </w:p>
        </w:tc>
        <w:tc>
          <w:tcPr>
            <w:tcW w:w="1417" w:type="dxa"/>
          </w:tcPr>
          <w:p>
            <w:pPr>
              <w:pStyle w:val="2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有偏离</w:t>
            </w:r>
          </w:p>
        </w:tc>
        <w:tc>
          <w:tcPr>
            <w:tcW w:w="2195" w:type="dxa"/>
          </w:tcPr>
          <w:p>
            <w:pPr>
              <w:pStyle w:val="28"/>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jc w:val="center"/>
              <w:rPr>
                <w:rFonts w:hint="eastAsia" w:ascii="宋体" w:hAnsi="宋体" w:eastAsia="宋体" w:cs="宋体"/>
                <w:color w:val="auto"/>
                <w:sz w:val="24"/>
                <w:szCs w:val="24"/>
                <w:highlight w:val="none"/>
              </w:rPr>
            </w:pPr>
          </w:p>
        </w:tc>
        <w:tc>
          <w:tcPr>
            <w:tcW w:w="2835" w:type="dxa"/>
            <w:vAlign w:val="top"/>
          </w:tcPr>
          <w:p>
            <w:pPr>
              <w:pStyle w:val="28"/>
              <w:jc w:val="center"/>
              <w:rPr>
                <w:rFonts w:hint="eastAsia" w:ascii="宋体" w:hAnsi="宋体" w:eastAsia="宋体" w:cs="宋体"/>
                <w:color w:val="auto"/>
                <w:sz w:val="24"/>
                <w:szCs w:val="24"/>
                <w:highlight w:val="none"/>
              </w:rPr>
            </w:pPr>
            <w:r>
              <w:rPr>
                <w:rFonts w:hint="eastAsia" w:ascii="宋体" w:hAnsi="宋体" w:eastAsia="宋体" w:cs="宋体"/>
                <w:i w:val="0"/>
                <w:iCs w:val="0"/>
                <w:color w:val="auto"/>
                <w:sz w:val="24"/>
                <w:szCs w:val="24"/>
                <w:highlight w:val="none"/>
              </w:rPr>
              <w:t>(</w:t>
            </w:r>
            <w:r>
              <w:rPr>
                <w:rFonts w:hint="eastAsia" w:ascii="宋体" w:hAnsi="宋体" w:eastAsia="宋体" w:cs="宋体"/>
                <w:i w:val="0"/>
                <w:iCs w:val="0"/>
                <w:color w:val="auto"/>
                <w:sz w:val="24"/>
                <w:szCs w:val="24"/>
                <w:highlight w:val="none"/>
                <w:lang w:eastAsia="zh-CN"/>
              </w:rPr>
              <w:t>服务</w:t>
            </w:r>
            <w:r>
              <w:rPr>
                <w:rFonts w:hint="eastAsia" w:ascii="宋体" w:hAnsi="宋体" w:eastAsia="宋体" w:cs="宋体"/>
                <w:i w:val="0"/>
                <w:iCs w:val="0"/>
                <w:color w:val="auto"/>
                <w:sz w:val="24"/>
                <w:szCs w:val="24"/>
                <w:highlight w:val="none"/>
              </w:rPr>
              <w:t>地点)</w:t>
            </w:r>
          </w:p>
        </w:tc>
        <w:tc>
          <w:tcPr>
            <w:tcW w:w="1701" w:type="dxa"/>
          </w:tcPr>
          <w:p>
            <w:pPr>
              <w:pStyle w:val="28"/>
              <w:jc w:val="center"/>
              <w:rPr>
                <w:rFonts w:hint="eastAsia" w:ascii="宋体" w:hAnsi="宋体" w:eastAsia="宋体" w:cs="宋体"/>
                <w:color w:val="auto"/>
                <w:sz w:val="24"/>
                <w:szCs w:val="24"/>
                <w:highlight w:val="none"/>
              </w:rPr>
            </w:pPr>
          </w:p>
        </w:tc>
        <w:tc>
          <w:tcPr>
            <w:tcW w:w="1417" w:type="dxa"/>
          </w:tcPr>
          <w:p>
            <w:pPr>
              <w:pStyle w:val="28"/>
              <w:jc w:val="center"/>
              <w:rPr>
                <w:rFonts w:hint="eastAsia" w:ascii="宋体" w:hAnsi="宋体" w:eastAsia="宋体" w:cs="宋体"/>
                <w:color w:val="auto"/>
                <w:sz w:val="24"/>
                <w:szCs w:val="24"/>
                <w:highlight w:val="none"/>
              </w:rPr>
            </w:pPr>
          </w:p>
        </w:tc>
        <w:tc>
          <w:tcPr>
            <w:tcW w:w="2195" w:type="dxa"/>
          </w:tcPr>
          <w:p>
            <w:pPr>
              <w:pStyle w:val="28"/>
              <w:jc w:val="center"/>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center"/>
          </w:tcPr>
          <w:p>
            <w:pPr>
              <w:spacing w:line="360" w:lineRule="auto"/>
              <w:jc w:val="center"/>
              <w:rPr>
                <w:rFonts w:hint="eastAsia" w:ascii="宋体" w:hAnsi="宋体" w:eastAsia="宋体" w:cs="宋体"/>
                <w:bCs/>
                <w:color w:val="auto"/>
                <w:sz w:val="24"/>
                <w:highlight w:val="none"/>
              </w:rPr>
            </w:pPr>
            <w:r>
              <w:rPr>
                <w:rFonts w:hint="eastAsia" w:ascii="宋体" w:hAnsi="宋体" w:eastAsia="宋体" w:cs="宋体"/>
                <w:bCs/>
                <w:i w:val="0"/>
                <w:iCs w:val="0"/>
                <w:color w:val="auto"/>
                <w:sz w:val="24"/>
                <w:highlight w:val="none"/>
              </w:rPr>
              <w:t>(</w:t>
            </w:r>
            <w:r>
              <w:rPr>
                <w:rFonts w:hint="eastAsia" w:ascii="宋体" w:hAnsi="宋体" w:eastAsia="宋体" w:cs="宋体"/>
                <w:bCs/>
                <w:i w:val="0"/>
                <w:iCs w:val="0"/>
                <w:color w:val="auto"/>
                <w:sz w:val="24"/>
                <w:highlight w:val="none"/>
                <w:lang w:eastAsia="zh-CN"/>
              </w:rPr>
              <w:t>服务</w:t>
            </w:r>
            <w:r>
              <w:rPr>
                <w:rFonts w:hint="eastAsia" w:ascii="宋体" w:hAnsi="宋体" w:eastAsia="宋体" w:cs="宋体"/>
                <w:bCs/>
                <w:i w:val="0"/>
                <w:iCs w:val="0"/>
                <w:color w:val="auto"/>
                <w:sz w:val="24"/>
                <w:highlight w:val="none"/>
              </w:rPr>
              <w:t>期)</w:t>
            </w:r>
          </w:p>
        </w:tc>
        <w:tc>
          <w:tcPr>
            <w:tcW w:w="1701" w:type="dxa"/>
          </w:tcPr>
          <w:p>
            <w:pPr>
              <w:pStyle w:val="28"/>
              <w:ind w:left="1080" w:leftChars="257" w:hanging="540"/>
              <w:jc w:val="center"/>
              <w:rPr>
                <w:rFonts w:hint="eastAsia" w:ascii="宋体" w:hAnsi="宋体" w:eastAsia="宋体" w:cs="宋体"/>
                <w:color w:val="auto"/>
                <w:sz w:val="24"/>
                <w:szCs w:val="24"/>
                <w:highlight w:val="none"/>
              </w:rPr>
            </w:pPr>
          </w:p>
        </w:tc>
        <w:tc>
          <w:tcPr>
            <w:tcW w:w="1417" w:type="dxa"/>
          </w:tcPr>
          <w:p>
            <w:pPr>
              <w:pStyle w:val="28"/>
              <w:ind w:left="1080" w:leftChars="257" w:hanging="540"/>
              <w:jc w:val="center"/>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center"/>
          </w:tcPr>
          <w:p>
            <w:pPr>
              <w:spacing w:line="360" w:lineRule="auto"/>
              <w:jc w:val="center"/>
              <w:rPr>
                <w:rFonts w:hint="eastAsia" w:ascii="宋体" w:hAnsi="宋体" w:eastAsia="宋体" w:cs="宋体"/>
                <w:bCs/>
                <w:color w:val="auto"/>
                <w:sz w:val="24"/>
                <w:highlight w:val="none"/>
              </w:rPr>
            </w:pPr>
            <w:r>
              <w:rPr>
                <w:rFonts w:hint="eastAsia" w:ascii="宋体" w:hAnsi="宋体" w:eastAsia="宋体" w:cs="宋体"/>
                <w:bCs/>
                <w:i w:val="0"/>
                <w:iCs w:val="0"/>
                <w:color w:val="auto"/>
                <w:sz w:val="24"/>
                <w:highlight w:val="none"/>
              </w:rPr>
              <w:t>(付款方式)</w:t>
            </w: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center"/>
          </w:tcPr>
          <w:p>
            <w:pPr>
              <w:spacing w:line="360" w:lineRule="auto"/>
              <w:jc w:val="center"/>
              <w:rPr>
                <w:rFonts w:hint="eastAsia" w:ascii="宋体" w:hAnsi="宋体" w:eastAsia="宋体" w:cs="宋体"/>
                <w:bCs/>
                <w:color w:val="auto"/>
                <w:sz w:val="24"/>
                <w:highlight w:val="none"/>
              </w:rPr>
            </w:pPr>
            <w:r>
              <w:rPr>
                <w:rFonts w:hint="eastAsia" w:ascii="宋体" w:hAnsi="宋体" w:eastAsia="宋体" w:cs="宋体"/>
                <w:bCs/>
                <w:i w:val="0"/>
                <w:iCs w:val="0"/>
                <w:color w:val="auto"/>
                <w:sz w:val="24"/>
                <w:highlight w:val="none"/>
              </w:rPr>
              <w:t>质保金</w:t>
            </w: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center"/>
          </w:tcPr>
          <w:p>
            <w:pPr>
              <w:spacing w:line="360" w:lineRule="auto"/>
              <w:jc w:val="center"/>
              <w:rPr>
                <w:rFonts w:hint="eastAsia" w:ascii="宋体" w:hAnsi="宋体" w:eastAsia="宋体" w:cs="宋体"/>
                <w:bCs/>
                <w:color w:val="auto"/>
                <w:sz w:val="24"/>
                <w:highlight w:val="none"/>
              </w:rPr>
            </w:pPr>
            <w:r>
              <w:rPr>
                <w:rFonts w:hint="eastAsia" w:ascii="宋体" w:hAnsi="宋体" w:eastAsia="宋体" w:cs="宋体"/>
                <w:bCs/>
                <w:i w:val="0"/>
                <w:iCs w:val="0"/>
                <w:color w:val="auto"/>
                <w:sz w:val="24"/>
                <w:highlight w:val="none"/>
              </w:rPr>
              <w:t>(质保期)</w:t>
            </w: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center"/>
          </w:tcPr>
          <w:p>
            <w:pPr>
              <w:spacing w:line="360" w:lineRule="auto"/>
              <w:jc w:val="center"/>
              <w:rPr>
                <w:rFonts w:hint="eastAsia" w:ascii="宋体" w:hAnsi="宋体" w:eastAsia="宋体" w:cs="宋体"/>
                <w:bCs/>
                <w:color w:val="auto"/>
                <w:sz w:val="24"/>
                <w:highlight w:val="none"/>
              </w:rPr>
            </w:pPr>
            <w:r>
              <w:rPr>
                <w:rFonts w:hint="eastAsia" w:ascii="宋体" w:hAnsi="宋体" w:eastAsia="宋体" w:cs="宋体"/>
                <w:i w:val="0"/>
                <w:iCs w:val="0"/>
                <w:color w:val="auto"/>
                <w:sz w:val="24"/>
                <w:highlight w:val="none"/>
              </w:rPr>
              <w:t>….</w:t>
            </w: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vAlign w:val="top"/>
          </w:tcPr>
          <w:p>
            <w:pPr>
              <w:pStyle w:val="28"/>
              <w:jc w:val="center"/>
              <w:rPr>
                <w:rFonts w:hint="eastAsia" w:ascii="宋体" w:hAnsi="宋体" w:eastAsia="宋体" w:cs="宋体"/>
                <w:bCs/>
                <w:color w:val="auto"/>
                <w:sz w:val="24"/>
                <w:highlight w:val="none"/>
              </w:rPr>
            </w:pP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tcPr>
          <w:p>
            <w:pPr>
              <w:pStyle w:val="28"/>
              <w:ind w:left="1080" w:leftChars="257" w:hanging="540"/>
              <w:rPr>
                <w:rFonts w:hint="eastAsia" w:ascii="宋体" w:hAnsi="宋体" w:eastAsia="宋体" w:cs="宋体"/>
                <w:color w:val="auto"/>
                <w:sz w:val="24"/>
                <w:szCs w:val="24"/>
                <w:highlight w:val="none"/>
              </w:rPr>
            </w:pP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tcPr>
          <w:p>
            <w:pPr>
              <w:pStyle w:val="28"/>
              <w:ind w:left="1080" w:leftChars="257" w:hanging="540"/>
              <w:rPr>
                <w:rFonts w:hint="eastAsia" w:ascii="宋体" w:hAnsi="宋体" w:eastAsia="宋体" w:cs="宋体"/>
                <w:color w:val="auto"/>
                <w:sz w:val="24"/>
                <w:szCs w:val="24"/>
                <w:highlight w:val="none"/>
              </w:rPr>
            </w:pP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tcPr>
          <w:p>
            <w:pPr>
              <w:pStyle w:val="28"/>
              <w:ind w:left="1080" w:leftChars="257" w:hanging="540"/>
              <w:rPr>
                <w:rFonts w:hint="eastAsia" w:ascii="宋体" w:hAnsi="宋体" w:eastAsia="宋体" w:cs="宋体"/>
                <w:color w:val="auto"/>
                <w:sz w:val="24"/>
                <w:szCs w:val="24"/>
                <w:highlight w:val="none"/>
              </w:rPr>
            </w:pP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pStyle w:val="28"/>
              <w:ind w:left="1080" w:leftChars="257" w:hanging="540"/>
              <w:rPr>
                <w:rFonts w:hint="eastAsia" w:ascii="宋体" w:hAnsi="宋体" w:eastAsia="宋体" w:cs="宋体"/>
                <w:color w:val="auto"/>
                <w:sz w:val="24"/>
                <w:szCs w:val="24"/>
                <w:highlight w:val="none"/>
              </w:rPr>
            </w:pPr>
          </w:p>
        </w:tc>
        <w:tc>
          <w:tcPr>
            <w:tcW w:w="2835" w:type="dxa"/>
          </w:tcPr>
          <w:p>
            <w:pPr>
              <w:pStyle w:val="28"/>
              <w:ind w:left="1080" w:leftChars="257" w:hanging="540"/>
              <w:rPr>
                <w:rFonts w:hint="eastAsia" w:ascii="宋体" w:hAnsi="宋体" w:eastAsia="宋体" w:cs="宋体"/>
                <w:color w:val="auto"/>
                <w:sz w:val="24"/>
                <w:szCs w:val="24"/>
                <w:highlight w:val="none"/>
              </w:rPr>
            </w:pPr>
          </w:p>
        </w:tc>
        <w:tc>
          <w:tcPr>
            <w:tcW w:w="1701" w:type="dxa"/>
          </w:tcPr>
          <w:p>
            <w:pPr>
              <w:pStyle w:val="28"/>
              <w:ind w:left="1080" w:leftChars="257" w:hanging="540"/>
              <w:rPr>
                <w:rFonts w:hint="eastAsia" w:ascii="宋体" w:hAnsi="宋体" w:eastAsia="宋体" w:cs="宋体"/>
                <w:color w:val="auto"/>
                <w:sz w:val="24"/>
                <w:szCs w:val="24"/>
                <w:highlight w:val="none"/>
              </w:rPr>
            </w:pPr>
          </w:p>
        </w:tc>
        <w:tc>
          <w:tcPr>
            <w:tcW w:w="1417" w:type="dxa"/>
          </w:tcPr>
          <w:p>
            <w:pPr>
              <w:pStyle w:val="28"/>
              <w:ind w:left="1080" w:leftChars="257" w:hanging="540"/>
              <w:rPr>
                <w:rFonts w:hint="eastAsia" w:ascii="宋体" w:hAnsi="宋体" w:eastAsia="宋体" w:cs="宋体"/>
                <w:color w:val="auto"/>
                <w:sz w:val="24"/>
                <w:szCs w:val="24"/>
                <w:highlight w:val="none"/>
              </w:rPr>
            </w:pPr>
          </w:p>
        </w:tc>
        <w:tc>
          <w:tcPr>
            <w:tcW w:w="2195" w:type="dxa"/>
          </w:tcPr>
          <w:p>
            <w:pPr>
              <w:pStyle w:val="28"/>
              <w:ind w:left="1080" w:leftChars="257" w:hanging="540"/>
              <w:rPr>
                <w:rFonts w:hint="eastAsia" w:ascii="宋体" w:hAnsi="宋体" w:eastAsia="宋体" w:cs="宋体"/>
                <w:color w:val="auto"/>
                <w:sz w:val="24"/>
                <w:szCs w:val="24"/>
                <w:highlight w:val="none"/>
              </w:rPr>
            </w:pPr>
          </w:p>
        </w:tc>
      </w:tr>
    </w:tbl>
    <w:p>
      <w:pPr>
        <w:pStyle w:val="28"/>
        <w:ind w:left="1080" w:leftChars="257" w:hanging="540"/>
        <w:rPr>
          <w:rFonts w:hint="eastAsia" w:ascii="宋体" w:hAnsi="宋体" w:eastAsia="宋体" w:cs="宋体"/>
          <w:color w:val="auto"/>
          <w:sz w:val="24"/>
          <w:szCs w:val="24"/>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法定代表人或其授权代表（签字或盖章）：</w:t>
      </w:r>
      <w:r>
        <w:rPr>
          <w:rFonts w:hint="eastAsia" w:ascii="宋体" w:hAnsi="宋体" w:eastAsia="宋体" w:cs="宋体"/>
          <w:color w:val="auto"/>
          <w:sz w:val="24"/>
          <w:highlight w:val="none"/>
          <w:u w:val="single"/>
        </w:rPr>
        <w:t xml:space="preserve">                  </w:t>
      </w:r>
    </w:p>
    <w:p>
      <w:pPr>
        <w:spacing w:before="120" w:after="120" w:line="360" w:lineRule="auto"/>
        <w:ind w:firstLine="4320" w:firstLineChars="18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snapToGrid w:val="0"/>
        <w:spacing w:after="120" w:afterLines="50"/>
        <w:ind w:left="910" w:leftChars="203" w:hanging="484" w:hangingChars="202"/>
        <w:rPr>
          <w:rFonts w:hint="eastAsia" w:ascii="宋体" w:hAnsi="宋体" w:eastAsia="宋体" w:cs="宋体"/>
          <w:color w:val="auto"/>
          <w:highlight w:val="none"/>
        </w:rPr>
      </w:pPr>
      <w:r>
        <w:rPr>
          <w:rFonts w:hint="eastAsia" w:ascii="宋体" w:hAnsi="宋体" w:eastAsia="宋体" w:cs="宋体"/>
          <w:color w:val="auto"/>
          <w:sz w:val="24"/>
          <w:highlight w:val="none"/>
        </w:rPr>
        <w:t>注：</w:t>
      </w:r>
      <w:r>
        <w:rPr>
          <w:rFonts w:hint="eastAsia" w:ascii="宋体" w:hAnsi="宋体" w:eastAsia="宋体" w:cs="宋体"/>
          <w:color w:val="auto"/>
          <w:highlight w:val="none"/>
        </w:rPr>
        <w:tab/>
      </w:r>
      <w:r>
        <w:rPr>
          <w:rFonts w:hint="eastAsia" w:ascii="宋体" w:hAnsi="宋体" w:eastAsia="宋体" w:cs="宋体"/>
          <w:color w:val="auto"/>
          <w:highlight w:val="none"/>
        </w:rPr>
        <w:t>1、对完全响应的，在下表相应列中标注“○”。对有偏离的条目在本表相应列中标注“正偏离”或“负偏离”，并在“偏离简述”栏中加以说明。</w:t>
      </w:r>
    </w:p>
    <w:p>
      <w:pPr>
        <w:snapToGrid w:val="0"/>
        <w:spacing w:after="120" w:afterLines="50"/>
        <w:ind w:left="842" w:leftChars="401"/>
        <w:rPr>
          <w:rFonts w:hint="eastAsia" w:ascii="宋体" w:hAnsi="宋体" w:eastAsia="宋体" w:cs="宋体"/>
          <w:color w:val="auto"/>
          <w:highlight w:val="none"/>
        </w:rPr>
      </w:pPr>
      <w:r>
        <w:rPr>
          <w:rFonts w:hint="eastAsia" w:ascii="宋体" w:hAnsi="宋体" w:eastAsia="宋体" w:cs="宋体"/>
          <w:color w:val="auto"/>
          <w:highlight w:val="none"/>
        </w:rPr>
        <w:t>2、正偏离是指应答的条件高于磋商文件要求，负偏离是指应答的条件低于磋商文件要求，正偏离项目不作扣分处理。</w:t>
      </w:r>
    </w:p>
    <w:p>
      <w:pPr>
        <w:snapToGrid w:val="0"/>
        <w:spacing w:after="120" w:afterLines="50"/>
        <w:ind w:left="842" w:leftChars="401"/>
        <w:rPr>
          <w:rFonts w:hint="eastAsia" w:ascii="宋体" w:hAnsi="宋体" w:eastAsia="宋体" w:cs="宋体"/>
          <w:color w:val="auto"/>
          <w:highlight w:val="none"/>
        </w:rPr>
      </w:pPr>
      <w:r>
        <w:rPr>
          <w:rFonts w:hint="eastAsia" w:ascii="宋体" w:hAnsi="宋体" w:eastAsia="宋体" w:cs="宋体"/>
          <w:color w:val="auto"/>
          <w:highlight w:val="none"/>
        </w:rPr>
        <w:t>3、供应商须完整填写响应表。如果未完整填写本表的各项内容则视作供应商已经对磋商文件相关要求和内容完全理解并同意，其报价为在此基础上的完全价格。</w:t>
      </w:r>
    </w:p>
    <w:p>
      <w:pPr>
        <w:snapToGrid w:val="0"/>
        <w:spacing w:after="120" w:afterLines="50"/>
        <w:ind w:left="842" w:leftChars="401"/>
        <w:rPr>
          <w:rFonts w:hint="eastAsia" w:ascii="宋体" w:hAnsi="宋体" w:eastAsia="宋体" w:cs="宋体"/>
          <w:color w:val="auto"/>
          <w:highlight w:val="none"/>
        </w:rPr>
      </w:pPr>
      <w:r>
        <w:rPr>
          <w:rFonts w:hint="eastAsia" w:ascii="宋体" w:hAnsi="宋体" w:eastAsia="宋体" w:cs="宋体"/>
          <w:color w:val="auto"/>
          <w:highlight w:val="none"/>
        </w:rPr>
        <w:t>4、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pStyle w:val="5"/>
        <w:jc w:val="center"/>
        <w:rPr>
          <w:rFonts w:hint="eastAsia" w:ascii="宋体" w:hAnsi="宋体" w:eastAsia="宋体" w:cs="宋体"/>
          <w:color w:val="auto"/>
          <w:highlight w:val="none"/>
        </w:rPr>
      </w:pPr>
      <w:bookmarkStart w:id="492" w:name="_Toc416103825"/>
      <w:bookmarkStart w:id="493" w:name="_Toc410631184"/>
      <w:bookmarkStart w:id="494" w:name="_Toc7005136"/>
      <w:bookmarkStart w:id="495" w:name="_Toc414445775"/>
      <w:r>
        <w:rPr>
          <w:rFonts w:hint="eastAsia" w:ascii="宋体" w:hAnsi="宋体" w:eastAsia="宋体" w:cs="宋体"/>
          <w:b/>
          <w:bCs/>
          <w:color w:val="auto"/>
          <w:sz w:val="28"/>
          <w:szCs w:val="36"/>
          <w:highlight w:val="none"/>
        </w:rPr>
        <w:t>二、技术偏离表</w:t>
      </w:r>
      <w:bookmarkEnd w:id="492"/>
      <w:bookmarkEnd w:id="493"/>
      <w:bookmarkEnd w:id="494"/>
      <w:bookmarkEnd w:id="495"/>
    </w:p>
    <w:p>
      <w:pPr>
        <w:pStyle w:val="22"/>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pPr>
        <w:pStyle w:val="22"/>
        <w:rPr>
          <w:rFonts w:hint="eastAsia" w:ascii="宋体" w:hAnsi="宋体" w:eastAsia="宋体" w:cs="宋体"/>
          <w:color w:val="auto"/>
          <w:highlight w:val="none"/>
        </w:rPr>
      </w:pPr>
      <w:r>
        <w:rPr>
          <w:rFonts w:hint="eastAsia" w:ascii="宋体" w:hAnsi="宋体" w:eastAsia="宋体" w:cs="宋体"/>
          <w:color w:val="auto"/>
          <w:sz w:val="24"/>
          <w:highlight w:val="none"/>
        </w:rPr>
        <w:t>项目名称：</w:t>
      </w:r>
    </w:p>
    <w:tbl>
      <w:tblPr>
        <w:tblStyle w:val="50"/>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磋商文件条目号</w:t>
            </w:r>
          </w:p>
        </w:tc>
        <w:tc>
          <w:tcPr>
            <w:tcW w:w="1932" w:type="dxa"/>
          </w:tcPr>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技术条款要求</w:t>
            </w:r>
          </w:p>
        </w:tc>
        <w:tc>
          <w:tcPr>
            <w:tcW w:w="1236" w:type="dxa"/>
          </w:tcPr>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完全响应</w:t>
            </w:r>
          </w:p>
        </w:tc>
        <w:tc>
          <w:tcPr>
            <w:tcW w:w="1236" w:type="dxa"/>
          </w:tcPr>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有偏离</w:t>
            </w:r>
          </w:p>
        </w:tc>
        <w:tc>
          <w:tcPr>
            <w:tcW w:w="2394" w:type="dxa"/>
          </w:tcPr>
          <w:p>
            <w:pPr>
              <w:spacing w:line="40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偏离简述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bCs/>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spacing w:line="400" w:lineRule="exact"/>
              <w:rPr>
                <w:rFonts w:hint="eastAsia" w:ascii="宋体" w:hAnsi="宋体" w:eastAsia="宋体" w:cs="宋体"/>
                <w:color w:val="auto"/>
                <w:sz w:val="24"/>
                <w:highlight w:val="none"/>
              </w:rPr>
            </w:pPr>
          </w:p>
        </w:tc>
        <w:tc>
          <w:tcPr>
            <w:tcW w:w="1932" w:type="dxa"/>
          </w:tcPr>
          <w:p>
            <w:pPr>
              <w:spacing w:line="400" w:lineRule="exact"/>
              <w:rPr>
                <w:rFonts w:hint="eastAsia" w:ascii="宋体" w:hAnsi="宋体" w:eastAsia="宋体" w:cs="宋体"/>
                <w:bCs/>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1236" w:type="dxa"/>
          </w:tcPr>
          <w:p>
            <w:pPr>
              <w:spacing w:line="400" w:lineRule="exact"/>
              <w:rPr>
                <w:rFonts w:hint="eastAsia" w:ascii="宋体" w:hAnsi="宋体" w:eastAsia="宋体" w:cs="宋体"/>
                <w:color w:val="auto"/>
                <w:sz w:val="24"/>
                <w:highlight w:val="none"/>
              </w:rPr>
            </w:pPr>
          </w:p>
        </w:tc>
        <w:tc>
          <w:tcPr>
            <w:tcW w:w="2394" w:type="dxa"/>
          </w:tcPr>
          <w:p>
            <w:pPr>
              <w:spacing w:line="400" w:lineRule="exact"/>
              <w:rPr>
                <w:rFonts w:hint="eastAsia" w:ascii="宋体" w:hAnsi="宋体" w:eastAsia="宋体" w:cs="宋体"/>
                <w:color w:val="auto"/>
                <w:sz w:val="24"/>
                <w:highlight w:val="none"/>
              </w:rPr>
            </w:pPr>
          </w:p>
        </w:tc>
      </w:tr>
    </w:tbl>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法定代表人或其授权代表（签字或盖章）：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spacing w:line="360" w:lineRule="auto"/>
        <w:rPr>
          <w:rFonts w:hint="eastAsia" w:ascii="宋体" w:hAnsi="宋体" w:eastAsia="宋体" w:cs="宋体"/>
          <w:color w:val="auto"/>
          <w:highlight w:val="none"/>
        </w:rPr>
      </w:pPr>
    </w:p>
    <w:p>
      <w:pPr>
        <w:snapToGrid w:val="0"/>
        <w:spacing w:after="120" w:afterLines="50"/>
        <w:ind w:left="850" w:hanging="850" w:hangingChars="405"/>
        <w:rPr>
          <w:rFonts w:hint="eastAsia" w:ascii="宋体" w:hAnsi="宋体" w:eastAsia="宋体" w:cs="宋体"/>
          <w:color w:val="auto"/>
          <w:highlight w:val="none"/>
        </w:rPr>
      </w:pPr>
      <w:r>
        <w:rPr>
          <w:rFonts w:hint="eastAsia" w:ascii="宋体" w:hAnsi="宋体" w:eastAsia="宋体" w:cs="宋体"/>
          <w:color w:val="auto"/>
          <w:highlight w:val="none"/>
        </w:rPr>
        <w:t>注：1.</w:t>
      </w:r>
      <w:r>
        <w:rPr>
          <w:rFonts w:hint="eastAsia" w:ascii="宋体" w:hAnsi="宋体" w:eastAsia="宋体" w:cs="宋体"/>
          <w:color w:val="auto"/>
          <w:highlight w:val="none"/>
        </w:rPr>
        <w:tab/>
      </w:r>
      <w:r>
        <w:rPr>
          <w:rFonts w:hint="eastAsia" w:ascii="宋体" w:hAnsi="宋体" w:eastAsia="宋体" w:cs="宋体"/>
          <w:color w:val="auto"/>
          <w:highlight w:val="none"/>
        </w:rPr>
        <w:t>对完全响应的条目在本表相应列中标注“○”。对有偏离的条目在本表相应列中标注“正偏离”或“负偏离”。并在“偏离简述”栏中加以说明。</w:t>
      </w:r>
    </w:p>
    <w:p>
      <w:pPr>
        <w:tabs>
          <w:tab w:val="left" w:pos="1200"/>
        </w:tabs>
        <w:snapToGrid w:val="0"/>
        <w:spacing w:after="120" w:afterLines="50"/>
        <w:ind w:left="850" w:leftChars="203" w:hanging="424" w:hangingChars="202"/>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rPr>
        <w:tab/>
      </w:r>
      <w:r>
        <w:rPr>
          <w:rFonts w:hint="eastAsia" w:ascii="宋体" w:hAnsi="宋体" w:eastAsia="宋体" w:cs="宋体"/>
          <w:color w:val="auto"/>
          <w:highlight w:val="none"/>
        </w:rPr>
        <w:t>正偏离是指应答的条件高于磋商文件要求，负偏离是指应答的条件低于磋商文件要求，正偏离项目不作扣分处理。</w:t>
      </w:r>
    </w:p>
    <w:p>
      <w:pPr>
        <w:tabs>
          <w:tab w:val="left" w:pos="1200"/>
        </w:tabs>
        <w:snapToGrid w:val="0"/>
        <w:spacing w:after="120" w:afterLines="50"/>
        <w:ind w:left="850" w:leftChars="203" w:hanging="424" w:hangingChars="202"/>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color w:val="auto"/>
          <w:highlight w:val="none"/>
        </w:rPr>
        <w:tab/>
      </w:r>
      <w:r>
        <w:rPr>
          <w:rFonts w:hint="eastAsia" w:ascii="宋体" w:hAnsi="宋体" w:eastAsia="宋体" w:cs="宋体"/>
          <w:color w:val="auto"/>
          <w:highlight w:val="none"/>
        </w:rPr>
        <w:t>供应商须按照用户需求书逐条完整填写响应表。如果未完整填写响应表的各项内容则视作供应商已经对磋商文件相关要求和内容完全理解并同意，其报价为在此基础上的完全价格。</w:t>
      </w:r>
    </w:p>
    <w:p>
      <w:pPr>
        <w:tabs>
          <w:tab w:val="left" w:pos="1200"/>
        </w:tabs>
        <w:snapToGrid w:val="0"/>
        <w:spacing w:after="120" w:afterLines="50"/>
        <w:ind w:left="850" w:leftChars="203" w:hanging="424" w:hangingChars="202"/>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color w:val="auto"/>
          <w:highlight w:val="none"/>
        </w:rPr>
        <w:tab/>
      </w:r>
      <w:r>
        <w:rPr>
          <w:rFonts w:hint="eastAsia" w:ascii="宋体" w:hAnsi="宋体" w:eastAsia="宋体" w:cs="宋体"/>
          <w:color w:val="auto"/>
          <w:highlight w:val="none"/>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pPr>
        <w:autoSpaceDE w:val="0"/>
        <w:autoSpaceDN w:val="0"/>
        <w:adjustRightInd w:val="0"/>
        <w:snapToGrid w:val="0"/>
        <w:spacing w:line="360" w:lineRule="auto"/>
        <w:jc w:val="center"/>
        <w:rPr>
          <w:rFonts w:hint="eastAsia" w:ascii="宋体" w:hAnsi="宋体" w:eastAsia="宋体" w:cs="宋体"/>
          <w:b/>
          <w:color w:val="auto"/>
          <w:sz w:val="32"/>
          <w:szCs w:val="32"/>
          <w:highlight w:val="none"/>
        </w:rPr>
      </w:pPr>
    </w:p>
    <w:p>
      <w:pPr>
        <w:autoSpaceDE w:val="0"/>
        <w:autoSpaceDN w:val="0"/>
        <w:adjustRightInd w:val="0"/>
        <w:snapToGrid w:val="0"/>
        <w:spacing w:line="360" w:lineRule="auto"/>
        <w:jc w:val="center"/>
        <w:rPr>
          <w:rFonts w:hint="eastAsia" w:ascii="宋体" w:hAnsi="宋体" w:eastAsia="宋体" w:cs="宋体"/>
          <w:b/>
          <w:bCs/>
          <w:color w:val="auto"/>
          <w:sz w:val="24"/>
          <w:highlight w:val="none"/>
        </w:rPr>
      </w:pPr>
      <w:r>
        <w:rPr>
          <w:rFonts w:hint="eastAsia" w:ascii="宋体" w:hAnsi="宋体" w:eastAsia="宋体" w:cs="宋体"/>
          <w:color w:val="auto"/>
          <w:highlight w:val="none"/>
        </w:rPr>
        <w:br w:type="page"/>
      </w:r>
    </w:p>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第六部分  响应方案说明</w:t>
      </w:r>
    </w:p>
    <w:p>
      <w:pPr>
        <w:pStyle w:val="22"/>
        <w:rPr>
          <w:rFonts w:hint="eastAsia" w:ascii="宋体" w:hAnsi="宋体" w:eastAsia="宋体" w:cs="宋体"/>
          <w:color w:val="auto"/>
          <w:highlight w:val="none"/>
          <w:lang w:val="zh-CN"/>
        </w:rPr>
      </w:pPr>
    </w:p>
    <w:p>
      <w:pPr>
        <w:autoSpaceDE w:val="0"/>
        <w:autoSpaceDN w:val="0"/>
        <w:adjustRightInd w:val="0"/>
        <w:spacing w:line="360"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（格式自拟，内容需符合评审办法中要求的内容要求）</w:t>
      </w:r>
    </w:p>
    <w:p>
      <w:pPr>
        <w:pStyle w:val="22"/>
        <w:rPr>
          <w:rFonts w:hint="eastAsia" w:ascii="宋体" w:hAnsi="宋体" w:eastAsia="宋体" w:cs="宋体"/>
          <w:color w:val="auto"/>
          <w:highlight w:val="none"/>
          <w:lang w:val="zh-CN"/>
        </w:rPr>
      </w:pPr>
      <w:r>
        <w:rPr>
          <w:rFonts w:hint="eastAsia" w:ascii="宋体" w:hAnsi="宋体" w:eastAsia="宋体" w:cs="宋体"/>
          <w:color w:val="auto"/>
          <w:highlight w:val="none"/>
          <w:lang w:val="zh-CN"/>
        </w:rPr>
        <w:br w:type="page"/>
      </w:r>
    </w:p>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第七部分 小微企业、监狱企业、残疾人福利单位声明函或证明</w:t>
      </w:r>
    </w:p>
    <w:p>
      <w:pPr>
        <w:pStyle w:val="196"/>
        <w:rPr>
          <w:rFonts w:hint="eastAsia" w:ascii="宋体" w:hAnsi="宋体" w:eastAsia="宋体" w:cs="宋体"/>
          <w:b/>
          <w:bCs/>
          <w:color w:val="auto"/>
          <w:sz w:val="32"/>
          <w:szCs w:val="32"/>
          <w:highlight w:val="none"/>
        </w:rPr>
      </w:pPr>
    </w:p>
    <w:p>
      <w:pPr>
        <w:pStyle w:val="22"/>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一、</w:t>
      </w:r>
      <w:bookmarkStart w:id="496" w:name="_Toc7005133"/>
      <w:r>
        <w:rPr>
          <w:rFonts w:hint="eastAsia" w:ascii="宋体" w:hAnsi="宋体" w:eastAsia="宋体" w:cs="宋体"/>
          <w:b/>
          <w:bCs/>
          <w:color w:val="auto"/>
          <w:sz w:val="28"/>
          <w:szCs w:val="36"/>
          <w:highlight w:val="none"/>
        </w:rPr>
        <w:t>中小企业声明函(工程、服务)</w:t>
      </w:r>
    </w:p>
    <w:p>
      <w:pPr>
        <w:rPr>
          <w:rFonts w:hint="eastAsia" w:ascii="宋体" w:hAnsi="宋体" w:eastAsia="宋体" w:cs="宋体"/>
          <w:color w:val="auto"/>
          <w:kern w:val="0"/>
          <w:sz w:val="30"/>
          <w:szCs w:val="30"/>
          <w:highlight w:val="none"/>
        </w:rPr>
      </w:pPr>
    </w:p>
    <w:p>
      <w:pPr>
        <w:spacing w:line="5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本公司(联合体)郑重声明，根据《政府采购促进中小企业发展管理办法》(财库(2020)46号)的规定，本公司(联合体)参加</w:t>
      </w:r>
      <w:r>
        <w:rPr>
          <w:rFonts w:hint="eastAsia" w:ascii="宋体" w:hAnsi="宋体" w:eastAsia="宋体" w:cs="宋体"/>
          <w:color w:val="auto"/>
          <w:kern w:val="0"/>
          <w:sz w:val="24"/>
          <w:highlight w:val="none"/>
          <w:u w:val="single"/>
        </w:rPr>
        <w:t xml:space="preserve">  (单位名称) </w:t>
      </w:r>
      <w:r>
        <w:rPr>
          <w:rFonts w:hint="eastAsia" w:ascii="宋体" w:hAnsi="宋体" w:eastAsia="宋体" w:cs="宋体"/>
          <w:color w:val="auto"/>
          <w:kern w:val="0"/>
          <w:sz w:val="24"/>
          <w:highlight w:val="none"/>
        </w:rPr>
        <w:t xml:space="preserve"> 的</w:t>
      </w:r>
      <w:r>
        <w:rPr>
          <w:rFonts w:hint="eastAsia" w:ascii="宋体" w:hAnsi="宋体" w:eastAsia="宋体" w:cs="宋体"/>
          <w:color w:val="auto"/>
          <w:kern w:val="0"/>
          <w:sz w:val="24"/>
          <w:highlight w:val="none"/>
          <w:u w:val="single"/>
        </w:rPr>
        <w:t xml:space="preserve"> (项目名称) 采购</w:t>
      </w:r>
      <w:r>
        <w:rPr>
          <w:rFonts w:hint="eastAsia" w:ascii="宋体" w:hAnsi="宋体" w:eastAsia="宋体" w:cs="宋体"/>
          <w:color w:val="auto"/>
          <w:kern w:val="0"/>
          <w:sz w:val="24"/>
          <w:highlight w:val="none"/>
        </w:rPr>
        <w:t>活动，工程的施工单位全部为符合政策要求的中小企业(或者:服务全部由符合政策要求的中小企业承接)。相关企业(含联合体中的中小企业、签订分包意向协议的中小企业)的具体情况如下：</w:t>
      </w:r>
    </w:p>
    <w:p>
      <w:pPr>
        <w:pStyle w:val="68"/>
        <w:numPr>
          <w:ilvl w:val="0"/>
          <w:numId w:val="20"/>
        </w:numPr>
        <w:spacing w:line="560" w:lineRule="exact"/>
        <w:ind w:firstLineChars="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u w:val="single"/>
        </w:rPr>
        <w:t xml:space="preserve"> (标的名称) </w:t>
      </w:r>
      <w:r>
        <w:rPr>
          <w:rFonts w:hint="eastAsia" w:ascii="宋体" w:hAnsi="宋体" w:eastAsia="宋体" w:cs="宋体"/>
          <w:color w:val="auto"/>
          <w:kern w:val="0"/>
          <w:sz w:val="24"/>
          <w:szCs w:val="24"/>
          <w:highlight w:val="none"/>
        </w:rPr>
        <w:t>，属于</w:t>
      </w:r>
      <w:r>
        <w:rPr>
          <w:rFonts w:hint="eastAsia" w:ascii="宋体" w:hAnsi="宋体" w:eastAsia="宋体" w:cs="宋体"/>
          <w:color w:val="auto"/>
          <w:kern w:val="0"/>
          <w:sz w:val="24"/>
          <w:szCs w:val="24"/>
          <w:highlight w:val="none"/>
          <w:u w:val="single"/>
        </w:rPr>
        <w:t xml:space="preserve"> (采购文件中明的所属行业) </w:t>
      </w:r>
      <w:r>
        <w:rPr>
          <w:rFonts w:hint="eastAsia" w:ascii="宋体" w:hAnsi="宋体" w:eastAsia="宋体" w:cs="宋体"/>
          <w:color w:val="auto"/>
          <w:kern w:val="0"/>
          <w:sz w:val="24"/>
          <w:szCs w:val="24"/>
          <w:highlight w:val="none"/>
        </w:rPr>
        <w:t>；承建(承接)企业为</w:t>
      </w:r>
      <w:r>
        <w:rPr>
          <w:rFonts w:hint="eastAsia" w:ascii="宋体" w:hAnsi="宋体" w:eastAsia="宋体" w:cs="宋体"/>
          <w:color w:val="auto"/>
          <w:kern w:val="0"/>
          <w:sz w:val="24"/>
          <w:szCs w:val="24"/>
          <w:highlight w:val="none"/>
          <w:u w:val="single"/>
        </w:rPr>
        <w:t xml:space="preserve"> (企业名称) </w:t>
      </w:r>
      <w:r>
        <w:rPr>
          <w:rFonts w:hint="eastAsia" w:ascii="宋体" w:hAnsi="宋体" w:eastAsia="宋体" w:cs="宋体"/>
          <w:color w:val="auto"/>
          <w:kern w:val="0"/>
          <w:sz w:val="24"/>
          <w:szCs w:val="24"/>
          <w:highlight w:val="none"/>
        </w:rPr>
        <w:t>，从业人员</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人，营业收入为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万元，资产总额为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万元，属于</w:t>
      </w:r>
      <w:r>
        <w:rPr>
          <w:rFonts w:hint="eastAsia" w:ascii="宋体" w:hAnsi="宋体" w:eastAsia="宋体" w:cs="宋体"/>
          <w:color w:val="auto"/>
          <w:kern w:val="0"/>
          <w:sz w:val="24"/>
          <w:szCs w:val="24"/>
          <w:highlight w:val="none"/>
          <w:u w:val="single"/>
        </w:rPr>
        <w:t xml:space="preserve"> (中型企业、小型企业、微型企业) </w:t>
      </w:r>
      <w:r>
        <w:rPr>
          <w:rFonts w:hint="eastAsia" w:ascii="宋体" w:hAnsi="宋体" w:eastAsia="宋体" w:cs="宋体"/>
          <w:color w:val="auto"/>
          <w:kern w:val="0"/>
          <w:sz w:val="24"/>
          <w:szCs w:val="24"/>
          <w:highlight w:val="none"/>
        </w:rPr>
        <w:t>；</w:t>
      </w:r>
    </w:p>
    <w:p>
      <w:pPr>
        <w:spacing w:line="5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 </w:t>
      </w:r>
      <w:r>
        <w:rPr>
          <w:rFonts w:hint="eastAsia" w:ascii="宋体" w:hAnsi="宋体" w:eastAsia="宋体" w:cs="宋体"/>
          <w:color w:val="auto"/>
          <w:kern w:val="0"/>
          <w:sz w:val="24"/>
          <w:highlight w:val="none"/>
          <w:u w:val="single"/>
        </w:rPr>
        <w:t xml:space="preserve"> (标的名称) </w:t>
      </w:r>
      <w:r>
        <w:rPr>
          <w:rFonts w:hint="eastAsia" w:ascii="宋体" w:hAnsi="宋体" w:eastAsia="宋体" w:cs="宋体"/>
          <w:color w:val="auto"/>
          <w:kern w:val="0"/>
          <w:sz w:val="24"/>
          <w:highlight w:val="none"/>
        </w:rPr>
        <w:t>，属于</w:t>
      </w:r>
      <w:r>
        <w:rPr>
          <w:rFonts w:hint="eastAsia" w:ascii="宋体" w:hAnsi="宋体" w:eastAsia="宋体" w:cs="宋体"/>
          <w:color w:val="auto"/>
          <w:kern w:val="0"/>
          <w:sz w:val="24"/>
          <w:highlight w:val="none"/>
          <w:u w:val="single"/>
        </w:rPr>
        <w:t xml:space="preserve"> (采购文件中明的所属行业) </w:t>
      </w:r>
      <w:r>
        <w:rPr>
          <w:rFonts w:hint="eastAsia" w:ascii="宋体" w:hAnsi="宋体" w:eastAsia="宋体" w:cs="宋体"/>
          <w:color w:val="auto"/>
          <w:kern w:val="0"/>
          <w:sz w:val="24"/>
          <w:highlight w:val="none"/>
        </w:rPr>
        <w:t>；承建(承接)企业为</w:t>
      </w:r>
      <w:r>
        <w:rPr>
          <w:rFonts w:hint="eastAsia" w:ascii="宋体" w:hAnsi="宋体" w:eastAsia="宋体" w:cs="宋体"/>
          <w:color w:val="auto"/>
          <w:kern w:val="0"/>
          <w:sz w:val="24"/>
          <w:highlight w:val="none"/>
          <w:u w:val="single"/>
        </w:rPr>
        <w:t xml:space="preserve"> (企业名称) </w:t>
      </w:r>
      <w:r>
        <w:rPr>
          <w:rFonts w:hint="eastAsia" w:ascii="宋体" w:hAnsi="宋体" w:eastAsia="宋体" w:cs="宋体"/>
          <w:color w:val="auto"/>
          <w:kern w:val="0"/>
          <w:sz w:val="24"/>
          <w:highlight w:val="none"/>
        </w:rPr>
        <w:t>，从业人员</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人，营业收入为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万元，资产总额为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万元，属于</w:t>
      </w:r>
      <w:r>
        <w:rPr>
          <w:rFonts w:hint="eastAsia" w:ascii="宋体" w:hAnsi="宋体" w:eastAsia="宋体" w:cs="宋体"/>
          <w:color w:val="auto"/>
          <w:kern w:val="0"/>
          <w:sz w:val="24"/>
          <w:highlight w:val="none"/>
          <w:u w:val="single"/>
        </w:rPr>
        <w:t xml:space="preserve"> (中型企业、小型企业、微型企业) </w:t>
      </w:r>
      <w:r>
        <w:rPr>
          <w:rFonts w:hint="eastAsia" w:ascii="宋体" w:hAnsi="宋体" w:eastAsia="宋体" w:cs="宋体"/>
          <w:color w:val="auto"/>
          <w:kern w:val="0"/>
          <w:sz w:val="24"/>
          <w:highlight w:val="none"/>
        </w:rPr>
        <w:t>；</w:t>
      </w:r>
    </w:p>
    <w:p>
      <w:pPr>
        <w:spacing w:line="5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w:t>
      </w:r>
    </w:p>
    <w:p>
      <w:pPr>
        <w:spacing w:line="5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以上企业，不属于大企业的分支机构，不存在控股股东为大企业的情形，也不存在与大企业的负责人为同一人的情形。</w:t>
      </w:r>
    </w:p>
    <w:p>
      <w:pPr>
        <w:spacing w:line="56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本企业对上述声明内容的真实性负责。如有虚假，将依法承担相应责任。</w:t>
      </w:r>
    </w:p>
    <w:p>
      <w:pPr>
        <w:spacing w:line="560" w:lineRule="exac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企业名称(盖章):</w:t>
      </w:r>
    </w:p>
    <w:p>
      <w:pPr>
        <w:spacing w:line="560" w:lineRule="exact"/>
        <w:ind w:firstLine="4320" w:firstLineChars="18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日期：</w:t>
      </w:r>
    </w:p>
    <w:p>
      <w:pPr>
        <w:spacing w:line="560" w:lineRule="exact"/>
        <w:ind w:firstLine="5400" w:firstLineChars="1800"/>
        <w:rPr>
          <w:rFonts w:hint="eastAsia" w:ascii="宋体" w:hAnsi="宋体" w:eastAsia="宋体" w:cs="宋体"/>
          <w:color w:val="auto"/>
          <w:kern w:val="0"/>
          <w:sz w:val="30"/>
          <w:szCs w:val="30"/>
          <w:highlight w:val="none"/>
        </w:rPr>
      </w:pPr>
    </w:p>
    <w:p>
      <w:pPr>
        <w:rPr>
          <w:rFonts w:hint="eastAsia" w:ascii="宋体" w:hAnsi="宋体" w:eastAsia="宋体" w:cs="宋体"/>
          <w:color w:val="auto"/>
          <w:kern w:val="0"/>
          <w:sz w:val="30"/>
          <w:szCs w:val="30"/>
          <w:highlight w:val="none"/>
          <w:u w:val="single"/>
        </w:rPr>
      </w:pPr>
      <w:r>
        <w:rPr>
          <w:rFonts w:hint="eastAsia" w:ascii="宋体" w:hAnsi="宋体" w:eastAsia="宋体" w:cs="宋体"/>
          <w:color w:val="auto"/>
          <w:kern w:val="0"/>
          <w:sz w:val="30"/>
          <w:szCs w:val="30"/>
          <w:highlight w:val="none"/>
        </w:rPr>
        <w:t xml:space="preserve"> </w:t>
      </w:r>
      <w:r>
        <w:rPr>
          <w:rFonts w:hint="eastAsia" w:ascii="宋体" w:hAnsi="宋体" w:eastAsia="宋体" w:cs="宋体"/>
          <w:color w:val="auto"/>
          <w:kern w:val="0"/>
          <w:sz w:val="30"/>
          <w:szCs w:val="30"/>
          <w:highlight w:val="none"/>
          <w:u w:val="single"/>
        </w:rPr>
        <w:t xml:space="preserve">                                                   </w:t>
      </w:r>
    </w:p>
    <w:p>
      <w:pPr>
        <w:ind w:firstLine="105" w:firstLineChars="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（从业人员、营业收入、资产总额填报上一年度数据，无上一年度数据的新成立企业可不填报）</w:t>
      </w:r>
    </w:p>
    <w:p>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bookmarkEnd w:id="496"/>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二、监狱企业声明函</w:t>
      </w:r>
    </w:p>
    <w:p>
      <w:pPr>
        <w:spacing w:line="360" w:lineRule="auto"/>
        <w:rPr>
          <w:rFonts w:hint="eastAsia" w:ascii="宋体" w:hAnsi="宋体" w:eastAsia="宋体" w:cs="宋体"/>
          <w:b/>
          <w:color w:val="auto"/>
          <w:kern w:val="0"/>
          <w:sz w:val="24"/>
          <w:szCs w:val="20"/>
          <w:highlight w:val="none"/>
        </w:rPr>
      </w:pPr>
    </w:p>
    <w:p>
      <w:pPr>
        <w:widowControl/>
        <w:spacing w:before="100" w:beforeAutospacing="1" w:after="100" w:afterAutospacing="1"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本单位郑重声明下列事项（按照实际情况勾选或填空）：</w:t>
      </w:r>
    </w:p>
    <w:p>
      <w:pPr>
        <w:widowControl/>
        <w:spacing w:before="100" w:beforeAutospacing="1" w:after="100" w:afterAutospacing="1"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本单位为直接供应商，提供本单位制造的货物。</w:t>
      </w:r>
    </w:p>
    <w:p>
      <w:pPr>
        <w:widowControl/>
        <w:spacing w:before="100" w:beforeAutospacing="1" w:after="100" w:afterAutospacing="1" w:line="360" w:lineRule="auto"/>
        <w:ind w:firstLine="360" w:firstLineChars="15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（1）本企业（单位）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（请填写：是、不是）监狱企业。如果是，后附省级以上监狱管理局、戒毒管理局（含新疆生产建设兵团）出具的属于监狱企业的证明文件。</w:t>
      </w:r>
    </w:p>
    <w:p>
      <w:pPr>
        <w:widowControl/>
        <w:spacing w:before="100" w:beforeAutospacing="1" w:after="100" w:afterAutospacing="1" w:line="360" w:lineRule="auto"/>
        <w:ind w:firstLine="42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（2）本企业（单位）</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（请填写：是、不是）为联合体一方，提供本企业（单位）制造的货物，由本企业（单位）承担工程、提供服务。本企业（单位）提供协议合同金额占到共同投标协议合同总金额的比例为</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p>
    <w:p>
      <w:pPr>
        <w:widowControl/>
        <w:spacing w:before="100" w:beforeAutospacing="1" w:after="100" w:afterAutospacing="1"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本企业（单位）对上述声明的真实性负责。如有虚假，将依法承担相应责任。</w:t>
      </w:r>
    </w:p>
    <w:p>
      <w:pPr>
        <w:widowControl/>
        <w:spacing w:before="100" w:beforeAutospacing="1" w:after="100" w:afterAutospacing="1" w:line="360" w:lineRule="auto"/>
        <w:jc w:val="left"/>
        <w:rPr>
          <w:rFonts w:hint="eastAsia" w:ascii="宋体" w:hAnsi="宋体" w:eastAsia="宋体" w:cs="宋体"/>
          <w:b/>
          <w:color w:val="auto"/>
          <w:kern w:val="0"/>
          <w:sz w:val="24"/>
          <w:szCs w:val="20"/>
          <w:highlight w:val="none"/>
        </w:rPr>
      </w:pPr>
      <w:r>
        <w:rPr>
          <w:rFonts w:hint="eastAsia" w:ascii="宋体" w:hAnsi="宋体" w:eastAsia="宋体" w:cs="宋体"/>
          <w:color w:val="auto"/>
          <w:kern w:val="0"/>
          <w:sz w:val="24"/>
          <w:highlight w:val="none"/>
        </w:rPr>
        <w:t>　</w:t>
      </w:r>
      <w:r>
        <w:rPr>
          <w:rFonts w:hint="eastAsia" w:ascii="宋体" w:hAnsi="宋体" w:eastAsia="宋体" w:cs="宋体"/>
          <w:b/>
          <w:color w:val="auto"/>
          <w:kern w:val="0"/>
          <w:sz w:val="24"/>
          <w:szCs w:val="20"/>
          <w:highlight w:val="none"/>
        </w:rPr>
        <w:t>　</w:t>
      </w:r>
    </w:p>
    <w:p>
      <w:pPr>
        <w:widowControl/>
        <w:spacing w:before="100" w:beforeAutospacing="1" w:after="100" w:afterAutospacing="1" w:line="360" w:lineRule="auto"/>
        <w:ind w:firstLine="360" w:firstLineChars="15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单位名称（公章）：</w:t>
      </w:r>
      <w:r>
        <w:rPr>
          <w:rFonts w:hint="eastAsia" w:ascii="宋体" w:hAnsi="宋体" w:eastAsia="宋体" w:cs="宋体"/>
          <w:color w:val="auto"/>
          <w:kern w:val="0"/>
          <w:sz w:val="24"/>
          <w:highlight w:val="none"/>
          <w:u w:val="single"/>
        </w:rPr>
        <w:t xml:space="preserve">             </w:t>
      </w:r>
    </w:p>
    <w:p>
      <w:pPr>
        <w:widowControl/>
        <w:spacing w:before="100" w:beforeAutospacing="1" w:after="100" w:afterAutospacing="1" w:line="360" w:lineRule="auto"/>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 　法定代表人或授权代表（签字）: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pPr>
        <w:widowControl/>
        <w:spacing w:before="100" w:beforeAutospacing="1" w:after="100" w:afterAutospacing="1" w:line="360" w:lineRule="auto"/>
        <w:ind w:firstLine="240" w:firstLineChars="100"/>
        <w:jc w:val="left"/>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日　期：</w:t>
      </w:r>
      <w:r>
        <w:rPr>
          <w:rFonts w:hint="eastAsia" w:ascii="宋体" w:hAnsi="宋体" w:eastAsia="宋体" w:cs="宋体"/>
          <w:color w:val="auto"/>
          <w:kern w:val="0"/>
          <w:sz w:val="24"/>
          <w:highlight w:val="none"/>
          <w:u w:val="single"/>
        </w:rPr>
        <w:t xml:space="preserve">             </w:t>
      </w:r>
    </w:p>
    <w:p>
      <w:pPr>
        <w:widowControl/>
        <w:spacing w:before="100" w:beforeAutospacing="1" w:after="100" w:afterAutospacing="1" w:line="360" w:lineRule="auto"/>
        <w:jc w:val="left"/>
        <w:rPr>
          <w:rFonts w:hint="eastAsia" w:ascii="宋体" w:hAnsi="宋体" w:eastAsia="宋体" w:cs="宋体"/>
          <w:color w:val="auto"/>
          <w:kern w:val="0"/>
          <w:sz w:val="24"/>
          <w:highlight w:val="none"/>
          <w:u w:val="single"/>
        </w:rPr>
      </w:pPr>
    </w:p>
    <w:p>
      <w:pPr>
        <w:widowControl/>
        <w:spacing w:before="100" w:beforeAutospacing="1" w:after="100" w:afterAutospacing="1" w:line="360" w:lineRule="auto"/>
        <w:jc w:val="lef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注：符合《关于政府采购支持监狱企业发展有关问题的通知》价格扣减条件的供应商须提交。需提供</w:t>
      </w:r>
      <w:r>
        <w:rPr>
          <w:rFonts w:hint="eastAsia" w:ascii="宋体" w:hAnsi="宋体" w:eastAsia="宋体" w:cs="宋体"/>
          <w:color w:val="auto"/>
          <w:sz w:val="24"/>
          <w:highlight w:val="none"/>
        </w:rPr>
        <w:t>省级以上监狱管理局、戒毒管理局（含新疆生产建设兵团）出具的属于监狱企业的证明文件。</w:t>
      </w:r>
    </w:p>
    <w:p>
      <w:pPr>
        <w:rPr>
          <w:rFonts w:hint="eastAsia" w:ascii="宋体" w:hAnsi="宋体" w:eastAsia="宋体" w:cs="宋体"/>
          <w:color w:val="auto"/>
          <w:sz w:val="32"/>
          <w:szCs w:val="32"/>
          <w:highlight w:val="none"/>
        </w:rPr>
      </w:pPr>
    </w:p>
    <w:p>
      <w:pPr>
        <w:pStyle w:val="5"/>
        <w:jc w:val="center"/>
        <w:rPr>
          <w:rFonts w:hint="eastAsia" w:ascii="宋体" w:hAnsi="宋体" w:eastAsia="宋体" w:cs="宋体"/>
          <w:b/>
          <w:color w:val="auto"/>
          <w:sz w:val="32"/>
          <w:szCs w:val="32"/>
          <w:highlight w:val="none"/>
        </w:rPr>
      </w:pPr>
      <w:bookmarkStart w:id="497" w:name="_Toc7005134"/>
      <w:r>
        <w:rPr>
          <w:rFonts w:hint="eastAsia" w:ascii="宋体" w:hAnsi="宋体" w:eastAsia="宋体" w:cs="宋体"/>
          <w:color w:val="auto"/>
          <w:sz w:val="32"/>
          <w:szCs w:val="32"/>
          <w:highlight w:val="none"/>
        </w:rPr>
        <w:br w:type="page"/>
      </w:r>
      <w:r>
        <w:rPr>
          <w:rFonts w:hint="eastAsia" w:ascii="宋体" w:hAnsi="宋体" w:eastAsia="宋体" w:cs="宋体"/>
          <w:b/>
          <w:bCs/>
          <w:color w:val="auto"/>
          <w:sz w:val="28"/>
          <w:szCs w:val="36"/>
          <w:highlight w:val="none"/>
        </w:rPr>
        <w:t>三、残疾人福利性单位声明函</w:t>
      </w:r>
      <w:bookmarkEnd w:id="497"/>
    </w:p>
    <w:p>
      <w:pPr>
        <w:spacing w:after="120"/>
        <w:rPr>
          <w:rFonts w:hint="eastAsia" w:ascii="宋体" w:hAnsi="宋体" w:eastAsia="宋体" w:cs="宋体"/>
          <w:color w:val="auto"/>
          <w:highlight w:val="none"/>
        </w:rPr>
      </w:pPr>
    </w:p>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（注：符合条件的残疾人福利性单位请提供本函，不符合的不提供本函）</w:t>
      </w:r>
    </w:p>
    <w:p>
      <w:pPr>
        <w:rPr>
          <w:rFonts w:hint="eastAsia" w:ascii="宋体" w:hAnsi="宋体" w:eastAsia="宋体" w:cs="宋体"/>
          <w:color w:val="auto"/>
          <w:sz w:val="24"/>
          <w:highlight w:val="none"/>
        </w:rPr>
      </w:pPr>
    </w:p>
    <w:p>
      <w:pPr>
        <w:spacing w:line="360" w:lineRule="auto"/>
        <w:rPr>
          <w:rFonts w:hint="eastAsia" w:ascii="宋体" w:hAnsi="宋体" w:eastAsia="宋体" w:cs="宋体"/>
          <w:color w:val="auto"/>
          <w:sz w:val="24"/>
          <w:highlight w:val="none"/>
        </w:rPr>
      </w:pP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本单位对上述声明的真实性负责。如有虚假，将依法承担相应责任。</w:t>
      </w:r>
    </w:p>
    <w:p>
      <w:pPr>
        <w:spacing w:line="360" w:lineRule="auto"/>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rPr>
          <w:rFonts w:hint="eastAsia" w:ascii="宋体" w:hAnsi="宋体" w:eastAsia="宋体" w:cs="宋体"/>
          <w:color w:val="auto"/>
          <w:sz w:val="24"/>
          <w:highlight w:val="none"/>
        </w:rPr>
      </w:pPr>
    </w:p>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rPr>
          <w:rFonts w:hint="eastAsia" w:ascii="宋体" w:hAnsi="宋体" w:eastAsia="宋体" w:cs="宋体"/>
          <w:color w:val="auto"/>
          <w:sz w:val="24"/>
          <w:highlight w:val="none"/>
        </w:rPr>
      </w:pPr>
    </w:p>
    <w:p>
      <w:pPr>
        <w:ind w:firstLine="3600" w:firstLineChars="1500"/>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单位名称（公章）：</w:t>
      </w:r>
    </w:p>
    <w:p>
      <w:pPr>
        <w:rPr>
          <w:rFonts w:hint="eastAsia" w:ascii="宋体" w:hAnsi="宋体" w:eastAsia="宋体" w:cs="宋体"/>
          <w:color w:val="auto"/>
          <w:sz w:val="24"/>
          <w:highlight w:val="none"/>
        </w:rPr>
      </w:pPr>
    </w:p>
    <w:p>
      <w:pPr>
        <w:ind w:firstLine="3600" w:firstLineChars="15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p>
    <w:p>
      <w:pPr>
        <w:rPr>
          <w:rFonts w:hint="eastAsia" w:ascii="宋体" w:hAnsi="宋体" w:eastAsia="宋体" w:cs="宋体"/>
          <w:color w:val="auto"/>
          <w:sz w:val="24"/>
          <w:highlight w:val="none"/>
        </w:rPr>
      </w:pPr>
    </w:p>
    <w:p>
      <w:pPr>
        <w:snapToGrid w:val="0"/>
        <w:spacing w:before="120" w:beforeLines="50"/>
        <w:jc w:val="center"/>
        <w:rPr>
          <w:rFonts w:hint="eastAsia" w:ascii="宋体" w:hAnsi="宋体" w:eastAsia="宋体" w:cs="宋体"/>
          <w:b/>
          <w:color w:val="auto"/>
          <w:sz w:val="24"/>
          <w:szCs w:val="21"/>
          <w:highlight w:val="none"/>
        </w:rPr>
      </w:pPr>
    </w:p>
    <w:p>
      <w:pPr>
        <w:widowControl/>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四、响应承诺书</w:t>
      </w:r>
    </w:p>
    <w:p>
      <w:pPr>
        <w:spacing w:line="360" w:lineRule="auto"/>
        <w:rPr>
          <w:rFonts w:hint="eastAsia" w:ascii="宋体" w:hAnsi="宋体" w:eastAsia="宋体" w:cs="宋体"/>
          <w:color w:val="auto"/>
          <w:sz w:val="24"/>
          <w:highlight w:val="none"/>
        </w:rPr>
      </w:pPr>
    </w:p>
    <w:p>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中盛精诚工程项目管理有限公司：</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我方在此声明，我方以下事项进行承诺：</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 在本次磋商中我公司无与其他供应商相互串通，或与采购人串通的行为；</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 在本次磋商中我公司无向采购人或磋商小组成员行贿的手段谋取成交的行为；</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 在本次磋商中我公司无出借或借用资质行为、在响应文件中所附资料（业绩、项目负责人资料等）无弄虚作假；</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 我公司没有处于被责令停产、停业、投标资格被取消状态；</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我公司不采用非法手段获取证据进行质疑、投诉，在质疑、投诉过程中不提供虚假情况或进行恶意质疑、投诉。</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上述承诺内容如有不实，我公司愿意承担由此造成的一切法律责任，并承诺以磋商保证金赔偿给采购人造成的损失。</w:t>
      </w:r>
    </w:p>
    <w:p>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pPr>
        <w:spacing w:line="360" w:lineRule="auto"/>
        <w:ind w:firstLine="480" w:firstLineChars="200"/>
        <w:rPr>
          <w:rFonts w:hint="eastAsia" w:ascii="宋体" w:hAnsi="宋体" w:eastAsia="宋体" w:cs="宋体"/>
          <w:color w:val="auto"/>
          <w:sz w:val="24"/>
          <w:highlight w:val="none"/>
        </w:rPr>
      </w:pP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供应商名称（公章）： </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pPr>
        <w:spacing w:before="120" w:after="12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pPr>
        <w:pStyle w:val="22"/>
        <w:rPr>
          <w:rFonts w:hint="eastAsia" w:ascii="宋体" w:hAnsi="宋体" w:eastAsia="宋体" w:cs="宋体"/>
          <w:color w:val="auto"/>
          <w:highlight w:val="none"/>
        </w:rPr>
      </w:pPr>
      <w:r>
        <w:rPr>
          <w:rFonts w:hint="eastAsia" w:ascii="宋体" w:hAnsi="宋体" w:eastAsia="宋体" w:cs="宋体"/>
          <w:color w:val="auto"/>
          <w:highlight w:val="none"/>
        </w:rPr>
        <w:br w:type="page"/>
      </w:r>
    </w:p>
    <w:p>
      <w:pPr>
        <w:pStyle w:val="4"/>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第八部分  保证金支付凭证或担保函（复印件）</w:t>
      </w:r>
    </w:p>
    <w:p>
      <w:pPr>
        <w:pStyle w:val="196"/>
        <w:rPr>
          <w:rFonts w:hint="eastAsia" w:ascii="宋体" w:hAnsi="宋体" w:eastAsia="宋体" w:cs="宋体"/>
          <w:b/>
          <w:color w:val="auto"/>
          <w:sz w:val="32"/>
          <w:szCs w:val="32"/>
          <w:highlight w:val="none"/>
        </w:rPr>
      </w:pPr>
    </w:p>
    <w:p>
      <w:pPr>
        <w:rPr>
          <w:rFonts w:hint="eastAsia" w:ascii="宋体" w:hAnsi="宋体" w:eastAsia="宋体" w:cs="宋体"/>
          <w:color w:val="auto"/>
          <w:sz w:val="24"/>
          <w:highlight w:val="none"/>
        </w:rPr>
      </w:pPr>
    </w:p>
    <w:p>
      <w:pPr>
        <w:spacing w:after="120"/>
        <w:rPr>
          <w:rFonts w:hint="eastAsia" w:ascii="宋体" w:hAnsi="宋体" w:eastAsia="宋体" w:cs="宋体"/>
          <w:color w:val="auto"/>
          <w:highlight w:val="none"/>
        </w:rPr>
      </w:pPr>
    </w:p>
    <w:p>
      <w:pPr>
        <w:spacing w:after="120"/>
        <w:rPr>
          <w:rFonts w:hint="eastAsia" w:ascii="宋体" w:hAnsi="宋体" w:eastAsia="宋体" w:cs="宋体"/>
          <w:color w:val="auto"/>
          <w:highlight w:val="none"/>
        </w:rPr>
      </w:pPr>
    </w:p>
    <w:p>
      <w:pPr>
        <w:spacing w:after="120"/>
        <w:rPr>
          <w:rFonts w:hint="eastAsia" w:ascii="宋体" w:hAnsi="宋体" w:eastAsia="宋体" w:cs="宋体"/>
          <w:color w:val="auto"/>
          <w:highlight w:val="none"/>
        </w:rPr>
      </w:pPr>
    </w:p>
    <w:p>
      <w:pPr>
        <w:spacing w:after="120"/>
        <w:rPr>
          <w:rFonts w:hint="eastAsia" w:ascii="宋体" w:hAnsi="宋体" w:eastAsia="宋体" w:cs="宋体"/>
          <w:color w:val="auto"/>
          <w:highlight w:val="none"/>
        </w:rPr>
      </w:pPr>
    </w:p>
    <w:p>
      <w:pPr>
        <w:spacing w:after="120"/>
        <w:rPr>
          <w:rFonts w:hint="eastAsia" w:ascii="宋体" w:hAnsi="宋体" w:eastAsia="宋体" w:cs="宋体"/>
          <w:color w:val="auto"/>
          <w:highlight w:val="none"/>
        </w:rPr>
      </w:pPr>
    </w:p>
    <w:p>
      <w:pPr>
        <w:autoSpaceDE w:val="0"/>
        <w:autoSpaceDN w:val="0"/>
        <w:adjustRightInd w:val="0"/>
        <w:spacing w:line="360" w:lineRule="auto"/>
        <w:jc w:val="center"/>
        <w:rPr>
          <w:rFonts w:hint="eastAsia" w:ascii="宋体" w:hAnsi="宋体" w:eastAsia="宋体" w:cs="宋体"/>
          <w:b/>
          <w:bCs/>
          <w:color w:val="auto"/>
          <w:sz w:val="44"/>
          <w:szCs w:val="44"/>
          <w:highlight w:val="none"/>
          <w:lang w:val="zh-CN"/>
        </w:rPr>
      </w:pPr>
    </w:p>
    <w:p>
      <w:pPr>
        <w:autoSpaceDE w:val="0"/>
        <w:autoSpaceDN w:val="0"/>
        <w:adjustRightInd w:val="0"/>
        <w:snapToGrid w:val="0"/>
        <w:spacing w:line="288" w:lineRule="auto"/>
        <w:jc w:val="left"/>
        <w:rPr>
          <w:rFonts w:hint="eastAsia" w:ascii="宋体" w:hAnsi="宋体" w:eastAsia="宋体" w:cs="宋体"/>
          <w:bCs/>
          <w:color w:val="auto"/>
          <w:sz w:val="44"/>
          <w:szCs w:val="44"/>
          <w:highlight w:val="none"/>
        </w:rPr>
        <w:sectPr>
          <w:pgSz w:w="11906" w:h="16838"/>
          <w:pgMar w:top="1418" w:right="1418" w:bottom="1418" w:left="1418" w:header="851" w:footer="992" w:gutter="0"/>
          <w:cols w:space="720" w:num="1"/>
          <w:docGrid w:linePitch="312" w:charSpace="0"/>
        </w:sectPr>
      </w:pPr>
    </w:p>
    <w:p>
      <w:pPr>
        <w:pStyle w:val="5"/>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附件1</w:t>
      </w: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磋商响应担保函</w:t>
      </w:r>
    </w:p>
    <w:p>
      <w:pPr>
        <w:snapToGrid w:val="0"/>
        <w:ind w:firstLine="3360" w:firstLineChars="1400"/>
        <w:rPr>
          <w:rFonts w:hint="eastAsia" w:ascii="宋体" w:hAnsi="宋体" w:eastAsia="宋体" w:cs="宋体"/>
          <w:color w:val="auto"/>
          <w:sz w:val="24"/>
          <w:highlight w:val="none"/>
        </w:rPr>
      </w:pPr>
      <w:r>
        <w:rPr>
          <w:rFonts w:hint="eastAsia" w:ascii="宋体" w:hAnsi="宋体" w:eastAsia="宋体" w:cs="宋体"/>
          <w:bCs/>
          <w:color w:val="auto"/>
          <w:sz w:val="24"/>
          <w:highlight w:val="none"/>
        </w:rPr>
        <w:t>（适用于保证金保函）</w:t>
      </w:r>
    </w:p>
    <w:p>
      <w:pPr>
        <w:snapToGrid w:val="0"/>
        <w:ind w:right="48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保函编号:</w:t>
      </w:r>
    </w:p>
    <w:p>
      <w:pPr>
        <w:snapToGrid w:val="0"/>
        <w:ind w:right="48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中盛精诚工程项目管理有限公司</w:t>
      </w:r>
      <w:r>
        <w:rPr>
          <w:rFonts w:hint="eastAsia" w:ascii="宋体" w:hAnsi="宋体" w:eastAsia="宋体" w:cs="宋体"/>
          <w:color w:val="auto"/>
          <w:sz w:val="24"/>
          <w:highlight w:val="none"/>
        </w:rPr>
        <w:t>(下称受益人)：</w:t>
      </w:r>
    </w:p>
    <w:p>
      <w:pPr>
        <w:snapToGrid w:val="0"/>
        <w:spacing w:line="288"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鉴于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(下称被保证人)将于</w:t>
      </w:r>
      <w:r>
        <w:rPr>
          <w:rFonts w:hint="eastAsia" w:ascii="宋体" w:hAnsi="宋体" w:eastAsia="宋体" w:cs="宋体"/>
          <w:color w:val="auto"/>
          <w:sz w:val="24"/>
          <w:highlight w:val="none"/>
          <w:u w:val="single"/>
        </w:rPr>
        <w:t>    年 月 日</w:t>
      </w:r>
      <w:r>
        <w:rPr>
          <w:rFonts w:hint="eastAsia" w:ascii="宋体" w:hAnsi="宋体" w:eastAsia="宋体" w:cs="宋体"/>
          <w:color w:val="auto"/>
          <w:sz w:val="24"/>
          <w:highlight w:val="none"/>
        </w:rPr>
        <w:t>参加贵方竞争性磋商文件编号为</w:t>
      </w:r>
      <w:r>
        <w:rPr>
          <w:rFonts w:hint="eastAsia" w:ascii="宋体" w:hAnsi="宋体" w:eastAsia="宋体" w:cs="宋体"/>
          <w:color w:val="auto"/>
          <w:sz w:val="24"/>
          <w:highlight w:val="none"/>
          <w:u w:val="single"/>
        </w:rPr>
        <w:t> （采购项目编号）</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（项目名称） </w:t>
      </w:r>
      <w:r>
        <w:rPr>
          <w:rFonts w:hint="eastAsia" w:ascii="宋体" w:hAnsi="宋体" w:eastAsia="宋体" w:cs="宋体"/>
          <w:color w:val="auto"/>
          <w:sz w:val="24"/>
          <w:highlight w:val="none"/>
        </w:rPr>
        <w:t>的竞争性磋商,我方接受被保证人的委托,在此向受益人提供不可撤销的磋商保证：</w:t>
      </w:r>
    </w:p>
    <w:p>
      <w:pPr>
        <w:numPr>
          <w:ilvl w:val="0"/>
          <w:numId w:val="21"/>
        </w:numPr>
        <w:snapToGrid w:val="0"/>
        <w:spacing w:line="288"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本保证担保的担保金额为</w:t>
      </w:r>
      <w:r>
        <w:rPr>
          <w:rFonts w:hint="eastAsia" w:ascii="宋体" w:hAnsi="宋体" w:eastAsia="宋体" w:cs="宋体"/>
          <w:color w:val="auto"/>
          <w:sz w:val="24"/>
          <w:highlight w:val="none"/>
          <w:u w:val="single"/>
        </w:rPr>
        <w:t>人民币</w:t>
      </w:r>
      <w:r>
        <w:rPr>
          <w:rFonts w:hint="eastAsia" w:ascii="宋体" w:hAnsi="宋体" w:eastAsia="宋体" w:cs="宋体"/>
          <w:color w:val="auto"/>
          <w:sz w:val="24"/>
          <w:highlight w:val="none"/>
        </w:rPr>
        <w:t>(币种</w:t>
      </w:r>
      <w:r>
        <w:rPr>
          <w:rFonts w:hint="eastAsia" w:ascii="宋体" w:hAnsi="宋体" w:eastAsia="宋体" w:cs="宋体"/>
          <w:color w:val="auto"/>
          <w:sz w:val="24"/>
          <w:highlight w:val="none"/>
          <w:u w:val="single"/>
        </w:rPr>
        <w:t>)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元整</w:t>
      </w:r>
      <w:r>
        <w:rPr>
          <w:rFonts w:hint="eastAsia" w:ascii="宋体" w:hAnsi="宋体" w:eastAsia="宋体" w:cs="宋体"/>
          <w:color w:val="auto"/>
          <w:sz w:val="24"/>
          <w:highlight w:val="none"/>
        </w:rPr>
        <w:t>(大写）。</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二、本保证担保的保证期间为响应文件的有效期(或延长的有效期),延长有效期无须通知我方。</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三、在本保证担保的保证期间内,如果被保证人出现下列情形之一,受益人可以向我方提起索赔：</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1.被保证人在响应文件有效期内撤回其响应文件；</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2.被保证人在响应文件有效期内收到受益人发出的成交通知书后,不能或拒绝按竞争性磋商文件的要求签署合同；</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3.被保证人在有效期内收到受益人发出的成交通知书后,不能或拒绝按竞争性磋商文件的规定提交履约担保；</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4.被保证人成交后未按照竞争性磋商文件规定交纳代理服务费。</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五、受益人的索赔通知应当说明索赔理由,并必须在本保证担保的保证期间内送达我方。</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六、本保证担保项下的权利不得转让。</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七、本保证担保的保证期间届满,或我方已向受益人支付本保证担保的担保金额,我方的保证责任免除。</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八、本保证担保适用中华人民共和国法律。</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 xml:space="preserve">    九、本保证担保以中文文本为准,涂改无效。</w:t>
      </w:r>
    </w:p>
    <w:p>
      <w:pPr>
        <w:snapToGrid w:val="0"/>
        <w:spacing w:line="288"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保证人(盖章):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br w:type="textWrapping"/>
      </w:r>
      <w:r>
        <w:rPr>
          <w:rFonts w:hint="eastAsia" w:ascii="宋体" w:hAnsi="宋体" w:eastAsia="宋体" w:cs="宋体"/>
          <w:color w:val="auto"/>
          <w:sz w:val="24"/>
          <w:highlight w:val="none"/>
        </w:rPr>
        <w:t xml:space="preserve">法定代表人或其授权委托代理人(签字或盖章）：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br w:type="textWrapping"/>
      </w:r>
      <w:r>
        <w:rPr>
          <w:rFonts w:hint="eastAsia" w:ascii="宋体" w:hAnsi="宋体" w:eastAsia="宋体" w:cs="宋体"/>
          <w:color w:val="auto"/>
          <w:sz w:val="24"/>
          <w:highlight w:val="none"/>
        </w:rPr>
        <w:t>单位地址:</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rPr>
        <w:br w:type="textWrapping"/>
      </w:r>
      <w:r>
        <w:rPr>
          <w:rFonts w:hint="eastAsia" w:ascii="宋体" w:hAnsi="宋体" w:eastAsia="宋体" w:cs="宋体"/>
          <w:color w:val="auto"/>
          <w:sz w:val="24"/>
          <w:highlight w:val="none"/>
        </w:rPr>
        <w:t>电话:     </w:t>
      </w:r>
    </w:p>
    <w:p>
      <w:pPr>
        <w:snapToGrid w:val="0"/>
        <w:spacing w:line="288"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     年    月    日</w:t>
      </w:r>
    </w:p>
    <w:p>
      <w:pPr>
        <w:pStyle w:val="5"/>
        <w:rPr>
          <w:rFonts w:hint="eastAsia" w:ascii="宋体" w:hAnsi="宋体" w:eastAsia="宋体" w:cs="宋体"/>
          <w:b/>
          <w:bCs/>
          <w:color w:val="auto"/>
          <w:kern w:val="0"/>
          <w:sz w:val="32"/>
          <w:szCs w:val="32"/>
          <w:highlight w:val="none"/>
        </w:rPr>
      </w:pPr>
      <w:bookmarkStart w:id="498" w:name="_Toc532473491"/>
      <w:bookmarkStart w:id="499" w:name="_Toc21748"/>
      <w:bookmarkStart w:id="500" w:name="_Toc16186"/>
      <w:bookmarkStart w:id="501" w:name="_Toc515647799"/>
      <w:r>
        <w:rPr>
          <w:rFonts w:hint="eastAsia" w:ascii="宋体" w:hAnsi="宋体" w:eastAsia="宋体" w:cs="宋体"/>
          <w:color w:val="auto"/>
          <w:kern w:val="0"/>
          <w:sz w:val="24"/>
          <w:highlight w:val="none"/>
        </w:rPr>
        <w:br w:type="page"/>
      </w:r>
      <w:bookmarkEnd w:id="498"/>
      <w:bookmarkEnd w:id="499"/>
      <w:bookmarkEnd w:id="500"/>
      <w:bookmarkEnd w:id="501"/>
      <w:bookmarkStart w:id="502" w:name="_Toc10951"/>
      <w:bookmarkStart w:id="503" w:name="_Toc6548"/>
      <w:bookmarkStart w:id="504" w:name="_Toc515647800"/>
      <w:bookmarkStart w:id="505" w:name="_Toc20660404"/>
      <w:bookmarkStart w:id="506" w:name="_Toc532473492"/>
      <w:r>
        <w:rPr>
          <w:rFonts w:hint="eastAsia" w:ascii="宋体" w:hAnsi="宋体" w:eastAsia="宋体" w:cs="宋体"/>
          <w:b/>
          <w:bCs/>
          <w:color w:val="auto"/>
          <w:sz w:val="28"/>
          <w:szCs w:val="36"/>
          <w:highlight w:val="none"/>
        </w:rPr>
        <w:t>附件2</w:t>
      </w: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履约担保函格式</w:t>
      </w:r>
      <w:bookmarkEnd w:id="502"/>
      <w:bookmarkEnd w:id="503"/>
      <w:bookmarkEnd w:id="504"/>
      <w:bookmarkEnd w:id="505"/>
      <w:bookmarkEnd w:id="506"/>
    </w:p>
    <w:p>
      <w:pPr>
        <w:snapToGrid w:val="0"/>
        <w:spacing w:line="336"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编号：</w:t>
      </w:r>
    </w:p>
    <w:p>
      <w:pPr>
        <w:snapToGrid w:val="0"/>
        <w:spacing w:line="336" w:lineRule="auto"/>
        <w:rPr>
          <w:rFonts w:hint="eastAsia" w:ascii="宋体" w:hAnsi="宋体" w:eastAsia="宋体" w:cs="宋体"/>
          <w:color w:val="auto"/>
          <w:sz w:val="28"/>
          <w:szCs w:val="28"/>
          <w:highlight w:val="none"/>
        </w:rPr>
      </w:pPr>
    </w:p>
    <w:p>
      <w:pPr>
        <w:snapToGrid w:val="0"/>
        <w:spacing w:line="336"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（采购人名称）：</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鉴于你方与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（以下简称供应商）于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日签定编号为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政府采购合同》（以下简称主合同），且依据该合同的约定，供应商应在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日前向你方交纳履约保证金，且可以履约担保函的形式交纳履约保证金。应供应商的申请，我方以保证的方式向你方提供如下履约保证金担保：</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一、保证责任的情形及保证金额</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（一）在供应商出现下列情形之一时，我方承担保证责任：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1．将成交项目转让给他人，或者在磋商响应文件中未说明，且未经采购人同意，将成交项目分包给他人的；</w:t>
      </w:r>
    </w:p>
    <w:p>
      <w:pPr>
        <w:snapToGrid w:val="0"/>
        <w:spacing w:line="336"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2．主合同约定的应当缴纳履约保证金的情形: </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（1）未按主合同约定的质量、数量和期限供应货物/提供服务/完成工程的；</w:t>
      </w:r>
    </w:p>
    <w:p>
      <w:pPr>
        <w:snapToGrid w:val="0"/>
        <w:spacing w:line="336"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（二）我方的保证范围是主合同约定的合同价款总额的</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%数额为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），币种为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。（即主合同履约保证金金额）</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二、保证的方式及保证期间</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我方保证的方式为：连带责任保证。</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我方保证的期间为：自本合同生效之日起至供应商按照主合同约定的供货/完工期限届满后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日内。</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如果供应商未按主合同约定向贵方供应货物/提供服务/完成工程的，由我方在保证金额内向你方支付上述款项。</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三、承担保证责任的程序</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1．你方要求我方承担保证责任的，应在本保函保证期间内向我方发出书面索赔通知。索赔通知应写明要求索赔的金额，支付款项应到达的账号。并附有证明供应商违约事实的证明材料。</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如果你方与供应商因货物质量问题产生争议，你方还需同时提供</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部门出具的质量检测报告，或经诉讼（仲裁）程序裁决后的裁决书、调解书，本保证人即按照检测结果或裁决书、调解书决定是否承担保证责任。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 我方收到你方的书面索赔通知及相应证明材料，在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工作日内进行核定后按照本保函的承诺承担保证责任。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四、保证责任的终止</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1．保证期间届满你方未向我方书面主张保证责任的，自保证期间届满次日起，我方保证责任自动终止。保证期间届满前，主合同约定的货物\工程\服务全部验收合格的，自验收合格日起，我方保证责任自动终止。</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2．我方按照本保函向你方履行了保证责任后，自我方向你方支付款项（支付款项从我方账户划出）之日起，保证责任即终止。</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3．按照法律法规的规定或出现应终止我方保证责任的其它情形的，我方在本保函项下的保证责任亦终止。</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五、免责条款</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1．因你方违反主合同约定致使供应商不能履行义务的，我方不承担保证责任。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2．依照法律法规的规定或你方与供应商的另行约定，全部或者部分免除供应商应缴纳的保证金义务的，我方亦免除相应的保证责任。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3．因不可抗力造成供应商不能履行供货义务的，我方不承担保证责任。</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六、争议的解决</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因本保函发生的纠纷，由你我双方协商解决，协商不成的，通过诉讼程序解决，诉讼管辖地法院为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法院。</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七、保函的生效</w:t>
      </w:r>
    </w:p>
    <w:p>
      <w:pPr>
        <w:snapToGrid w:val="0"/>
        <w:spacing w:line="336"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本保函自我方加盖公章之日起生效。</w:t>
      </w:r>
    </w:p>
    <w:p>
      <w:pPr>
        <w:snapToGrid w:val="0"/>
        <w:spacing w:line="336" w:lineRule="auto"/>
        <w:rPr>
          <w:rFonts w:hint="eastAsia" w:ascii="宋体" w:hAnsi="宋体" w:eastAsia="宋体" w:cs="宋体"/>
          <w:color w:val="auto"/>
          <w:sz w:val="24"/>
          <w:highlight w:val="none"/>
        </w:rPr>
      </w:pPr>
    </w:p>
    <w:p>
      <w:pPr>
        <w:snapToGrid w:val="0"/>
        <w:spacing w:line="336"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pPr>
        <w:spacing w:line="360" w:lineRule="auto"/>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出具保函单位名称（盖公章）：</w:t>
      </w:r>
      <w:r>
        <w:rPr>
          <w:rFonts w:hint="eastAsia" w:ascii="宋体" w:hAnsi="宋体" w:eastAsia="宋体" w:cs="宋体"/>
          <w:color w:val="auto"/>
          <w:sz w:val="24"/>
          <w:highlight w:val="none"/>
          <w:u w:val="single"/>
        </w:rPr>
        <w:t xml:space="preserve">                   </w:t>
      </w:r>
    </w:p>
    <w:p>
      <w:pPr>
        <w:spacing w:line="360" w:lineRule="auto"/>
        <w:ind w:left="1080" w:leftChars="257" w:hanging="54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签字人姓名和职务：</w:t>
      </w:r>
      <w:r>
        <w:rPr>
          <w:rFonts w:hint="eastAsia" w:ascii="宋体" w:hAnsi="宋体" w:eastAsia="宋体" w:cs="宋体"/>
          <w:color w:val="auto"/>
          <w:sz w:val="24"/>
          <w:highlight w:val="none"/>
          <w:u w:val="single"/>
        </w:rPr>
        <w:t xml:space="preserve">                             </w:t>
      </w:r>
    </w:p>
    <w:p>
      <w:pPr>
        <w:spacing w:line="360" w:lineRule="auto"/>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签字人签名：</w:t>
      </w:r>
      <w:r>
        <w:rPr>
          <w:rFonts w:hint="eastAsia" w:ascii="宋体" w:hAnsi="宋体" w:eastAsia="宋体" w:cs="宋体"/>
          <w:color w:val="auto"/>
          <w:sz w:val="24"/>
          <w:highlight w:val="none"/>
          <w:u w:val="single"/>
        </w:rPr>
        <w:t xml:space="preserve">                                   </w:t>
      </w:r>
    </w:p>
    <w:p>
      <w:pPr>
        <w:spacing w:line="360" w:lineRule="auto"/>
        <w:ind w:left="1080" w:leftChars="257" w:hanging="540"/>
        <w:rPr>
          <w:rFonts w:hint="eastAsia" w:ascii="宋体" w:hAnsi="宋体" w:eastAsia="宋体" w:cs="宋体"/>
          <w:color w:val="auto"/>
          <w:sz w:val="28"/>
          <w:szCs w:val="28"/>
          <w:highlight w:val="none"/>
          <w:u w:val="single"/>
        </w:rPr>
      </w:pPr>
      <w:r>
        <w:rPr>
          <w:rFonts w:hint="eastAsia" w:ascii="宋体" w:hAnsi="宋体" w:eastAsia="宋体" w:cs="宋体"/>
          <w:color w:val="auto"/>
          <w:sz w:val="24"/>
          <w:highlight w:val="none"/>
        </w:rPr>
        <w:t>时间：</w:t>
      </w:r>
      <w:r>
        <w:rPr>
          <w:rFonts w:hint="eastAsia" w:ascii="宋体" w:hAnsi="宋体" w:eastAsia="宋体" w:cs="宋体"/>
          <w:color w:val="auto"/>
          <w:sz w:val="24"/>
          <w:highlight w:val="none"/>
          <w:u w:val="single"/>
        </w:rPr>
        <w:t xml:space="preserve">         年      月      日    </w:t>
      </w:r>
      <w:r>
        <w:rPr>
          <w:rFonts w:hint="eastAsia" w:ascii="宋体" w:hAnsi="宋体" w:eastAsia="宋体" w:cs="宋体"/>
          <w:color w:val="auto"/>
          <w:sz w:val="28"/>
          <w:szCs w:val="28"/>
          <w:highlight w:val="none"/>
          <w:u w:val="single"/>
        </w:rPr>
        <w:t xml:space="preserve">                </w:t>
      </w:r>
    </w:p>
    <w:p>
      <w:pPr>
        <w:spacing w:after="120"/>
        <w:rPr>
          <w:rFonts w:hint="eastAsia" w:ascii="宋体" w:hAnsi="宋体" w:eastAsia="宋体" w:cs="宋体"/>
          <w:color w:val="auto"/>
          <w:highlight w:val="none"/>
        </w:rPr>
      </w:pPr>
    </w:p>
    <w:p>
      <w:pPr>
        <w:rPr>
          <w:rFonts w:hint="eastAsia" w:ascii="宋体" w:hAnsi="宋体" w:eastAsia="宋体" w:cs="宋体"/>
          <w:b/>
          <w:bCs/>
          <w:color w:val="auto"/>
          <w:sz w:val="28"/>
          <w:szCs w:val="36"/>
          <w:highlight w:val="none"/>
          <w:lang w:val="zh-CN"/>
        </w:rPr>
      </w:pPr>
      <w:r>
        <w:rPr>
          <w:rFonts w:hint="eastAsia" w:ascii="宋体" w:hAnsi="宋体" w:eastAsia="宋体" w:cs="宋体"/>
          <w:b/>
          <w:bCs/>
          <w:color w:val="auto"/>
          <w:sz w:val="28"/>
          <w:szCs w:val="36"/>
          <w:highlight w:val="none"/>
          <w:lang w:val="zh-CN"/>
        </w:rPr>
        <w:br w:type="page"/>
      </w:r>
    </w:p>
    <w:p>
      <w:pPr>
        <w:pStyle w:val="5"/>
        <w:rPr>
          <w:rFonts w:hint="eastAsia" w:ascii="宋体" w:hAnsi="宋体" w:eastAsia="宋体" w:cs="宋体"/>
          <w:b/>
          <w:bCs/>
          <w:color w:val="auto"/>
          <w:sz w:val="28"/>
          <w:szCs w:val="36"/>
          <w:highlight w:val="none"/>
          <w:lang w:val="zh-CN"/>
        </w:rPr>
      </w:pPr>
      <w:r>
        <w:rPr>
          <w:rFonts w:hint="eastAsia" w:ascii="宋体" w:hAnsi="宋体" w:eastAsia="宋体" w:cs="宋体"/>
          <w:b/>
          <w:bCs/>
          <w:color w:val="auto"/>
          <w:sz w:val="28"/>
          <w:szCs w:val="36"/>
          <w:highlight w:val="none"/>
          <w:lang w:val="zh-CN"/>
        </w:rPr>
        <w:t>附件3</w:t>
      </w:r>
    </w:p>
    <w:p>
      <w:pPr>
        <w:pStyle w:val="5"/>
        <w:jc w:val="center"/>
        <w:rPr>
          <w:rFonts w:hint="eastAsia" w:ascii="宋体" w:hAnsi="宋体" w:eastAsia="宋体" w:cs="宋体"/>
          <w:b/>
          <w:bCs/>
          <w:color w:val="auto"/>
          <w:sz w:val="28"/>
          <w:szCs w:val="36"/>
          <w:highlight w:val="none"/>
        </w:rPr>
      </w:pPr>
      <w:r>
        <w:rPr>
          <w:rFonts w:hint="eastAsia" w:ascii="宋体" w:hAnsi="宋体" w:eastAsia="宋体" w:cs="宋体"/>
          <w:b/>
          <w:bCs/>
          <w:color w:val="auto"/>
          <w:sz w:val="28"/>
          <w:szCs w:val="36"/>
          <w:highlight w:val="none"/>
        </w:rPr>
        <w:t xml:space="preserve"> （最后）磋商响应报价表</w:t>
      </w:r>
    </w:p>
    <w:p>
      <w:pPr>
        <w:spacing w:after="120"/>
        <w:rPr>
          <w:rFonts w:hint="eastAsia" w:ascii="宋体" w:hAnsi="宋体" w:eastAsia="宋体" w:cs="宋体"/>
          <w:color w:val="auto"/>
          <w:highlight w:val="none"/>
          <w:lang w:val="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zh-CN"/>
        </w:rPr>
        <w:t>（随身携带，单独提供，无需装订在响应文件中）</w:t>
      </w:r>
    </w:p>
    <w:p>
      <w:pPr>
        <w:pStyle w:val="22"/>
        <w:rPr>
          <w:rFonts w:hint="eastAsia" w:ascii="宋体" w:hAnsi="宋体" w:eastAsia="宋体" w:cs="宋体"/>
          <w:color w:val="auto"/>
          <w:highlight w:val="none"/>
          <w:lang w:val="zh-CN"/>
        </w:rPr>
      </w:pPr>
    </w:p>
    <w:tbl>
      <w:tblPr>
        <w:tblStyle w:val="5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98"/>
        <w:gridCol w:w="6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46" w:hRule="atLeast"/>
          <w:jc w:val="center"/>
        </w:trPr>
        <w:tc>
          <w:tcPr>
            <w:tcW w:w="1598" w:type="dxa"/>
            <w:vAlign w:val="center"/>
          </w:tcPr>
          <w:p>
            <w:pPr>
              <w:spacing w:after="120"/>
              <w:rPr>
                <w:rFonts w:hint="eastAsia" w:ascii="宋体" w:hAnsi="宋体" w:eastAsia="宋体" w:cs="宋体"/>
                <w:b/>
                <w:color w:val="auto"/>
                <w:sz w:val="24"/>
                <w:highlight w:val="none"/>
              </w:rPr>
            </w:pPr>
            <w:r>
              <w:rPr>
                <w:rFonts w:hint="eastAsia" w:ascii="宋体" w:hAnsi="宋体" w:eastAsia="宋体" w:cs="宋体"/>
                <w:color w:val="auto"/>
                <w:sz w:val="24"/>
                <w:highlight w:val="none"/>
                <w:lang w:val="zh-CN"/>
              </w:rPr>
              <w:br w:type="page"/>
            </w:r>
            <w:r>
              <w:rPr>
                <w:rFonts w:hint="eastAsia" w:ascii="宋体" w:hAnsi="宋体" w:eastAsia="宋体" w:cs="宋体"/>
                <w:b/>
                <w:color w:val="auto"/>
                <w:sz w:val="24"/>
                <w:highlight w:val="none"/>
              </w:rPr>
              <w:t>项目编号及项目名称</w:t>
            </w:r>
          </w:p>
        </w:tc>
        <w:tc>
          <w:tcPr>
            <w:tcW w:w="6981" w:type="dxa"/>
            <w:vAlign w:val="center"/>
          </w:tcPr>
          <w:p>
            <w:pPr>
              <w:spacing w:after="12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rPr>
              <w:t xml:space="preserve">              </w:t>
            </w:r>
          </w:p>
          <w:p>
            <w:pPr>
              <w:spacing w:after="120"/>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pPr>
              <w:spacing w:after="12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包号：（如有）          </w:t>
            </w:r>
            <w:r>
              <w:rPr>
                <w:rFonts w:hint="eastAsia" w:ascii="宋体" w:hAnsi="宋体" w:eastAsia="宋体" w:cs="宋体"/>
                <w:color w:val="auto"/>
                <w:sz w:val="24"/>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18" w:hRule="atLeast"/>
          <w:jc w:val="center"/>
        </w:trPr>
        <w:tc>
          <w:tcPr>
            <w:tcW w:w="1598" w:type="dxa"/>
            <w:vAlign w:val="center"/>
          </w:tcPr>
          <w:p>
            <w:pPr>
              <w:spacing w:after="12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响应总价</w:t>
            </w:r>
          </w:p>
        </w:tc>
        <w:tc>
          <w:tcPr>
            <w:tcW w:w="6981" w:type="dxa"/>
            <w:vAlign w:val="center"/>
          </w:tcPr>
          <w:p>
            <w:pPr>
              <w:spacing w:after="12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整（小写：¥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598" w:type="dxa"/>
            <w:vAlign w:val="center"/>
          </w:tcPr>
          <w:p>
            <w:pPr>
              <w:spacing w:after="120"/>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服务</w:t>
            </w:r>
            <w:r>
              <w:rPr>
                <w:rFonts w:hint="eastAsia" w:ascii="宋体" w:hAnsi="宋体" w:eastAsia="宋体" w:cs="宋体"/>
                <w:b/>
                <w:color w:val="auto"/>
                <w:sz w:val="24"/>
                <w:highlight w:val="none"/>
              </w:rPr>
              <w:t>期</w:t>
            </w:r>
          </w:p>
        </w:tc>
        <w:tc>
          <w:tcPr>
            <w:tcW w:w="6981" w:type="dxa"/>
            <w:vAlign w:val="center"/>
          </w:tcPr>
          <w:p>
            <w:pPr>
              <w:spacing w:after="120"/>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598" w:type="dxa"/>
            <w:vAlign w:val="center"/>
          </w:tcPr>
          <w:p>
            <w:pPr>
              <w:spacing w:after="120"/>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服务</w:t>
            </w:r>
            <w:r>
              <w:rPr>
                <w:rFonts w:hint="eastAsia" w:ascii="宋体" w:hAnsi="宋体" w:eastAsia="宋体" w:cs="宋体"/>
                <w:b/>
                <w:color w:val="auto"/>
                <w:sz w:val="24"/>
                <w:highlight w:val="none"/>
              </w:rPr>
              <w:t>地点</w:t>
            </w:r>
          </w:p>
        </w:tc>
        <w:tc>
          <w:tcPr>
            <w:tcW w:w="6981" w:type="dxa"/>
            <w:vAlign w:val="center"/>
          </w:tcPr>
          <w:p>
            <w:pPr>
              <w:spacing w:after="120"/>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0" w:hRule="atLeast"/>
          <w:jc w:val="center"/>
        </w:trPr>
        <w:tc>
          <w:tcPr>
            <w:tcW w:w="1598" w:type="dxa"/>
            <w:vAlign w:val="center"/>
          </w:tcPr>
          <w:p>
            <w:pPr>
              <w:spacing w:after="120"/>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项目负责人</w:t>
            </w:r>
          </w:p>
        </w:tc>
        <w:tc>
          <w:tcPr>
            <w:tcW w:w="6981" w:type="dxa"/>
            <w:vAlign w:val="center"/>
          </w:tcPr>
          <w:p>
            <w:pPr>
              <w:spacing w:after="120"/>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1" w:hRule="atLeast"/>
          <w:jc w:val="center"/>
        </w:trPr>
        <w:tc>
          <w:tcPr>
            <w:tcW w:w="1598" w:type="dxa"/>
            <w:vAlign w:val="center"/>
          </w:tcPr>
          <w:p>
            <w:pPr>
              <w:spacing w:after="12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备注</w:t>
            </w:r>
          </w:p>
        </w:tc>
        <w:tc>
          <w:tcPr>
            <w:tcW w:w="6981" w:type="dxa"/>
            <w:vAlign w:val="center"/>
          </w:tcPr>
          <w:p>
            <w:pPr>
              <w:spacing w:after="120"/>
              <w:rPr>
                <w:rFonts w:hint="eastAsia" w:ascii="宋体" w:hAnsi="宋体" w:eastAsia="宋体" w:cs="宋体"/>
                <w:color w:val="auto"/>
                <w:sz w:val="24"/>
                <w:highlight w:val="none"/>
              </w:rPr>
            </w:pPr>
          </w:p>
        </w:tc>
      </w:tr>
    </w:tbl>
    <w:p>
      <w:pPr>
        <w:pStyle w:val="22"/>
        <w:rPr>
          <w:rFonts w:hint="eastAsia" w:ascii="宋体" w:hAnsi="宋体" w:eastAsia="宋体" w:cs="宋体"/>
          <w:color w:val="auto"/>
          <w:highlight w:val="none"/>
          <w:lang w:val="zh-CN"/>
        </w:rPr>
      </w:pPr>
    </w:p>
    <w:p>
      <w:pPr>
        <w:autoSpaceDE w:val="0"/>
        <w:autoSpaceDN w:val="0"/>
        <w:adjustRightInd w:val="0"/>
        <w:snapToGrid w:val="0"/>
        <w:spacing w:line="360" w:lineRule="auto"/>
        <w:rPr>
          <w:rFonts w:hint="eastAsia" w:ascii="宋体" w:hAnsi="宋体" w:eastAsia="宋体" w:cs="宋体"/>
          <w:b/>
          <w:bCs/>
          <w:color w:val="auto"/>
          <w:sz w:val="24"/>
          <w:highlight w:val="none"/>
        </w:rPr>
      </w:pPr>
    </w:p>
    <w:p>
      <w:pPr>
        <w:autoSpaceDE w:val="0"/>
        <w:autoSpaceDN w:val="0"/>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 xml:space="preserve">                                                                                     </w:t>
      </w:r>
    </w:p>
    <w:p>
      <w:pPr>
        <w:autoSpaceDE w:val="0"/>
        <w:autoSpaceDN w:val="0"/>
        <w:adjustRightInd w:val="0"/>
        <w:snapToGrid w:val="0"/>
        <w:spacing w:line="360" w:lineRule="auto"/>
        <w:ind w:firstLine="1080" w:firstLineChars="45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供应商</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法定代表人</w:t>
      </w:r>
      <w:r>
        <w:rPr>
          <w:rFonts w:hint="eastAsia" w:ascii="宋体" w:hAnsi="宋体" w:eastAsia="宋体" w:cs="宋体"/>
          <w:color w:val="auto"/>
          <w:sz w:val="24"/>
          <w:highlight w:val="none"/>
        </w:rPr>
        <w:t>或</w:t>
      </w:r>
      <w:r>
        <w:rPr>
          <w:rFonts w:hint="eastAsia" w:ascii="宋体" w:hAnsi="宋体" w:eastAsia="宋体" w:cs="宋体"/>
          <w:color w:val="auto"/>
          <w:sz w:val="24"/>
          <w:highlight w:val="none"/>
          <w:lang w:val="zh-CN"/>
        </w:rPr>
        <w:t>授权代表</w:t>
      </w:r>
    </w:p>
    <w:p>
      <w:pPr>
        <w:autoSpaceDE w:val="0"/>
        <w:autoSpaceDN w:val="0"/>
        <w:adjustRightInd w:val="0"/>
        <w:snapToGrid w:val="0"/>
        <w:spacing w:line="360" w:lineRule="auto"/>
        <w:ind w:firstLine="960" w:firstLineChars="400"/>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（公章）：                            （</w:t>
      </w:r>
      <w:r>
        <w:rPr>
          <w:rFonts w:hint="eastAsia" w:ascii="宋体" w:hAnsi="宋体" w:eastAsia="宋体" w:cs="宋体"/>
          <w:b/>
          <w:color w:val="auto"/>
          <w:sz w:val="24"/>
          <w:highlight w:val="none"/>
          <w:lang w:val="zh-CN"/>
        </w:rPr>
        <w:t>签字</w:t>
      </w:r>
      <w:r>
        <w:rPr>
          <w:rFonts w:hint="eastAsia" w:ascii="宋体" w:hAnsi="宋体" w:eastAsia="宋体" w:cs="宋体"/>
          <w:color w:val="auto"/>
          <w:sz w:val="24"/>
          <w:highlight w:val="none"/>
          <w:lang w:val="zh-CN"/>
        </w:rPr>
        <w:t>）：</w:t>
      </w:r>
    </w:p>
    <w:p>
      <w:pPr>
        <w:autoSpaceDE w:val="0"/>
        <w:autoSpaceDN w:val="0"/>
        <w:adjustRightInd w:val="0"/>
        <w:snapToGrid w:val="0"/>
        <w:spacing w:line="360" w:lineRule="auto"/>
        <w:rPr>
          <w:rFonts w:hint="eastAsia" w:ascii="宋体" w:hAnsi="宋体" w:eastAsia="宋体" w:cs="宋体"/>
          <w:color w:val="auto"/>
          <w:sz w:val="24"/>
          <w:highlight w:val="none"/>
          <w:lang w:val="zh-CN"/>
        </w:rPr>
      </w:pPr>
    </w:p>
    <w:p>
      <w:pPr>
        <w:autoSpaceDE w:val="0"/>
        <w:autoSpaceDN w:val="0"/>
        <w:adjustRightInd w:val="0"/>
        <w:snapToGrid w:val="0"/>
        <w:spacing w:line="360" w:lineRule="auto"/>
        <w:rPr>
          <w:rFonts w:hint="eastAsia" w:ascii="宋体" w:hAnsi="宋体" w:eastAsia="宋体" w:cs="宋体"/>
          <w:color w:val="auto"/>
          <w:sz w:val="24"/>
          <w:highlight w:val="none"/>
          <w:lang w:val="zh-CN"/>
        </w:rPr>
      </w:pPr>
    </w:p>
    <w:p>
      <w:pPr>
        <w:autoSpaceDE w:val="0"/>
        <w:autoSpaceDN w:val="0"/>
        <w:adjustRightInd w:val="0"/>
        <w:snapToGrid w:val="0"/>
        <w:spacing w:line="360" w:lineRule="auto"/>
        <w:ind w:firstLine="240" w:firstLineChars="100"/>
        <w:rPr>
          <w:rFonts w:hint="eastAsia" w:ascii="宋体" w:hAnsi="宋体" w:eastAsia="宋体" w:cs="宋体"/>
          <w:color w:val="auto"/>
          <w:szCs w:val="21"/>
          <w:highlight w:val="none"/>
        </w:rPr>
      </w:pPr>
      <w:r>
        <w:rPr>
          <w:rFonts w:hint="eastAsia" w:ascii="宋体" w:hAnsi="宋体" w:eastAsia="宋体" w:cs="宋体"/>
          <w:color w:val="auto"/>
          <w:sz w:val="24"/>
          <w:highlight w:val="none"/>
          <w:lang w:val="zh-CN"/>
        </w:rPr>
        <w:t xml:space="preserve">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 xml:space="preserve">年 </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月</w:t>
      </w:r>
      <w:r>
        <w:rPr>
          <w:rFonts w:hint="eastAsia" w:ascii="宋体" w:hAnsi="宋体" w:eastAsia="宋体" w:cs="宋体"/>
          <w:color w:val="auto"/>
          <w:sz w:val="24"/>
          <w:highlight w:val="none"/>
          <w:u w:val="single"/>
          <w:lang w:val="zh-CN"/>
        </w:rPr>
        <w:t xml:space="preserve">      </w:t>
      </w:r>
      <w:r>
        <w:rPr>
          <w:rFonts w:hint="eastAsia" w:ascii="宋体" w:hAnsi="宋体" w:eastAsia="宋体" w:cs="宋体"/>
          <w:color w:val="auto"/>
          <w:sz w:val="24"/>
          <w:highlight w:val="none"/>
          <w:lang w:val="zh-CN"/>
        </w:rPr>
        <w:t>日</w:t>
      </w:r>
    </w:p>
    <w:sectPr>
      <w:footerReference r:id="rId12" w:type="first"/>
      <w:headerReference r:id="rId10" w:type="default"/>
      <w:footerReference r:id="rId11" w:type="default"/>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ì.">
    <w:altName w:val="宋体"/>
    <w:panose1 w:val="00000000000000000000"/>
    <w:charset w:val="86"/>
    <w:family w:val="swiss"/>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Helvetica Neue">
    <w:altName w:val="Segoe Print"/>
    <w:panose1 w:val="00000000000000000000"/>
    <w:charset w:val="00"/>
    <w:family w:val="auto"/>
    <w:pitch w:val="default"/>
    <w:sig w:usb0="00000000" w:usb1="00000000" w:usb2="00000010" w:usb3="00000000" w:csb0="00000001" w:csb1="00000000"/>
  </w:font>
  <w:font w:name="微软雅黑">
    <w:panose1 w:val="020B0503020204020204"/>
    <w:charset w:val="86"/>
    <w:family w:val="swiss"/>
    <w:pitch w:val="default"/>
    <w:sig w:usb0="80000287" w:usb1="2ACF3C50" w:usb2="00000016" w:usb3="00000000" w:csb0="0004001F" w:csb1="00000000"/>
  </w:font>
  <w:font w:name="PMingLiU">
    <w:altName w:val="PMingLiU-ExtB"/>
    <w:panose1 w:val="02020500000000000000"/>
    <w:charset w:val="88"/>
    <w:family w:val="roman"/>
    <w:pitch w:val="default"/>
    <w:sig w:usb0="00000000" w:usb1="00000000" w:usb2="00000016" w:usb3="00000000" w:csb0="00100001" w:csb1="00000000"/>
  </w:font>
  <w:font w:name="MS Sans Serif">
    <w:altName w:val="Arial"/>
    <w:panose1 w:val="00000000000000000000"/>
    <w:charset w:val="00"/>
    <w:family w:val="swiss"/>
    <w:pitch w:val="default"/>
    <w:sig w:usb0="00000000" w:usb1="00000000" w:usb2="00000000" w:usb3="00000000" w:csb0="00000001" w:csb1="00000000"/>
  </w:font>
  <w:font w:name="长城仿宋">
    <w:altName w:val="宋体"/>
    <w:panose1 w:val="00000000000000000000"/>
    <w:charset w:val="86"/>
    <w:family w:val="modern"/>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framePr w:wrap="around" w:vAnchor="text" w:hAnchor="margin" w:xAlign="center" w:y="1"/>
      <w:rPr>
        <w:rStyle w:val="54"/>
      </w:rPr>
    </w:pPr>
    <w:r>
      <w:fldChar w:fldCharType="begin"/>
    </w:r>
    <w:r>
      <w:rPr>
        <w:rStyle w:val="54"/>
      </w:rPr>
      <w:instrText xml:space="preserve">PAGE  </w:instrText>
    </w:r>
    <w:r>
      <w:fldChar w:fldCharType="separate"/>
    </w:r>
    <w:r>
      <w:rPr>
        <w:rStyle w:val="54"/>
      </w:rPr>
      <w:t>48</w:t>
    </w:r>
    <w:r>
      <w:fldChar w:fldCharType="end"/>
    </w:r>
  </w:p>
  <w:p>
    <w:pPr>
      <w:pStyle w:val="3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pPr>
                            <w:pStyle w:val="33"/>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58</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61312;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pPr>
                      <w:pStyle w:val="33"/>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58</w:t>
                    </w:r>
                    <w:r>
                      <w:rPr>
                        <w:rFonts w:ascii="Times New Roman" w:hAnsi="Times New Roman"/>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5095" cy="152400"/>
              <wp:effectExtent l="0" t="0" r="1905" b="12700"/>
              <wp:wrapNone/>
              <wp:docPr id="14" name="文本框 14"/>
              <wp:cNvGraphicFramePr/>
              <a:graphic xmlns:a="http://schemas.openxmlformats.org/drawingml/2006/main">
                <a:graphicData uri="http://schemas.microsoft.com/office/word/2010/wordprocessingShape">
                  <wps:wsp>
                    <wps:cNvSpPr txBox="1"/>
                    <wps:spPr>
                      <a:xfrm>
                        <a:off x="0" y="0"/>
                        <a:ext cx="125095" cy="152400"/>
                      </a:xfrm>
                      <a:prstGeom prst="rect">
                        <a:avLst/>
                      </a:prstGeom>
                      <a:noFill/>
                      <a:ln w="6350">
                        <a:noFill/>
                      </a:ln>
                      <a:effectLst/>
                    </wps:spPr>
                    <wps:txbx>
                      <w:txbxContent>
                        <w:p>
                          <w:pPr>
                            <w:pStyle w:val="33"/>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pt;width:9.85pt;mso-position-horizontal:center;mso-position-horizontal-relative:margin;mso-wrap-style:none;z-index:251659264;mso-width-relative:page;mso-height-relative:page;" filled="f" stroked="f" coordsize="21600,21600" o:gfxdata="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bRxezNIAAAADAQAADwAAAAAAAAABACAAAAAiAAAAZHJzL2Rvd25yZXYueG1s&#10;UEsBAhQAFAAAAAgAh07iQJRryiA3AgAAYwQAAA4AAAAAAAAAAQAgAAAAIQEAAGRycy9lMm9Eb2Mu&#10;eG1sUEsFBgAAAAAGAAYAWQEAAMoFAAAAAA==&#10;">
              <v:fill on="f" focussize="0,0"/>
              <v:stroke on="f" weight="0.5pt"/>
              <v:imagedata o:title=""/>
              <o:lock v:ext="edit" aspectratio="f"/>
              <v:textbox inset="0mm,0mm,0mm,0mm" style="mso-fit-shape-to-text:t;">
                <w:txbxContent>
                  <w:p>
                    <w:pPr>
                      <w:pStyle w:val="33"/>
                    </w:pPr>
                    <w:r>
                      <w:fldChar w:fldCharType="begin"/>
                    </w:r>
                    <w:r>
                      <w:instrText xml:space="preserve"> PAGE  \* MERGEFORMAT </w:instrText>
                    </w:r>
                    <w:r>
                      <w:fldChar w:fldCharType="separate"/>
                    </w:r>
                    <w:r>
                      <w:t>65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6985" b="1270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XbFGkjICAABlBAAADgAAAAAAAAABACAAAAAfAQAAZHJzL2Uyb0RvYy54bWxQSwUG&#10;AAAAAAYABgBZAQAAwwUAAAAA&#10;">
              <v:fill on="f" focussize="0,0"/>
              <v:stroke on="f" weight="0.5pt"/>
              <v:imagedata o:title=""/>
              <o:lock v:ext="edit" aspectratio="f"/>
              <v:textbox inset="0mm,0mm,0mm,0mm" style="mso-fit-shape-to-text:t;">
                <w:txbxContent>
                  <w:p>
                    <w:pPr>
                      <w:pStyle w:val="33"/>
                    </w:pPr>
                    <w:r>
                      <w:rPr>
                        <w:rFonts w:hint="eastAsia"/>
                      </w:rPr>
                      <w:fldChar w:fldCharType="begin"/>
                    </w:r>
                    <w: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none" w:color="auto" w:sz="0" w:space="1"/>
      </w:pBdr>
      <w:tabs>
        <w:tab w:val="clear" w:pos="8306"/>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pBdr>
        <w:bottom w:val="none" w:color="auto" w:sz="0" w:space="1"/>
      </w:pBdr>
      <w:tabs>
        <w:tab w:val="clear" w:pos="8306"/>
      </w:tabs>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Style w:val="34"/>
      <w:pBdr>
        <w:bottom w:val="none" w:color="auto" w:sz="0" w:space="0"/>
      </w:pBdr>
      <w:jc w:val="both"/>
    </w:pPr>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5px;height:15px" o:bullet="t">
        <v:imagedata r:id="rId1" o:title=""/>
      </v:shape>
    </w:pict>
  </w:numPicBullet>
  <w:numPicBullet w:numPicBulletId="1">
    <w:pict>
      <v:shape id="1" type="#_x0000_t75" style="width:15px;height:15px" o:bullet="t">
        <v:imagedata r:id="rId2" o:title=""/>
      </v:shape>
    </w:pict>
  </w:numPicBullet>
  <w:abstractNum w:abstractNumId="0">
    <w:nsid w:val="ABB4A48A"/>
    <w:multiLevelType w:val="multilevel"/>
    <w:tmpl w:val="ABB4A48A"/>
    <w:lvl w:ilvl="0" w:tentative="0">
      <w:start w:val="6"/>
      <w:numFmt w:val="chineseCounting"/>
      <w:suff w:val="nothing"/>
      <w:lvlText w:val="%1、"/>
      <w:lvlJc w:val="left"/>
      <w:rPr>
        <w:rFonts w:hint="eastAsia"/>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abstractNum w:abstractNumId="1">
    <w:nsid w:val="E711101E"/>
    <w:multiLevelType w:val="singleLevel"/>
    <w:tmpl w:val="E711101E"/>
    <w:lvl w:ilvl="0" w:tentative="0">
      <w:start w:val="1"/>
      <w:numFmt w:val="decimal"/>
      <w:lvlText w:val="(%1)"/>
      <w:lvlJc w:val="left"/>
      <w:pPr>
        <w:tabs>
          <w:tab w:val="left" w:pos="420"/>
        </w:tabs>
        <w:ind w:left="845" w:hanging="425"/>
      </w:pPr>
      <w:rPr>
        <w:rFonts w:hint="default"/>
      </w:rPr>
    </w:lvl>
  </w:abstractNum>
  <w:abstractNum w:abstractNumId="2">
    <w:nsid w:val="FA2D3D5B"/>
    <w:multiLevelType w:val="singleLevel"/>
    <w:tmpl w:val="FA2D3D5B"/>
    <w:lvl w:ilvl="0" w:tentative="0">
      <w:start w:val="30"/>
      <w:numFmt w:val="decimal"/>
      <w:suff w:val="space"/>
      <w:lvlText w:val="%1."/>
      <w:lvlJc w:val="left"/>
    </w:lvl>
  </w:abstractNum>
  <w:abstractNum w:abstractNumId="3">
    <w:nsid w:val="0000000E"/>
    <w:multiLevelType w:val="multilevel"/>
    <w:tmpl w:val="0000000E"/>
    <w:lvl w:ilvl="0" w:tentative="0">
      <w:start w:val="1"/>
      <w:numFmt w:val="decimal"/>
      <w:pStyle w:val="92"/>
      <w:lvlText w:val="%1）"/>
      <w:lvlJc w:val="left"/>
      <w:pPr>
        <w:ind w:left="1560" w:hanging="720"/>
      </w:pPr>
      <w:rPr>
        <w:rFonts w:hint="eastAsia"/>
        <w:snapToGrid w:val="0"/>
        <w:kern w:val="0"/>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0000000F"/>
    <w:multiLevelType w:val="multilevel"/>
    <w:tmpl w:val="0000000F"/>
    <w:lvl w:ilvl="0" w:tentative="0">
      <w:start w:val="1"/>
      <w:numFmt w:val="bullet"/>
      <w:lvlText w:val=""/>
      <w:lvlPicBulletId w:val="0"/>
      <w:lvlJc w:val="left"/>
      <w:pPr>
        <w:tabs>
          <w:tab w:val="left" w:pos="840"/>
        </w:tabs>
        <w:ind w:left="840" w:hanging="420"/>
      </w:pPr>
      <w:rPr>
        <w:rFonts w:hint="default" w:ascii="Wingdings" w:hAnsi="Wingdings"/>
      </w:rPr>
    </w:lvl>
    <w:lvl w:ilvl="1" w:tentative="0">
      <w:start w:val="1"/>
      <w:numFmt w:val="bullet"/>
      <w:pStyle w:val="25"/>
      <w:lvlText w:val=""/>
      <w:lvlPicBulletId w:val="1"/>
      <w:lvlJc w:val="left"/>
      <w:pPr>
        <w:tabs>
          <w:tab w:val="left" w:pos="840"/>
        </w:tabs>
        <w:ind w:left="840" w:hanging="420"/>
      </w:pPr>
      <w:rPr>
        <w:rFonts w:hint="default" w:ascii="Symbol" w:hAnsi="Symbol"/>
        <w:color w:val="auto"/>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1F0C064"/>
    <w:multiLevelType w:val="singleLevel"/>
    <w:tmpl w:val="01F0C064"/>
    <w:lvl w:ilvl="0" w:tentative="0">
      <w:start w:val="1"/>
      <w:numFmt w:val="decimal"/>
      <w:suff w:val="nothing"/>
      <w:lvlText w:val="%1、"/>
      <w:lvlJc w:val="left"/>
    </w:lvl>
  </w:abstractNum>
  <w:abstractNum w:abstractNumId="6">
    <w:nsid w:val="09343BCE"/>
    <w:multiLevelType w:val="multilevel"/>
    <w:tmpl w:val="09343BCE"/>
    <w:lvl w:ilvl="0" w:tentative="0">
      <w:start w:val="1"/>
      <w:numFmt w:val="decimal"/>
      <w:lvlText w:val="（%1）"/>
      <w:lvlJc w:val="left"/>
      <w:pPr>
        <w:ind w:left="1146" w:hanging="7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7">
    <w:nsid w:val="1035497F"/>
    <w:multiLevelType w:val="singleLevel"/>
    <w:tmpl w:val="1035497F"/>
    <w:lvl w:ilvl="0" w:tentative="0">
      <w:start w:val="5"/>
      <w:numFmt w:val="decimal"/>
      <w:suff w:val="space"/>
      <w:lvlText w:val="%1."/>
      <w:lvlJc w:val="left"/>
    </w:lvl>
  </w:abstractNum>
  <w:abstractNum w:abstractNumId="8">
    <w:nsid w:val="1859340A"/>
    <w:multiLevelType w:val="singleLevel"/>
    <w:tmpl w:val="1859340A"/>
    <w:lvl w:ilvl="0" w:tentative="0">
      <w:start w:val="6"/>
      <w:numFmt w:val="chineseCounting"/>
      <w:suff w:val="space"/>
      <w:lvlText w:val="第%1章"/>
      <w:lvlJc w:val="left"/>
      <w:rPr>
        <w:rFonts w:hint="eastAsia"/>
      </w:rPr>
    </w:lvl>
  </w:abstractNum>
  <w:abstractNum w:abstractNumId="9">
    <w:nsid w:val="207C50E9"/>
    <w:multiLevelType w:val="singleLevel"/>
    <w:tmpl w:val="207C50E9"/>
    <w:lvl w:ilvl="0" w:tentative="0">
      <w:start w:val="4"/>
      <w:numFmt w:val="chineseCounting"/>
      <w:suff w:val="space"/>
      <w:lvlText w:val="第%1章"/>
      <w:lvlJc w:val="left"/>
      <w:rPr>
        <w:rFonts w:hint="eastAsia"/>
      </w:rPr>
    </w:lvl>
  </w:abstractNum>
  <w:abstractNum w:abstractNumId="10">
    <w:nsid w:val="359CB8E8"/>
    <w:multiLevelType w:val="singleLevel"/>
    <w:tmpl w:val="359CB8E8"/>
    <w:lvl w:ilvl="0" w:tentative="0">
      <w:start w:val="1"/>
      <w:numFmt w:val="chineseCounting"/>
      <w:suff w:val="nothing"/>
      <w:lvlText w:val="%1、"/>
      <w:lvlJc w:val="left"/>
      <w:rPr>
        <w:rFonts w:hint="eastAsia"/>
      </w:rPr>
    </w:lvl>
  </w:abstractNum>
  <w:abstractNum w:abstractNumId="11">
    <w:nsid w:val="36C50618"/>
    <w:multiLevelType w:val="singleLevel"/>
    <w:tmpl w:val="36C50618"/>
    <w:lvl w:ilvl="0" w:tentative="0">
      <w:start w:val="2"/>
      <w:numFmt w:val="decimal"/>
      <w:suff w:val="nothing"/>
      <w:lvlText w:val="%1、"/>
      <w:lvlJc w:val="left"/>
    </w:lvl>
  </w:abstractNum>
  <w:abstractNum w:abstractNumId="12">
    <w:nsid w:val="416D2876"/>
    <w:multiLevelType w:val="singleLevel"/>
    <w:tmpl w:val="416D2876"/>
    <w:lvl w:ilvl="0" w:tentative="0">
      <w:start w:val="1"/>
      <w:numFmt w:val="decimal"/>
      <w:lvlText w:val="(%1)"/>
      <w:lvlJc w:val="left"/>
      <w:pPr>
        <w:tabs>
          <w:tab w:val="left" w:pos="420"/>
        </w:tabs>
        <w:ind w:left="845" w:hanging="425"/>
      </w:pPr>
      <w:rPr>
        <w:rFonts w:hint="default"/>
      </w:rPr>
    </w:lvl>
  </w:abstractNum>
  <w:abstractNum w:abstractNumId="13">
    <w:nsid w:val="537AA372"/>
    <w:multiLevelType w:val="singleLevel"/>
    <w:tmpl w:val="537AA372"/>
    <w:lvl w:ilvl="0" w:tentative="0">
      <w:start w:val="21"/>
      <w:numFmt w:val="decimal"/>
      <w:suff w:val="space"/>
      <w:lvlText w:val="%1."/>
      <w:lvlJc w:val="left"/>
    </w:lvl>
  </w:abstractNum>
  <w:abstractNum w:abstractNumId="14">
    <w:nsid w:val="5AAB3475"/>
    <w:multiLevelType w:val="singleLevel"/>
    <w:tmpl w:val="5AAB3475"/>
    <w:lvl w:ilvl="0" w:tentative="0">
      <w:start w:val="1"/>
      <w:numFmt w:val="decimal"/>
      <w:lvlText w:val="%1."/>
      <w:lvlJc w:val="left"/>
      <w:pPr>
        <w:ind w:left="425" w:hanging="425"/>
      </w:pPr>
      <w:rPr>
        <w:rFonts w:hint="default"/>
      </w:rPr>
    </w:lvl>
  </w:abstractNum>
  <w:abstractNum w:abstractNumId="15">
    <w:nsid w:val="5AAB3487"/>
    <w:multiLevelType w:val="singleLevel"/>
    <w:tmpl w:val="5AAB3487"/>
    <w:lvl w:ilvl="0" w:tentative="0">
      <w:start w:val="1"/>
      <w:numFmt w:val="decimal"/>
      <w:lvlText w:val="%1)"/>
      <w:lvlJc w:val="left"/>
      <w:pPr>
        <w:ind w:left="567" w:hanging="425"/>
      </w:pPr>
      <w:rPr>
        <w:rFonts w:hint="default"/>
      </w:rPr>
    </w:lvl>
  </w:abstractNum>
  <w:abstractNum w:abstractNumId="16">
    <w:nsid w:val="60F1F243"/>
    <w:multiLevelType w:val="singleLevel"/>
    <w:tmpl w:val="60F1F243"/>
    <w:lvl w:ilvl="0" w:tentative="0">
      <w:start w:val="1"/>
      <w:numFmt w:val="chineseCounting"/>
      <w:suff w:val="nothing"/>
      <w:lvlText w:val="%1、"/>
      <w:lvlJc w:val="left"/>
      <w:pPr>
        <w:ind w:left="210"/>
      </w:pPr>
      <w:rPr>
        <w:rFonts w:hint="eastAsia"/>
      </w:rPr>
    </w:lvl>
  </w:abstractNum>
  <w:abstractNum w:abstractNumId="17">
    <w:nsid w:val="624D1350"/>
    <w:multiLevelType w:val="singleLevel"/>
    <w:tmpl w:val="624D1350"/>
    <w:lvl w:ilvl="0" w:tentative="0">
      <w:start w:val="25"/>
      <w:numFmt w:val="decimal"/>
      <w:suff w:val="space"/>
      <w:lvlText w:val="%1."/>
      <w:lvlJc w:val="left"/>
    </w:lvl>
  </w:abstractNum>
  <w:abstractNum w:abstractNumId="18">
    <w:nsid w:val="6CEA2025"/>
    <w:multiLevelType w:val="multilevel"/>
    <w:tmpl w:val="6CEA2025"/>
    <w:lvl w:ilvl="0" w:tentative="0">
      <w:start w:val="1"/>
      <w:numFmt w:val="none"/>
      <w:pStyle w:val="239"/>
      <w:suff w:val="nothing"/>
      <w:lvlText w:val="%1"/>
      <w:lvlJc w:val="left"/>
      <w:pPr>
        <w:ind w:left="0" w:firstLine="0"/>
      </w:pPr>
      <w:rPr>
        <w:rFonts w:hint="default" w:ascii="Times New Roman" w:hAnsi="Times New Roman"/>
        <w:b/>
        <w:i w:val="0"/>
        <w:sz w:val="21"/>
      </w:rPr>
    </w:lvl>
    <w:lvl w:ilvl="1" w:tentative="0">
      <w:start w:val="1"/>
      <w:numFmt w:val="decimal"/>
      <w:pStyle w:val="240"/>
      <w:suff w:val="nothing"/>
      <w:lvlText w:val="%1%2　"/>
      <w:lvlJc w:val="left"/>
      <w:pPr>
        <w:ind w:left="315" w:firstLine="0"/>
      </w:pPr>
      <w:rPr>
        <w:rFonts w:hint="eastAsia" w:ascii="黑体" w:hAnsi="Times New Roman" w:eastAsia="黑体"/>
        <w:b w:val="0"/>
        <w:i w:val="0"/>
        <w:sz w:val="21"/>
      </w:rPr>
    </w:lvl>
    <w:lvl w:ilvl="2" w:tentative="0">
      <w:start w:val="1"/>
      <w:numFmt w:val="decimal"/>
      <w:pStyle w:val="241"/>
      <w:suff w:val="nothing"/>
      <w:lvlText w:val="%1%2.%3　"/>
      <w:lvlJc w:val="left"/>
      <w:pPr>
        <w:ind w:left="630" w:firstLine="0"/>
      </w:pPr>
      <w:rPr>
        <w:rFonts w:hint="eastAsia" w:ascii="黑体" w:hAnsi="Times New Roman" w:eastAsia="黑体"/>
        <w:b w:val="0"/>
        <w:i w:val="0"/>
        <w:sz w:val="21"/>
      </w:rPr>
    </w:lvl>
    <w:lvl w:ilvl="3" w:tentative="0">
      <w:start w:val="1"/>
      <w:numFmt w:val="decimal"/>
      <w:pStyle w:val="242"/>
      <w:suff w:val="nothing"/>
      <w:lvlText w:val="%1%2.%3.%4　"/>
      <w:lvlJc w:val="left"/>
      <w:pPr>
        <w:ind w:left="567" w:firstLine="0"/>
      </w:pPr>
      <w:rPr>
        <w:rFonts w:hint="eastAsia" w:ascii="黑体" w:hAnsi="Times New Roman" w:eastAsia="黑体"/>
        <w:b w:val="0"/>
        <w:i w:val="0"/>
        <w:sz w:val="21"/>
      </w:rPr>
    </w:lvl>
    <w:lvl w:ilvl="4" w:tentative="0">
      <w:start w:val="1"/>
      <w:numFmt w:val="decimal"/>
      <w:pStyle w:val="244"/>
      <w:suff w:val="nothing"/>
      <w:lvlText w:val="%1%2.%3.%4.%5　"/>
      <w:lvlJc w:val="left"/>
      <w:pPr>
        <w:ind w:left="1050" w:firstLine="0"/>
      </w:pPr>
      <w:rPr>
        <w:rFonts w:hint="eastAsia" w:ascii="黑体" w:hAnsi="Times New Roman" w:eastAsia="黑体"/>
        <w:b w:val="0"/>
        <w:i w:val="0"/>
        <w:sz w:val="21"/>
        <w:szCs w:val="21"/>
      </w:rPr>
    </w:lvl>
    <w:lvl w:ilvl="5" w:tentative="0">
      <w:start w:val="1"/>
      <w:numFmt w:val="decimal"/>
      <w:pStyle w:val="245"/>
      <w:suff w:val="nothing"/>
      <w:lvlText w:val="%1%2.%3.%4.%5.%6　"/>
      <w:lvlJc w:val="left"/>
      <w:pPr>
        <w:ind w:left="0" w:firstLine="0"/>
      </w:pPr>
      <w:rPr>
        <w:rFonts w:hint="eastAsia" w:ascii="黑体" w:hAnsi="Times New Roman" w:eastAsia="黑体"/>
        <w:b w:val="0"/>
        <w:i w:val="0"/>
        <w:sz w:val="21"/>
      </w:rPr>
    </w:lvl>
    <w:lvl w:ilvl="6" w:tentative="0">
      <w:start w:val="1"/>
      <w:numFmt w:val="decimal"/>
      <w:pStyle w:val="246"/>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9">
    <w:nsid w:val="74681D32"/>
    <w:multiLevelType w:val="multilevel"/>
    <w:tmpl w:val="74681D32"/>
    <w:lvl w:ilvl="0" w:tentative="0">
      <w:start w:val="1"/>
      <w:numFmt w:val="decimal"/>
      <w:lvlText w:val="%1."/>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20">
    <w:nsid w:val="76933334"/>
    <w:multiLevelType w:val="multilevel"/>
    <w:tmpl w:val="76933334"/>
    <w:lvl w:ilvl="0" w:tentative="0">
      <w:start w:val="1"/>
      <w:numFmt w:val="none"/>
      <w:pStyle w:val="243"/>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4"/>
  </w:num>
  <w:num w:numId="2">
    <w:abstractNumId w:val="3"/>
  </w:num>
  <w:num w:numId="3">
    <w:abstractNumId w:val="18"/>
  </w:num>
  <w:num w:numId="4">
    <w:abstractNumId w:val="20"/>
  </w:num>
  <w:num w:numId="5">
    <w:abstractNumId w:val="0"/>
  </w:num>
  <w:num w:numId="6">
    <w:abstractNumId w:val="7"/>
  </w:num>
  <w:num w:numId="7">
    <w:abstractNumId w:val="12"/>
  </w:num>
  <w:num w:numId="8">
    <w:abstractNumId w:val="1"/>
  </w:num>
  <w:num w:numId="9">
    <w:abstractNumId w:val="13"/>
  </w:num>
  <w:num w:numId="10">
    <w:abstractNumId w:val="17"/>
  </w:num>
  <w:num w:numId="11">
    <w:abstractNumId w:val="6"/>
  </w:num>
  <w:num w:numId="12">
    <w:abstractNumId w:val="2"/>
  </w:num>
  <w:num w:numId="13">
    <w:abstractNumId w:val="14"/>
  </w:num>
  <w:num w:numId="14">
    <w:abstractNumId w:val="15"/>
  </w:num>
  <w:num w:numId="15">
    <w:abstractNumId w:val="11"/>
  </w:num>
  <w:num w:numId="16">
    <w:abstractNumId w:val="9"/>
  </w:num>
  <w:num w:numId="17">
    <w:abstractNumId w:val="16"/>
  </w:num>
  <w:num w:numId="18">
    <w:abstractNumId w:val="5"/>
  </w:num>
  <w:num w:numId="19">
    <w:abstractNumId w:val="8"/>
  </w:num>
  <w:num w:numId="20">
    <w:abstractNumId w:val="19"/>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172A27"/>
    <w:rsid w:val="000076EB"/>
    <w:rsid w:val="00010824"/>
    <w:rsid w:val="00011C69"/>
    <w:rsid w:val="00017F4A"/>
    <w:rsid w:val="0003167F"/>
    <w:rsid w:val="00035C01"/>
    <w:rsid w:val="000360A4"/>
    <w:rsid w:val="000432ED"/>
    <w:rsid w:val="00043EA6"/>
    <w:rsid w:val="000449A9"/>
    <w:rsid w:val="00047D64"/>
    <w:rsid w:val="00051DDB"/>
    <w:rsid w:val="000524DF"/>
    <w:rsid w:val="00060BDF"/>
    <w:rsid w:val="00065875"/>
    <w:rsid w:val="000739EC"/>
    <w:rsid w:val="000864F6"/>
    <w:rsid w:val="00090E0B"/>
    <w:rsid w:val="00091EC9"/>
    <w:rsid w:val="0009361A"/>
    <w:rsid w:val="0009381E"/>
    <w:rsid w:val="00093935"/>
    <w:rsid w:val="0009799D"/>
    <w:rsid w:val="000A15A6"/>
    <w:rsid w:val="000A24A2"/>
    <w:rsid w:val="000A2D28"/>
    <w:rsid w:val="000A4FE6"/>
    <w:rsid w:val="000B5CCC"/>
    <w:rsid w:val="000C135C"/>
    <w:rsid w:val="000C3906"/>
    <w:rsid w:val="000C5BB6"/>
    <w:rsid w:val="000D231B"/>
    <w:rsid w:val="000D4A95"/>
    <w:rsid w:val="000D6BDC"/>
    <w:rsid w:val="000E103E"/>
    <w:rsid w:val="000E1212"/>
    <w:rsid w:val="000E2D1B"/>
    <w:rsid w:val="000E5101"/>
    <w:rsid w:val="000E638B"/>
    <w:rsid w:val="000F3A5B"/>
    <w:rsid w:val="001019AA"/>
    <w:rsid w:val="001027AD"/>
    <w:rsid w:val="00106BC6"/>
    <w:rsid w:val="00112F6D"/>
    <w:rsid w:val="0011313B"/>
    <w:rsid w:val="0012603F"/>
    <w:rsid w:val="00130EAA"/>
    <w:rsid w:val="00134EE0"/>
    <w:rsid w:val="00136E83"/>
    <w:rsid w:val="00145E81"/>
    <w:rsid w:val="001500A1"/>
    <w:rsid w:val="0015108F"/>
    <w:rsid w:val="0015361A"/>
    <w:rsid w:val="00153D2A"/>
    <w:rsid w:val="001618BA"/>
    <w:rsid w:val="00162B16"/>
    <w:rsid w:val="001633CE"/>
    <w:rsid w:val="00167244"/>
    <w:rsid w:val="00170E92"/>
    <w:rsid w:val="00172A27"/>
    <w:rsid w:val="00173C23"/>
    <w:rsid w:val="00175AAF"/>
    <w:rsid w:val="00183796"/>
    <w:rsid w:val="00185079"/>
    <w:rsid w:val="00187220"/>
    <w:rsid w:val="00194AEF"/>
    <w:rsid w:val="001A31AB"/>
    <w:rsid w:val="001B1FDC"/>
    <w:rsid w:val="001B2823"/>
    <w:rsid w:val="001B354A"/>
    <w:rsid w:val="001B3620"/>
    <w:rsid w:val="001B388E"/>
    <w:rsid w:val="001B3B0E"/>
    <w:rsid w:val="001B7144"/>
    <w:rsid w:val="001C1032"/>
    <w:rsid w:val="001C180D"/>
    <w:rsid w:val="001C3B26"/>
    <w:rsid w:val="001D0DA4"/>
    <w:rsid w:val="001D3446"/>
    <w:rsid w:val="001D4132"/>
    <w:rsid w:val="001D5293"/>
    <w:rsid w:val="001D5FDA"/>
    <w:rsid w:val="001E0BCB"/>
    <w:rsid w:val="001E13CC"/>
    <w:rsid w:val="001E5ACA"/>
    <w:rsid w:val="001E6E32"/>
    <w:rsid w:val="001F2DA3"/>
    <w:rsid w:val="001F642F"/>
    <w:rsid w:val="00200AA2"/>
    <w:rsid w:val="00210A41"/>
    <w:rsid w:val="0021263B"/>
    <w:rsid w:val="0021351E"/>
    <w:rsid w:val="002156D3"/>
    <w:rsid w:val="00220DD5"/>
    <w:rsid w:val="00222276"/>
    <w:rsid w:val="0022779B"/>
    <w:rsid w:val="00237812"/>
    <w:rsid w:val="00240C69"/>
    <w:rsid w:val="00246479"/>
    <w:rsid w:val="00247D31"/>
    <w:rsid w:val="002527EC"/>
    <w:rsid w:val="0026051F"/>
    <w:rsid w:val="00262E9E"/>
    <w:rsid w:val="0026552B"/>
    <w:rsid w:val="002713C4"/>
    <w:rsid w:val="0027169F"/>
    <w:rsid w:val="0027314A"/>
    <w:rsid w:val="00276156"/>
    <w:rsid w:val="0028153C"/>
    <w:rsid w:val="0028435C"/>
    <w:rsid w:val="00290692"/>
    <w:rsid w:val="00290B93"/>
    <w:rsid w:val="00293DE8"/>
    <w:rsid w:val="0029438A"/>
    <w:rsid w:val="00294F2B"/>
    <w:rsid w:val="002957B2"/>
    <w:rsid w:val="002A0D21"/>
    <w:rsid w:val="002A5A2C"/>
    <w:rsid w:val="002B1655"/>
    <w:rsid w:val="002B1779"/>
    <w:rsid w:val="002B1CDB"/>
    <w:rsid w:val="002B28F2"/>
    <w:rsid w:val="002B4680"/>
    <w:rsid w:val="002B46E7"/>
    <w:rsid w:val="002B5FA1"/>
    <w:rsid w:val="002B646E"/>
    <w:rsid w:val="002B68F2"/>
    <w:rsid w:val="002B7042"/>
    <w:rsid w:val="002C20D3"/>
    <w:rsid w:val="002C4263"/>
    <w:rsid w:val="002D1DB2"/>
    <w:rsid w:val="002D224B"/>
    <w:rsid w:val="002D225D"/>
    <w:rsid w:val="002D4A13"/>
    <w:rsid w:val="002E321E"/>
    <w:rsid w:val="002E32E8"/>
    <w:rsid w:val="002E5A17"/>
    <w:rsid w:val="002E601A"/>
    <w:rsid w:val="002F1770"/>
    <w:rsid w:val="002F2F49"/>
    <w:rsid w:val="002F2FB6"/>
    <w:rsid w:val="002F5F72"/>
    <w:rsid w:val="002F6981"/>
    <w:rsid w:val="00304929"/>
    <w:rsid w:val="003055EE"/>
    <w:rsid w:val="00310A20"/>
    <w:rsid w:val="00326D08"/>
    <w:rsid w:val="00334EF7"/>
    <w:rsid w:val="00355C44"/>
    <w:rsid w:val="00367444"/>
    <w:rsid w:val="003703B4"/>
    <w:rsid w:val="0037250B"/>
    <w:rsid w:val="00373E63"/>
    <w:rsid w:val="0037458F"/>
    <w:rsid w:val="003778AA"/>
    <w:rsid w:val="003803CD"/>
    <w:rsid w:val="003816EF"/>
    <w:rsid w:val="00383DEC"/>
    <w:rsid w:val="0038577F"/>
    <w:rsid w:val="00387748"/>
    <w:rsid w:val="0039011E"/>
    <w:rsid w:val="00394350"/>
    <w:rsid w:val="00394484"/>
    <w:rsid w:val="003A02D7"/>
    <w:rsid w:val="003A0A59"/>
    <w:rsid w:val="003C1B37"/>
    <w:rsid w:val="003C5F20"/>
    <w:rsid w:val="003D08D2"/>
    <w:rsid w:val="003D1432"/>
    <w:rsid w:val="003D378B"/>
    <w:rsid w:val="003D6CC0"/>
    <w:rsid w:val="003D6F83"/>
    <w:rsid w:val="003E0455"/>
    <w:rsid w:val="003E6091"/>
    <w:rsid w:val="003E6268"/>
    <w:rsid w:val="003F1C98"/>
    <w:rsid w:val="00400609"/>
    <w:rsid w:val="00402745"/>
    <w:rsid w:val="0040289E"/>
    <w:rsid w:val="004035B3"/>
    <w:rsid w:val="00410849"/>
    <w:rsid w:val="00421C0B"/>
    <w:rsid w:val="004247BB"/>
    <w:rsid w:val="00424FDA"/>
    <w:rsid w:val="00424FED"/>
    <w:rsid w:val="00425851"/>
    <w:rsid w:val="00425E9F"/>
    <w:rsid w:val="00427494"/>
    <w:rsid w:val="0043286E"/>
    <w:rsid w:val="00441E37"/>
    <w:rsid w:val="00442A84"/>
    <w:rsid w:val="00443C15"/>
    <w:rsid w:val="00465B46"/>
    <w:rsid w:val="00467B48"/>
    <w:rsid w:val="00494A82"/>
    <w:rsid w:val="004A0A68"/>
    <w:rsid w:val="004A4BC1"/>
    <w:rsid w:val="004A6CB2"/>
    <w:rsid w:val="004B012C"/>
    <w:rsid w:val="004B4658"/>
    <w:rsid w:val="004B498E"/>
    <w:rsid w:val="004B631E"/>
    <w:rsid w:val="004C2993"/>
    <w:rsid w:val="004D1511"/>
    <w:rsid w:val="004D3A80"/>
    <w:rsid w:val="004D5228"/>
    <w:rsid w:val="004E0461"/>
    <w:rsid w:val="004E069A"/>
    <w:rsid w:val="004F1E8C"/>
    <w:rsid w:val="004F4B90"/>
    <w:rsid w:val="00500014"/>
    <w:rsid w:val="0050046A"/>
    <w:rsid w:val="00504579"/>
    <w:rsid w:val="00504DD9"/>
    <w:rsid w:val="00505D0E"/>
    <w:rsid w:val="005118AC"/>
    <w:rsid w:val="005120B4"/>
    <w:rsid w:val="00520A9F"/>
    <w:rsid w:val="00521994"/>
    <w:rsid w:val="00531619"/>
    <w:rsid w:val="00533DBA"/>
    <w:rsid w:val="005349DD"/>
    <w:rsid w:val="00543323"/>
    <w:rsid w:val="00553423"/>
    <w:rsid w:val="00562743"/>
    <w:rsid w:val="00562C82"/>
    <w:rsid w:val="0057296E"/>
    <w:rsid w:val="00572DA7"/>
    <w:rsid w:val="00573153"/>
    <w:rsid w:val="00573C62"/>
    <w:rsid w:val="00574517"/>
    <w:rsid w:val="0057609F"/>
    <w:rsid w:val="00594BFB"/>
    <w:rsid w:val="005A3176"/>
    <w:rsid w:val="005A3911"/>
    <w:rsid w:val="005B0EE1"/>
    <w:rsid w:val="005B4961"/>
    <w:rsid w:val="005C1347"/>
    <w:rsid w:val="005C2FC9"/>
    <w:rsid w:val="005C32D0"/>
    <w:rsid w:val="005C75CD"/>
    <w:rsid w:val="005D0DAD"/>
    <w:rsid w:val="005D3236"/>
    <w:rsid w:val="005D391F"/>
    <w:rsid w:val="005D4608"/>
    <w:rsid w:val="005D5C6A"/>
    <w:rsid w:val="005D626C"/>
    <w:rsid w:val="005E226F"/>
    <w:rsid w:val="005E62A2"/>
    <w:rsid w:val="005E725B"/>
    <w:rsid w:val="005F2153"/>
    <w:rsid w:val="005F5F4A"/>
    <w:rsid w:val="005F65DF"/>
    <w:rsid w:val="005F7683"/>
    <w:rsid w:val="00610176"/>
    <w:rsid w:val="0062765A"/>
    <w:rsid w:val="0063060A"/>
    <w:rsid w:val="00630C07"/>
    <w:rsid w:val="00630C0C"/>
    <w:rsid w:val="0064266B"/>
    <w:rsid w:val="00643C14"/>
    <w:rsid w:val="00651B51"/>
    <w:rsid w:val="0065448D"/>
    <w:rsid w:val="006561CA"/>
    <w:rsid w:val="0065724B"/>
    <w:rsid w:val="00660AD9"/>
    <w:rsid w:val="00661C43"/>
    <w:rsid w:val="0066575C"/>
    <w:rsid w:val="00670409"/>
    <w:rsid w:val="0067503A"/>
    <w:rsid w:val="00675BB2"/>
    <w:rsid w:val="006760B5"/>
    <w:rsid w:val="00682569"/>
    <w:rsid w:val="00684CC0"/>
    <w:rsid w:val="00685847"/>
    <w:rsid w:val="006859E8"/>
    <w:rsid w:val="00691990"/>
    <w:rsid w:val="00694AD5"/>
    <w:rsid w:val="006A414E"/>
    <w:rsid w:val="006A5F7C"/>
    <w:rsid w:val="006A6858"/>
    <w:rsid w:val="006A7003"/>
    <w:rsid w:val="006B00F6"/>
    <w:rsid w:val="006C0DD3"/>
    <w:rsid w:val="006C20DF"/>
    <w:rsid w:val="006C3F78"/>
    <w:rsid w:val="006C6120"/>
    <w:rsid w:val="006C7DB2"/>
    <w:rsid w:val="006D02B6"/>
    <w:rsid w:val="006D063F"/>
    <w:rsid w:val="006D2517"/>
    <w:rsid w:val="006D5FD5"/>
    <w:rsid w:val="006D6999"/>
    <w:rsid w:val="006D7559"/>
    <w:rsid w:val="006E165D"/>
    <w:rsid w:val="006E4B98"/>
    <w:rsid w:val="006E4E35"/>
    <w:rsid w:val="006E6E80"/>
    <w:rsid w:val="006F1B11"/>
    <w:rsid w:val="006F1E2E"/>
    <w:rsid w:val="006F70E2"/>
    <w:rsid w:val="006F72F9"/>
    <w:rsid w:val="006F7DCD"/>
    <w:rsid w:val="0070043D"/>
    <w:rsid w:val="00705212"/>
    <w:rsid w:val="007079A5"/>
    <w:rsid w:val="007108A1"/>
    <w:rsid w:val="00711EA4"/>
    <w:rsid w:val="00716957"/>
    <w:rsid w:val="00720269"/>
    <w:rsid w:val="007219AF"/>
    <w:rsid w:val="007247E7"/>
    <w:rsid w:val="007249D9"/>
    <w:rsid w:val="00724A04"/>
    <w:rsid w:val="00735AA2"/>
    <w:rsid w:val="00735EA4"/>
    <w:rsid w:val="00740059"/>
    <w:rsid w:val="00740FB3"/>
    <w:rsid w:val="00741789"/>
    <w:rsid w:val="00744A89"/>
    <w:rsid w:val="00745687"/>
    <w:rsid w:val="00747962"/>
    <w:rsid w:val="0075070D"/>
    <w:rsid w:val="00751324"/>
    <w:rsid w:val="00752C78"/>
    <w:rsid w:val="007603C6"/>
    <w:rsid w:val="00762641"/>
    <w:rsid w:val="00767EB5"/>
    <w:rsid w:val="0077123A"/>
    <w:rsid w:val="00772B56"/>
    <w:rsid w:val="0077391F"/>
    <w:rsid w:val="00777AD6"/>
    <w:rsid w:val="00781479"/>
    <w:rsid w:val="007820A4"/>
    <w:rsid w:val="007847E9"/>
    <w:rsid w:val="00787F49"/>
    <w:rsid w:val="00790A08"/>
    <w:rsid w:val="007925D2"/>
    <w:rsid w:val="007971F8"/>
    <w:rsid w:val="00797C0F"/>
    <w:rsid w:val="007A5B87"/>
    <w:rsid w:val="007B3285"/>
    <w:rsid w:val="007B5519"/>
    <w:rsid w:val="007C4C08"/>
    <w:rsid w:val="007C6A3F"/>
    <w:rsid w:val="007D2F26"/>
    <w:rsid w:val="007D47D5"/>
    <w:rsid w:val="007E1E5B"/>
    <w:rsid w:val="007E5F14"/>
    <w:rsid w:val="007E71F5"/>
    <w:rsid w:val="007E73B0"/>
    <w:rsid w:val="007F4D32"/>
    <w:rsid w:val="00801DEF"/>
    <w:rsid w:val="0080217E"/>
    <w:rsid w:val="008031F1"/>
    <w:rsid w:val="00804A4E"/>
    <w:rsid w:val="00807872"/>
    <w:rsid w:val="00817CCC"/>
    <w:rsid w:val="00826B74"/>
    <w:rsid w:val="00831006"/>
    <w:rsid w:val="008357E9"/>
    <w:rsid w:val="00845769"/>
    <w:rsid w:val="0084595F"/>
    <w:rsid w:val="00855B04"/>
    <w:rsid w:val="00865539"/>
    <w:rsid w:val="00867C65"/>
    <w:rsid w:val="00872B82"/>
    <w:rsid w:val="00874426"/>
    <w:rsid w:val="008761AB"/>
    <w:rsid w:val="00881621"/>
    <w:rsid w:val="008855E4"/>
    <w:rsid w:val="008861AE"/>
    <w:rsid w:val="00886814"/>
    <w:rsid w:val="008A594E"/>
    <w:rsid w:val="008B4671"/>
    <w:rsid w:val="008B5C32"/>
    <w:rsid w:val="008B7216"/>
    <w:rsid w:val="008C000B"/>
    <w:rsid w:val="008C3554"/>
    <w:rsid w:val="008C4E5C"/>
    <w:rsid w:val="008C633E"/>
    <w:rsid w:val="008D47E6"/>
    <w:rsid w:val="008E1587"/>
    <w:rsid w:val="008E64B8"/>
    <w:rsid w:val="008F2A45"/>
    <w:rsid w:val="008F42F1"/>
    <w:rsid w:val="008F5042"/>
    <w:rsid w:val="00902DE7"/>
    <w:rsid w:val="00904AE8"/>
    <w:rsid w:val="0091049B"/>
    <w:rsid w:val="00912229"/>
    <w:rsid w:val="00915E8C"/>
    <w:rsid w:val="00921008"/>
    <w:rsid w:val="00921EB2"/>
    <w:rsid w:val="009224A5"/>
    <w:rsid w:val="009238F5"/>
    <w:rsid w:val="009312FA"/>
    <w:rsid w:val="0093690A"/>
    <w:rsid w:val="0094157C"/>
    <w:rsid w:val="00945555"/>
    <w:rsid w:val="009523E8"/>
    <w:rsid w:val="0095414E"/>
    <w:rsid w:val="00954420"/>
    <w:rsid w:val="00957118"/>
    <w:rsid w:val="00961697"/>
    <w:rsid w:val="009633A0"/>
    <w:rsid w:val="00972AD9"/>
    <w:rsid w:val="00972D74"/>
    <w:rsid w:val="0097394C"/>
    <w:rsid w:val="00976333"/>
    <w:rsid w:val="00976425"/>
    <w:rsid w:val="009808B4"/>
    <w:rsid w:val="00985D63"/>
    <w:rsid w:val="009864F9"/>
    <w:rsid w:val="0099054D"/>
    <w:rsid w:val="00992349"/>
    <w:rsid w:val="00992AA1"/>
    <w:rsid w:val="00994A20"/>
    <w:rsid w:val="009954FA"/>
    <w:rsid w:val="009A00B0"/>
    <w:rsid w:val="009A10A6"/>
    <w:rsid w:val="009B42B8"/>
    <w:rsid w:val="009B5AAB"/>
    <w:rsid w:val="009B5D0A"/>
    <w:rsid w:val="009B5E2B"/>
    <w:rsid w:val="009B633E"/>
    <w:rsid w:val="009C08A6"/>
    <w:rsid w:val="009C0994"/>
    <w:rsid w:val="009C339F"/>
    <w:rsid w:val="009C401D"/>
    <w:rsid w:val="009C7C3E"/>
    <w:rsid w:val="009D1A82"/>
    <w:rsid w:val="009D1BC2"/>
    <w:rsid w:val="009D4E57"/>
    <w:rsid w:val="009E6071"/>
    <w:rsid w:val="009E695E"/>
    <w:rsid w:val="009F19A2"/>
    <w:rsid w:val="009F56F2"/>
    <w:rsid w:val="009F61CC"/>
    <w:rsid w:val="00A1373A"/>
    <w:rsid w:val="00A13B44"/>
    <w:rsid w:val="00A14F27"/>
    <w:rsid w:val="00A22E4D"/>
    <w:rsid w:val="00A26715"/>
    <w:rsid w:val="00A30D88"/>
    <w:rsid w:val="00A32E49"/>
    <w:rsid w:val="00A32FE3"/>
    <w:rsid w:val="00A34F06"/>
    <w:rsid w:val="00A36093"/>
    <w:rsid w:val="00A36F6B"/>
    <w:rsid w:val="00A37966"/>
    <w:rsid w:val="00A4310B"/>
    <w:rsid w:val="00A45ECA"/>
    <w:rsid w:val="00A52C70"/>
    <w:rsid w:val="00A556AC"/>
    <w:rsid w:val="00A60B1F"/>
    <w:rsid w:val="00A62048"/>
    <w:rsid w:val="00A627F3"/>
    <w:rsid w:val="00A62DE0"/>
    <w:rsid w:val="00A77387"/>
    <w:rsid w:val="00A80309"/>
    <w:rsid w:val="00A80EE8"/>
    <w:rsid w:val="00A85050"/>
    <w:rsid w:val="00A85AED"/>
    <w:rsid w:val="00A91861"/>
    <w:rsid w:val="00AA24F4"/>
    <w:rsid w:val="00AB0C96"/>
    <w:rsid w:val="00AB2A62"/>
    <w:rsid w:val="00AB3A97"/>
    <w:rsid w:val="00AB4466"/>
    <w:rsid w:val="00AB5D9E"/>
    <w:rsid w:val="00AB762D"/>
    <w:rsid w:val="00AB7CB0"/>
    <w:rsid w:val="00AC3C7D"/>
    <w:rsid w:val="00AC5E2A"/>
    <w:rsid w:val="00AD2213"/>
    <w:rsid w:val="00AE1D80"/>
    <w:rsid w:val="00AF0FAA"/>
    <w:rsid w:val="00AF1C97"/>
    <w:rsid w:val="00AF28CD"/>
    <w:rsid w:val="00AF7370"/>
    <w:rsid w:val="00B02899"/>
    <w:rsid w:val="00B02F52"/>
    <w:rsid w:val="00B15DFE"/>
    <w:rsid w:val="00B168B4"/>
    <w:rsid w:val="00B20110"/>
    <w:rsid w:val="00B21407"/>
    <w:rsid w:val="00B310FE"/>
    <w:rsid w:val="00B31F50"/>
    <w:rsid w:val="00B32028"/>
    <w:rsid w:val="00B335B1"/>
    <w:rsid w:val="00B35514"/>
    <w:rsid w:val="00B36EA2"/>
    <w:rsid w:val="00B3729D"/>
    <w:rsid w:val="00B46D0B"/>
    <w:rsid w:val="00B51A48"/>
    <w:rsid w:val="00B5212F"/>
    <w:rsid w:val="00B52AF4"/>
    <w:rsid w:val="00B537AA"/>
    <w:rsid w:val="00B56FF2"/>
    <w:rsid w:val="00B66531"/>
    <w:rsid w:val="00B8179D"/>
    <w:rsid w:val="00B84903"/>
    <w:rsid w:val="00B92025"/>
    <w:rsid w:val="00B967ED"/>
    <w:rsid w:val="00BA17CC"/>
    <w:rsid w:val="00BA42F9"/>
    <w:rsid w:val="00BA6742"/>
    <w:rsid w:val="00BA7DCB"/>
    <w:rsid w:val="00BC231E"/>
    <w:rsid w:val="00BC3338"/>
    <w:rsid w:val="00BC495B"/>
    <w:rsid w:val="00BC4FE1"/>
    <w:rsid w:val="00BC5F50"/>
    <w:rsid w:val="00BD2C47"/>
    <w:rsid w:val="00BD4D76"/>
    <w:rsid w:val="00BD4E36"/>
    <w:rsid w:val="00BD763B"/>
    <w:rsid w:val="00BE0BD0"/>
    <w:rsid w:val="00BE0C40"/>
    <w:rsid w:val="00BE4C8A"/>
    <w:rsid w:val="00BF233E"/>
    <w:rsid w:val="00BF3315"/>
    <w:rsid w:val="00BF63A3"/>
    <w:rsid w:val="00BF6944"/>
    <w:rsid w:val="00C00D16"/>
    <w:rsid w:val="00C053B5"/>
    <w:rsid w:val="00C05BD3"/>
    <w:rsid w:val="00C06780"/>
    <w:rsid w:val="00C06B71"/>
    <w:rsid w:val="00C17134"/>
    <w:rsid w:val="00C20ACB"/>
    <w:rsid w:val="00C22317"/>
    <w:rsid w:val="00C224CF"/>
    <w:rsid w:val="00C34B36"/>
    <w:rsid w:val="00C362FD"/>
    <w:rsid w:val="00C5104C"/>
    <w:rsid w:val="00C52136"/>
    <w:rsid w:val="00C53775"/>
    <w:rsid w:val="00C57033"/>
    <w:rsid w:val="00C6149A"/>
    <w:rsid w:val="00C61A4D"/>
    <w:rsid w:val="00C63FF4"/>
    <w:rsid w:val="00C650C0"/>
    <w:rsid w:val="00C72612"/>
    <w:rsid w:val="00C8377E"/>
    <w:rsid w:val="00C94EED"/>
    <w:rsid w:val="00C9738A"/>
    <w:rsid w:val="00CA5206"/>
    <w:rsid w:val="00CA6B7F"/>
    <w:rsid w:val="00CB450A"/>
    <w:rsid w:val="00CB5439"/>
    <w:rsid w:val="00CB689E"/>
    <w:rsid w:val="00CB694A"/>
    <w:rsid w:val="00CC0844"/>
    <w:rsid w:val="00CC0E95"/>
    <w:rsid w:val="00CC2D24"/>
    <w:rsid w:val="00CC3041"/>
    <w:rsid w:val="00CD26A8"/>
    <w:rsid w:val="00CD3EB4"/>
    <w:rsid w:val="00CD68B8"/>
    <w:rsid w:val="00CE1EC9"/>
    <w:rsid w:val="00CE68B4"/>
    <w:rsid w:val="00CE768C"/>
    <w:rsid w:val="00D01379"/>
    <w:rsid w:val="00D0569E"/>
    <w:rsid w:val="00D23560"/>
    <w:rsid w:val="00D25854"/>
    <w:rsid w:val="00D27402"/>
    <w:rsid w:val="00D30536"/>
    <w:rsid w:val="00D31E4B"/>
    <w:rsid w:val="00D325EA"/>
    <w:rsid w:val="00D3565A"/>
    <w:rsid w:val="00D411BC"/>
    <w:rsid w:val="00D41306"/>
    <w:rsid w:val="00D45F64"/>
    <w:rsid w:val="00D506F5"/>
    <w:rsid w:val="00D51A3F"/>
    <w:rsid w:val="00D54273"/>
    <w:rsid w:val="00D55ADC"/>
    <w:rsid w:val="00D62DF1"/>
    <w:rsid w:val="00D667BC"/>
    <w:rsid w:val="00D67830"/>
    <w:rsid w:val="00D71514"/>
    <w:rsid w:val="00D72228"/>
    <w:rsid w:val="00D72BB3"/>
    <w:rsid w:val="00D75CAE"/>
    <w:rsid w:val="00D761EE"/>
    <w:rsid w:val="00D829AD"/>
    <w:rsid w:val="00D83EE7"/>
    <w:rsid w:val="00D852B7"/>
    <w:rsid w:val="00D860F4"/>
    <w:rsid w:val="00D8765D"/>
    <w:rsid w:val="00D91269"/>
    <w:rsid w:val="00D912A3"/>
    <w:rsid w:val="00D92486"/>
    <w:rsid w:val="00D96F9A"/>
    <w:rsid w:val="00DA178E"/>
    <w:rsid w:val="00DA1939"/>
    <w:rsid w:val="00DA6A22"/>
    <w:rsid w:val="00DC0934"/>
    <w:rsid w:val="00DD10CD"/>
    <w:rsid w:val="00DE4818"/>
    <w:rsid w:val="00DF2F86"/>
    <w:rsid w:val="00DF4D97"/>
    <w:rsid w:val="00DF780E"/>
    <w:rsid w:val="00E04115"/>
    <w:rsid w:val="00E05A25"/>
    <w:rsid w:val="00E06BE5"/>
    <w:rsid w:val="00E114E0"/>
    <w:rsid w:val="00E11E91"/>
    <w:rsid w:val="00E127EE"/>
    <w:rsid w:val="00E1663B"/>
    <w:rsid w:val="00E251B3"/>
    <w:rsid w:val="00E26CB6"/>
    <w:rsid w:val="00E32C0B"/>
    <w:rsid w:val="00E33989"/>
    <w:rsid w:val="00E34F72"/>
    <w:rsid w:val="00E41A7C"/>
    <w:rsid w:val="00E42196"/>
    <w:rsid w:val="00E43AA8"/>
    <w:rsid w:val="00E44511"/>
    <w:rsid w:val="00E547C7"/>
    <w:rsid w:val="00E6011D"/>
    <w:rsid w:val="00E66313"/>
    <w:rsid w:val="00E71EEB"/>
    <w:rsid w:val="00E80D1E"/>
    <w:rsid w:val="00E81B72"/>
    <w:rsid w:val="00E90FA3"/>
    <w:rsid w:val="00E950EE"/>
    <w:rsid w:val="00E972E9"/>
    <w:rsid w:val="00EA4AF9"/>
    <w:rsid w:val="00EB1478"/>
    <w:rsid w:val="00EB17A4"/>
    <w:rsid w:val="00EB3115"/>
    <w:rsid w:val="00EB330A"/>
    <w:rsid w:val="00EB556C"/>
    <w:rsid w:val="00EB5B56"/>
    <w:rsid w:val="00EB75AB"/>
    <w:rsid w:val="00EC4AB3"/>
    <w:rsid w:val="00EC603D"/>
    <w:rsid w:val="00EC618E"/>
    <w:rsid w:val="00ED12D4"/>
    <w:rsid w:val="00ED4E89"/>
    <w:rsid w:val="00EE20B7"/>
    <w:rsid w:val="00EF77C3"/>
    <w:rsid w:val="00F00998"/>
    <w:rsid w:val="00F06D26"/>
    <w:rsid w:val="00F0784F"/>
    <w:rsid w:val="00F204B5"/>
    <w:rsid w:val="00F2464A"/>
    <w:rsid w:val="00F25E73"/>
    <w:rsid w:val="00F26088"/>
    <w:rsid w:val="00F41DAF"/>
    <w:rsid w:val="00F52936"/>
    <w:rsid w:val="00F52B8C"/>
    <w:rsid w:val="00F602DF"/>
    <w:rsid w:val="00F67C33"/>
    <w:rsid w:val="00F7008C"/>
    <w:rsid w:val="00F74506"/>
    <w:rsid w:val="00F77351"/>
    <w:rsid w:val="00F81A9D"/>
    <w:rsid w:val="00F83C5D"/>
    <w:rsid w:val="00F83DAA"/>
    <w:rsid w:val="00F854CB"/>
    <w:rsid w:val="00F92E18"/>
    <w:rsid w:val="00F95CCB"/>
    <w:rsid w:val="00F977A0"/>
    <w:rsid w:val="00FA1D2C"/>
    <w:rsid w:val="00FA1F1A"/>
    <w:rsid w:val="00FA2237"/>
    <w:rsid w:val="00FA2C5D"/>
    <w:rsid w:val="00FA5FF9"/>
    <w:rsid w:val="00FB49E3"/>
    <w:rsid w:val="00FB64AE"/>
    <w:rsid w:val="00FB7DA7"/>
    <w:rsid w:val="00FC2897"/>
    <w:rsid w:val="00FD2F77"/>
    <w:rsid w:val="00FD2F93"/>
    <w:rsid w:val="00FD71F3"/>
    <w:rsid w:val="00FE7373"/>
    <w:rsid w:val="00FF1ECD"/>
    <w:rsid w:val="00FF6AE6"/>
    <w:rsid w:val="010845FD"/>
    <w:rsid w:val="01276CE6"/>
    <w:rsid w:val="01391AF7"/>
    <w:rsid w:val="01A56820"/>
    <w:rsid w:val="01B73196"/>
    <w:rsid w:val="01C57D1F"/>
    <w:rsid w:val="01DB0F21"/>
    <w:rsid w:val="01F85948"/>
    <w:rsid w:val="01FC3B2F"/>
    <w:rsid w:val="01FD7E4B"/>
    <w:rsid w:val="027D1EDC"/>
    <w:rsid w:val="02AA6F17"/>
    <w:rsid w:val="02E6429D"/>
    <w:rsid w:val="02EC35B7"/>
    <w:rsid w:val="032E5AB3"/>
    <w:rsid w:val="0380752A"/>
    <w:rsid w:val="03C4317A"/>
    <w:rsid w:val="041E1097"/>
    <w:rsid w:val="04874841"/>
    <w:rsid w:val="04AF0DC0"/>
    <w:rsid w:val="04E35F2C"/>
    <w:rsid w:val="04EB4ECE"/>
    <w:rsid w:val="053371D4"/>
    <w:rsid w:val="053B700A"/>
    <w:rsid w:val="05A9381E"/>
    <w:rsid w:val="05CA3B1B"/>
    <w:rsid w:val="05D40F8A"/>
    <w:rsid w:val="05E97CB2"/>
    <w:rsid w:val="060D6A3B"/>
    <w:rsid w:val="06193B1E"/>
    <w:rsid w:val="06383C8B"/>
    <w:rsid w:val="06AB6FF1"/>
    <w:rsid w:val="06C6067E"/>
    <w:rsid w:val="06DF18E2"/>
    <w:rsid w:val="0707497A"/>
    <w:rsid w:val="07394A3D"/>
    <w:rsid w:val="07416329"/>
    <w:rsid w:val="074B01A9"/>
    <w:rsid w:val="07501B9E"/>
    <w:rsid w:val="07862691"/>
    <w:rsid w:val="082B0E32"/>
    <w:rsid w:val="0838785B"/>
    <w:rsid w:val="08727C1D"/>
    <w:rsid w:val="087D0B78"/>
    <w:rsid w:val="08894DF6"/>
    <w:rsid w:val="0920129B"/>
    <w:rsid w:val="09823E4D"/>
    <w:rsid w:val="098852A8"/>
    <w:rsid w:val="09A06B78"/>
    <w:rsid w:val="09EA3E64"/>
    <w:rsid w:val="0A123F9D"/>
    <w:rsid w:val="0A3453BD"/>
    <w:rsid w:val="0A4B18CE"/>
    <w:rsid w:val="0A601059"/>
    <w:rsid w:val="0A8A4B12"/>
    <w:rsid w:val="0AB2170F"/>
    <w:rsid w:val="0AB25DFE"/>
    <w:rsid w:val="0AC800D5"/>
    <w:rsid w:val="0AFA19A7"/>
    <w:rsid w:val="0B181252"/>
    <w:rsid w:val="0B2543AA"/>
    <w:rsid w:val="0B651CEF"/>
    <w:rsid w:val="0C275A89"/>
    <w:rsid w:val="0CBB5882"/>
    <w:rsid w:val="0D531CDF"/>
    <w:rsid w:val="0DCA3125"/>
    <w:rsid w:val="0E211365"/>
    <w:rsid w:val="0E416A77"/>
    <w:rsid w:val="0E5C2657"/>
    <w:rsid w:val="0E5C7CE8"/>
    <w:rsid w:val="0EA34036"/>
    <w:rsid w:val="0EB049DF"/>
    <w:rsid w:val="0EB63F9D"/>
    <w:rsid w:val="0ED91C40"/>
    <w:rsid w:val="0EFA06A7"/>
    <w:rsid w:val="0F227C07"/>
    <w:rsid w:val="0F245037"/>
    <w:rsid w:val="0F283E25"/>
    <w:rsid w:val="0F54794B"/>
    <w:rsid w:val="0F6A354E"/>
    <w:rsid w:val="0F88478D"/>
    <w:rsid w:val="0FB73DA5"/>
    <w:rsid w:val="0FCE37C4"/>
    <w:rsid w:val="0FDE2587"/>
    <w:rsid w:val="101B0BC4"/>
    <w:rsid w:val="103649EC"/>
    <w:rsid w:val="1040315F"/>
    <w:rsid w:val="10507757"/>
    <w:rsid w:val="106D43EE"/>
    <w:rsid w:val="107A1082"/>
    <w:rsid w:val="109E7189"/>
    <w:rsid w:val="10C72BB3"/>
    <w:rsid w:val="115206FB"/>
    <w:rsid w:val="11531DCE"/>
    <w:rsid w:val="11B40613"/>
    <w:rsid w:val="11BE2022"/>
    <w:rsid w:val="11D83EA2"/>
    <w:rsid w:val="122510EE"/>
    <w:rsid w:val="123757B7"/>
    <w:rsid w:val="12405481"/>
    <w:rsid w:val="12837EE6"/>
    <w:rsid w:val="128D1331"/>
    <w:rsid w:val="12C1355D"/>
    <w:rsid w:val="12EA1EE6"/>
    <w:rsid w:val="12EF7289"/>
    <w:rsid w:val="13330CAC"/>
    <w:rsid w:val="13387A1A"/>
    <w:rsid w:val="133D7CD4"/>
    <w:rsid w:val="134D5A81"/>
    <w:rsid w:val="13AC42B6"/>
    <w:rsid w:val="13BF6991"/>
    <w:rsid w:val="13F03DED"/>
    <w:rsid w:val="13F95DC4"/>
    <w:rsid w:val="142A3E2D"/>
    <w:rsid w:val="144A7973"/>
    <w:rsid w:val="14E5758A"/>
    <w:rsid w:val="14FB7DA2"/>
    <w:rsid w:val="15567E44"/>
    <w:rsid w:val="158710F3"/>
    <w:rsid w:val="15BC1451"/>
    <w:rsid w:val="15C772F3"/>
    <w:rsid w:val="15CE4C34"/>
    <w:rsid w:val="15D370F1"/>
    <w:rsid w:val="15F0775C"/>
    <w:rsid w:val="160A0AD0"/>
    <w:rsid w:val="16401732"/>
    <w:rsid w:val="165B6F79"/>
    <w:rsid w:val="166E5EB0"/>
    <w:rsid w:val="16C01EAE"/>
    <w:rsid w:val="16F214B3"/>
    <w:rsid w:val="16F50974"/>
    <w:rsid w:val="177A195D"/>
    <w:rsid w:val="17D67E1B"/>
    <w:rsid w:val="17DA0D2E"/>
    <w:rsid w:val="17E50036"/>
    <w:rsid w:val="1820060E"/>
    <w:rsid w:val="18205BA9"/>
    <w:rsid w:val="182C4B8E"/>
    <w:rsid w:val="18370FAA"/>
    <w:rsid w:val="188D7D42"/>
    <w:rsid w:val="1890464C"/>
    <w:rsid w:val="18C45643"/>
    <w:rsid w:val="19575882"/>
    <w:rsid w:val="195E155B"/>
    <w:rsid w:val="197321D5"/>
    <w:rsid w:val="1A0C41D1"/>
    <w:rsid w:val="1A336BE7"/>
    <w:rsid w:val="1A612D7C"/>
    <w:rsid w:val="1A7F6A7E"/>
    <w:rsid w:val="1A807E72"/>
    <w:rsid w:val="1A8A2A47"/>
    <w:rsid w:val="1B16166A"/>
    <w:rsid w:val="1BB93E83"/>
    <w:rsid w:val="1BC644B6"/>
    <w:rsid w:val="1C613AB1"/>
    <w:rsid w:val="1C763D6F"/>
    <w:rsid w:val="1C8C0466"/>
    <w:rsid w:val="1CC854C2"/>
    <w:rsid w:val="1D0121D0"/>
    <w:rsid w:val="1D5B524F"/>
    <w:rsid w:val="1D6D3522"/>
    <w:rsid w:val="1DAB5588"/>
    <w:rsid w:val="1DD72694"/>
    <w:rsid w:val="1DDE1DE9"/>
    <w:rsid w:val="1DFA7416"/>
    <w:rsid w:val="1E8474D2"/>
    <w:rsid w:val="1EFD5795"/>
    <w:rsid w:val="1F0814A0"/>
    <w:rsid w:val="1F474868"/>
    <w:rsid w:val="1F883C9F"/>
    <w:rsid w:val="1F971592"/>
    <w:rsid w:val="1FB94E27"/>
    <w:rsid w:val="1FE57CFE"/>
    <w:rsid w:val="1FF41576"/>
    <w:rsid w:val="200A3A73"/>
    <w:rsid w:val="202F3608"/>
    <w:rsid w:val="208337BA"/>
    <w:rsid w:val="20A70CEA"/>
    <w:rsid w:val="20AF20C5"/>
    <w:rsid w:val="20EB717A"/>
    <w:rsid w:val="20ED7306"/>
    <w:rsid w:val="20F96916"/>
    <w:rsid w:val="211106C5"/>
    <w:rsid w:val="21431785"/>
    <w:rsid w:val="21814871"/>
    <w:rsid w:val="21894E00"/>
    <w:rsid w:val="219E251A"/>
    <w:rsid w:val="21C24F4B"/>
    <w:rsid w:val="22071464"/>
    <w:rsid w:val="22283C9F"/>
    <w:rsid w:val="2232235C"/>
    <w:rsid w:val="232748D0"/>
    <w:rsid w:val="23291785"/>
    <w:rsid w:val="23710488"/>
    <w:rsid w:val="2381304A"/>
    <w:rsid w:val="23A7789F"/>
    <w:rsid w:val="23BB002C"/>
    <w:rsid w:val="23C33515"/>
    <w:rsid w:val="23F1680C"/>
    <w:rsid w:val="242E494F"/>
    <w:rsid w:val="243E15D5"/>
    <w:rsid w:val="24551238"/>
    <w:rsid w:val="248E2DBA"/>
    <w:rsid w:val="24A92F6B"/>
    <w:rsid w:val="24AE1582"/>
    <w:rsid w:val="25224672"/>
    <w:rsid w:val="25250089"/>
    <w:rsid w:val="25252A8D"/>
    <w:rsid w:val="25A67057"/>
    <w:rsid w:val="25D54115"/>
    <w:rsid w:val="25F72F27"/>
    <w:rsid w:val="260F4C55"/>
    <w:rsid w:val="26153106"/>
    <w:rsid w:val="26291B1A"/>
    <w:rsid w:val="26763E6F"/>
    <w:rsid w:val="267C3983"/>
    <w:rsid w:val="26CF1507"/>
    <w:rsid w:val="26D82BDE"/>
    <w:rsid w:val="26EB0757"/>
    <w:rsid w:val="270101AC"/>
    <w:rsid w:val="2719451E"/>
    <w:rsid w:val="274D71B2"/>
    <w:rsid w:val="2751147F"/>
    <w:rsid w:val="27706CF6"/>
    <w:rsid w:val="279C6957"/>
    <w:rsid w:val="27D32B77"/>
    <w:rsid w:val="27DE5929"/>
    <w:rsid w:val="27E14C4C"/>
    <w:rsid w:val="282160D2"/>
    <w:rsid w:val="286C62A1"/>
    <w:rsid w:val="28A069B8"/>
    <w:rsid w:val="28C21683"/>
    <w:rsid w:val="28F72971"/>
    <w:rsid w:val="290F3C6E"/>
    <w:rsid w:val="2A3073E0"/>
    <w:rsid w:val="2AE35535"/>
    <w:rsid w:val="2B496FA3"/>
    <w:rsid w:val="2B532BFE"/>
    <w:rsid w:val="2B6A469F"/>
    <w:rsid w:val="2BAC65A8"/>
    <w:rsid w:val="2BB024B4"/>
    <w:rsid w:val="2BC60F98"/>
    <w:rsid w:val="2BCB45F0"/>
    <w:rsid w:val="2C066A1A"/>
    <w:rsid w:val="2C0B4AE6"/>
    <w:rsid w:val="2C7A1F15"/>
    <w:rsid w:val="2C8165FA"/>
    <w:rsid w:val="2CAC7CBD"/>
    <w:rsid w:val="2CCC08A3"/>
    <w:rsid w:val="2D0A514C"/>
    <w:rsid w:val="2D2F30DD"/>
    <w:rsid w:val="2D3F44AA"/>
    <w:rsid w:val="2DB235BF"/>
    <w:rsid w:val="2E1B3283"/>
    <w:rsid w:val="2E577392"/>
    <w:rsid w:val="2E6E6547"/>
    <w:rsid w:val="2E8B1B62"/>
    <w:rsid w:val="2E970AE4"/>
    <w:rsid w:val="2EB227A5"/>
    <w:rsid w:val="2F822BAC"/>
    <w:rsid w:val="2F96630B"/>
    <w:rsid w:val="2FAC7913"/>
    <w:rsid w:val="2FBE7946"/>
    <w:rsid w:val="301F6139"/>
    <w:rsid w:val="30641E74"/>
    <w:rsid w:val="30810E1D"/>
    <w:rsid w:val="30D616E4"/>
    <w:rsid w:val="30F97581"/>
    <w:rsid w:val="3110022D"/>
    <w:rsid w:val="314256C4"/>
    <w:rsid w:val="31947CF5"/>
    <w:rsid w:val="31C65637"/>
    <w:rsid w:val="32417274"/>
    <w:rsid w:val="324A57AF"/>
    <w:rsid w:val="329F04E5"/>
    <w:rsid w:val="32F9755F"/>
    <w:rsid w:val="331B2806"/>
    <w:rsid w:val="333214D1"/>
    <w:rsid w:val="3370495E"/>
    <w:rsid w:val="33CC0FC6"/>
    <w:rsid w:val="33DD0EAC"/>
    <w:rsid w:val="340622E0"/>
    <w:rsid w:val="34143D51"/>
    <w:rsid w:val="34302898"/>
    <w:rsid w:val="345B460B"/>
    <w:rsid w:val="347B1D25"/>
    <w:rsid w:val="348E2B4F"/>
    <w:rsid w:val="34BB4966"/>
    <w:rsid w:val="35C97D56"/>
    <w:rsid w:val="35EE5D6B"/>
    <w:rsid w:val="35F42FE3"/>
    <w:rsid w:val="35FB5E4F"/>
    <w:rsid w:val="3637765B"/>
    <w:rsid w:val="363A3F05"/>
    <w:rsid w:val="365311E6"/>
    <w:rsid w:val="367112A8"/>
    <w:rsid w:val="37310DCF"/>
    <w:rsid w:val="37473FEE"/>
    <w:rsid w:val="375445E4"/>
    <w:rsid w:val="376964D6"/>
    <w:rsid w:val="378D71CC"/>
    <w:rsid w:val="379C0110"/>
    <w:rsid w:val="379C3619"/>
    <w:rsid w:val="381151B3"/>
    <w:rsid w:val="384A2F51"/>
    <w:rsid w:val="387C3364"/>
    <w:rsid w:val="38CC73F3"/>
    <w:rsid w:val="395B66C1"/>
    <w:rsid w:val="395E3B0F"/>
    <w:rsid w:val="39AE15AC"/>
    <w:rsid w:val="39E218FD"/>
    <w:rsid w:val="39E83FB4"/>
    <w:rsid w:val="3A153790"/>
    <w:rsid w:val="3A1F11A7"/>
    <w:rsid w:val="3A3F2362"/>
    <w:rsid w:val="3A86575A"/>
    <w:rsid w:val="3AC94052"/>
    <w:rsid w:val="3B115AB0"/>
    <w:rsid w:val="3B341FC1"/>
    <w:rsid w:val="3B6F11E8"/>
    <w:rsid w:val="3B732683"/>
    <w:rsid w:val="3B851216"/>
    <w:rsid w:val="3C214F90"/>
    <w:rsid w:val="3C223292"/>
    <w:rsid w:val="3D084D63"/>
    <w:rsid w:val="3D0B4A9A"/>
    <w:rsid w:val="3D420A8C"/>
    <w:rsid w:val="3D517AA3"/>
    <w:rsid w:val="3DA349DC"/>
    <w:rsid w:val="3DEC2546"/>
    <w:rsid w:val="3E0F5C92"/>
    <w:rsid w:val="3E3457B0"/>
    <w:rsid w:val="3E9753EA"/>
    <w:rsid w:val="3E9948D1"/>
    <w:rsid w:val="3EE41CB3"/>
    <w:rsid w:val="3F43088C"/>
    <w:rsid w:val="3F5E71A0"/>
    <w:rsid w:val="3F60143E"/>
    <w:rsid w:val="3F7F3F6B"/>
    <w:rsid w:val="3FAA346A"/>
    <w:rsid w:val="3FAB317E"/>
    <w:rsid w:val="3FE327A2"/>
    <w:rsid w:val="401F1935"/>
    <w:rsid w:val="40602185"/>
    <w:rsid w:val="406D3C7A"/>
    <w:rsid w:val="408D0A8F"/>
    <w:rsid w:val="40DD4529"/>
    <w:rsid w:val="414920DE"/>
    <w:rsid w:val="41550B18"/>
    <w:rsid w:val="41E371A6"/>
    <w:rsid w:val="4206324A"/>
    <w:rsid w:val="42B01A80"/>
    <w:rsid w:val="42B540C6"/>
    <w:rsid w:val="43124DBF"/>
    <w:rsid w:val="43267EE9"/>
    <w:rsid w:val="43411BCB"/>
    <w:rsid w:val="435C4BA0"/>
    <w:rsid w:val="4373005F"/>
    <w:rsid w:val="442326F2"/>
    <w:rsid w:val="442418FE"/>
    <w:rsid w:val="44781DAA"/>
    <w:rsid w:val="44C9249B"/>
    <w:rsid w:val="44CA357E"/>
    <w:rsid w:val="4587776E"/>
    <w:rsid w:val="45CF460B"/>
    <w:rsid w:val="45E27E1E"/>
    <w:rsid w:val="46142700"/>
    <w:rsid w:val="46FA1444"/>
    <w:rsid w:val="470316C4"/>
    <w:rsid w:val="470E368E"/>
    <w:rsid w:val="477631E0"/>
    <w:rsid w:val="47AC7367"/>
    <w:rsid w:val="47AD6319"/>
    <w:rsid w:val="47BA5BC1"/>
    <w:rsid w:val="47C7285C"/>
    <w:rsid w:val="48030BB8"/>
    <w:rsid w:val="480C69CA"/>
    <w:rsid w:val="48272C64"/>
    <w:rsid w:val="48500230"/>
    <w:rsid w:val="487519F9"/>
    <w:rsid w:val="488F069E"/>
    <w:rsid w:val="49347AA6"/>
    <w:rsid w:val="496D392E"/>
    <w:rsid w:val="497F756E"/>
    <w:rsid w:val="498E7313"/>
    <w:rsid w:val="499B629D"/>
    <w:rsid w:val="4A0A5885"/>
    <w:rsid w:val="4B073A5C"/>
    <w:rsid w:val="4B387880"/>
    <w:rsid w:val="4B44760D"/>
    <w:rsid w:val="4B5C5D27"/>
    <w:rsid w:val="4B5E326D"/>
    <w:rsid w:val="4B840ACD"/>
    <w:rsid w:val="4B8C42AD"/>
    <w:rsid w:val="4B92472D"/>
    <w:rsid w:val="4BC51F60"/>
    <w:rsid w:val="4BD2475B"/>
    <w:rsid w:val="4BF72474"/>
    <w:rsid w:val="4C2E5AE5"/>
    <w:rsid w:val="4C4F0B45"/>
    <w:rsid w:val="4D7908B5"/>
    <w:rsid w:val="4DA74A82"/>
    <w:rsid w:val="4DA969FC"/>
    <w:rsid w:val="4DB73FDD"/>
    <w:rsid w:val="4E3B70D2"/>
    <w:rsid w:val="4E5C3A58"/>
    <w:rsid w:val="4E7C16C5"/>
    <w:rsid w:val="4E865AFC"/>
    <w:rsid w:val="4F066320"/>
    <w:rsid w:val="4F0C4606"/>
    <w:rsid w:val="4F3D5624"/>
    <w:rsid w:val="4F4E6EBF"/>
    <w:rsid w:val="4F7D4C71"/>
    <w:rsid w:val="4FA80A1B"/>
    <w:rsid w:val="4FCA7073"/>
    <w:rsid w:val="4FE259E9"/>
    <w:rsid w:val="4FE54610"/>
    <w:rsid w:val="50092961"/>
    <w:rsid w:val="501D7C2E"/>
    <w:rsid w:val="50963550"/>
    <w:rsid w:val="50BD3A0A"/>
    <w:rsid w:val="50D624FE"/>
    <w:rsid w:val="512C7508"/>
    <w:rsid w:val="51D07D5D"/>
    <w:rsid w:val="52321D93"/>
    <w:rsid w:val="52420452"/>
    <w:rsid w:val="524A5FDD"/>
    <w:rsid w:val="52533FC1"/>
    <w:rsid w:val="52B85DAB"/>
    <w:rsid w:val="52F30FD8"/>
    <w:rsid w:val="530973DA"/>
    <w:rsid w:val="53BB70AD"/>
    <w:rsid w:val="53DA43C4"/>
    <w:rsid w:val="53E267AB"/>
    <w:rsid w:val="54D02C4B"/>
    <w:rsid w:val="550D6F8B"/>
    <w:rsid w:val="55112B45"/>
    <w:rsid w:val="551D1A51"/>
    <w:rsid w:val="55351206"/>
    <w:rsid w:val="55536FDA"/>
    <w:rsid w:val="55653C63"/>
    <w:rsid w:val="558F79BB"/>
    <w:rsid w:val="55A649AE"/>
    <w:rsid w:val="55D93627"/>
    <w:rsid w:val="56602AF8"/>
    <w:rsid w:val="569D1848"/>
    <w:rsid w:val="56B13A64"/>
    <w:rsid w:val="56BA3AA0"/>
    <w:rsid w:val="56CF6D97"/>
    <w:rsid w:val="56D66689"/>
    <w:rsid w:val="570E46A2"/>
    <w:rsid w:val="57847C36"/>
    <w:rsid w:val="578E18A0"/>
    <w:rsid w:val="584E2691"/>
    <w:rsid w:val="586A742C"/>
    <w:rsid w:val="5881039C"/>
    <w:rsid w:val="58C134D7"/>
    <w:rsid w:val="58C94C3F"/>
    <w:rsid w:val="591E42EB"/>
    <w:rsid w:val="592A1676"/>
    <w:rsid w:val="59E71DDE"/>
    <w:rsid w:val="5A064D2E"/>
    <w:rsid w:val="5A496D02"/>
    <w:rsid w:val="5A53496E"/>
    <w:rsid w:val="5A7756D8"/>
    <w:rsid w:val="5A96078C"/>
    <w:rsid w:val="5ABB0552"/>
    <w:rsid w:val="5AC87CD6"/>
    <w:rsid w:val="5AE85A5C"/>
    <w:rsid w:val="5B18744E"/>
    <w:rsid w:val="5BC63955"/>
    <w:rsid w:val="5C4A2BD7"/>
    <w:rsid w:val="5CAF68F6"/>
    <w:rsid w:val="5CF84E92"/>
    <w:rsid w:val="5D213D72"/>
    <w:rsid w:val="5D405A5D"/>
    <w:rsid w:val="5D63632E"/>
    <w:rsid w:val="5D89138F"/>
    <w:rsid w:val="5DD40BD5"/>
    <w:rsid w:val="5DD63758"/>
    <w:rsid w:val="5E2775BD"/>
    <w:rsid w:val="5E326512"/>
    <w:rsid w:val="5E3F3ED0"/>
    <w:rsid w:val="5E4205CC"/>
    <w:rsid w:val="5E504C73"/>
    <w:rsid w:val="5E985E8A"/>
    <w:rsid w:val="5EE54D87"/>
    <w:rsid w:val="5EEE5CC7"/>
    <w:rsid w:val="5F8F1F7E"/>
    <w:rsid w:val="5FB455AB"/>
    <w:rsid w:val="5FC46963"/>
    <w:rsid w:val="5FCB7633"/>
    <w:rsid w:val="5FD539BB"/>
    <w:rsid w:val="5FD8479E"/>
    <w:rsid w:val="5FEF4FD0"/>
    <w:rsid w:val="5FF11588"/>
    <w:rsid w:val="5FF7262C"/>
    <w:rsid w:val="60585DBB"/>
    <w:rsid w:val="607F17F7"/>
    <w:rsid w:val="609F50E9"/>
    <w:rsid w:val="61394E2C"/>
    <w:rsid w:val="617F4494"/>
    <w:rsid w:val="61B949DE"/>
    <w:rsid w:val="61FE7898"/>
    <w:rsid w:val="621C7A8F"/>
    <w:rsid w:val="62A11A47"/>
    <w:rsid w:val="62B4089B"/>
    <w:rsid w:val="62E94FF3"/>
    <w:rsid w:val="62F475B6"/>
    <w:rsid w:val="630C6A64"/>
    <w:rsid w:val="631F7E44"/>
    <w:rsid w:val="63376FCF"/>
    <w:rsid w:val="637C04DD"/>
    <w:rsid w:val="63964CCA"/>
    <w:rsid w:val="63B3451B"/>
    <w:rsid w:val="648D18F2"/>
    <w:rsid w:val="652A2E44"/>
    <w:rsid w:val="654E4849"/>
    <w:rsid w:val="65686657"/>
    <w:rsid w:val="65BD69EB"/>
    <w:rsid w:val="664977CF"/>
    <w:rsid w:val="665705F5"/>
    <w:rsid w:val="66EC4975"/>
    <w:rsid w:val="66F92550"/>
    <w:rsid w:val="67016B09"/>
    <w:rsid w:val="67203D95"/>
    <w:rsid w:val="67597141"/>
    <w:rsid w:val="67F83FF2"/>
    <w:rsid w:val="681B27B3"/>
    <w:rsid w:val="683116BC"/>
    <w:rsid w:val="688F3871"/>
    <w:rsid w:val="68D862F5"/>
    <w:rsid w:val="68DC76F5"/>
    <w:rsid w:val="68E74072"/>
    <w:rsid w:val="69173BDC"/>
    <w:rsid w:val="69484687"/>
    <w:rsid w:val="69BD4674"/>
    <w:rsid w:val="69D361E5"/>
    <w:rsid w:val="6A036769"/>
    <w:rsid w:val="6A325674"/>
    <w:rsid w:val="6A4D2C84"/>
    <w:rsid w:val="6A52291B"/>
    <w:rsid w:val="6A7B10E5"/>
    <w:rsid w:val="6A817F02"/>
    <w:rsid w:val="6A8A48EA"/>
    <w:rsid w:val="6ABF2B74"/>
    <w:rsid w:val="6B351E6F"/>
    <w:rsid w:val="6B7A4051"/>
    <w:rsid w:val="6BBA3B00"/>
    <w:rsid w:val="6BDD581C"/>
    <w:rsid w:val="6BE07043"/>
    <w:rsid w:val="6BE14999"/>
    <w:rsid w:val="6BF427CD"/>
    <w:rsid w:val="6BFB5FD1"/>
    <w:rsid w:val="6C2B3C2F"/>
    <w:rsid w:val="6D12175F"/>
    <w:rsid w:val="6D1F5AF0"/>
    <w:rsid w:val="6D42342C"/>
    <w:rsid w:val="6E1D76E4"/>
    <w:rsid w:val="6E544C48"/>
    <w:rsid w:val="6E67178A"/>
    <w:rsid w:val="6ED54165"/>
    <w:rsid w:val="6F0C74B5"/>
    <w:rsid w:val="6F0F4773"/>
    <w:rsid w:val="6F3657AD"/>
    <w:rsid w:val="6F3B10C9"/>
    <w:rsid w:val="6F5B091E"/>
    <w:rsid w:val="6F8A1C5E"/>
    <w:rsid w:val="6F974373"/>
    <w:rsid w:val="6FAF7C66"/>
    <w:rsid w:val="6FC71802"/>
    <w:rsid w:val="6FC74058"/>
    <w:rsid w:val="6FF53643"/>
    <w:rsid w:val="70040E87"/>
    <w:rsid w:val="704871A4"/>
    <w:rsid w:val="70592DFA"/>
    <w:rsid w:val="70694F36"/>
    <w:rsid w:val="70880C5C"/>
    <w:rsid w:val="70B523D0"/>
    <w:rsid w:val="70DD3906"/>
    <w:rsid w:val="7109479F"/>
    <w:rsid w:val="719B076B"/>
    <w:rsid w:val="71C160BF"/>
    <w:rsid w:val="71DC2403"/>
    <w:rsid w:val="72EC7281"/>
    <w:rsid w:val="73393BC2"/>
    <w:rsid w:val="737B44DB"/>
    <w:rsid w:val="73842E33"/>
    <w:rsid w:val="73A77C8D"/>
    <w:rsid w:val="73D310AD"/>
    <w:rsid w:val="7400051E"/>
    <w:rsid w:val="74262B1B"/>
    <w:rsid w:val="747F1F65"/>
    <w:rsid w:val="74A6094A"/>
    <w:rsid w:val="74CC21DF"/>
    <w:rsid w:val="74E16F35"/>
    <w:rsid w:val="750C5AD4"/>
    <w:rsid w:val="751029E3"/>
    <w:rsid w:val="753F3D93"/>
    <w:rsid w:val="75532D3D"/>
    <w:rsid w:val="758805C2"/>
    <w:rsid w:val="7588697C"/>
    <w:rsid w:val="761F2330"/>
    <w:rsid w:val="763F26D5"/>
    <w:rsid w:val="764D0528"/>
    <w:rsid w:val="76621CC3"/>
    <w:rsid w:val="768677C8"/>
    <w:rsid w:val="768960A6"/>
    <w:rsid w:val="76C82F19"/>
    <w:rsid w:val="77045A49"/>
    <w:rsid w:val="770626B6"/>
    <w:rsid w:val="77266E5A"/>
    <w:rsid w:val="77291B31"/>
    <w:rsid w:val="775C7088"/>
    <w:rsid w:val="77701354"/>
    <w:rsid w:val="77750DFA"/>
    <w:rsid w:val="77902D8C"/>
    <w:rsid w:val="779A189F"/>
    <w:rsid w:val="781D48F6"/>
    <w:rsid w:val="781F51BA"/>
    <w:rsid w:val="78494544"/>
    <w:rsid w:val="788E2C97"/>
    <w:rsid w:val="78E431C4"/>
    <w:rsid w:val="78EB4A40"/>
    <w:rsid w:val="796069C7"/>
    <w:rsid w:val="796C6682"/>
    <w:rsid w:val="79BB696B"/>
    <w:rsid w:val="79F944AF"/>
    <w:rsid w:val="7A2F69EB"/>
    <w:rsid w:val="7A4413F9"/>
    <w:rsid w:val="7A5711E4"/>
    <w:rsid w:val="7A822D65"/>
    <w:rsid w:val="7AEA0E27"/>
    <w:rsid w:val="7AFB6B83"/>
    <w:rsid w:val="7BAF6112"/>
    <w:rsid w:val="7BBE1FE9"/>
    <w:rsid w:val="7C152B38"/>
    <w:rsid w:val="7C4A702F"/>
    <w:rsid w:val="7C735E4E"/>
    <w:rsid w:val="7CE910B8"/>
    <w:rsid w:val="7D071AF5"/>
    <w:rsid w:val="7D394FD8"/>
    <w:rsid w:val="7D7E7646"/>
    <w:rsid w:val="7DC26738"/>
    <w:rsid w:val="7E885398"/>
    <w:rsid w:val="7E972C19"/>
    <w:rsid w:val="7EBB2BFC"/>
    <w:rsid w:val="7F6E4E40"/>
    <w:rsid w:val="7F7E2419"/>
    <w:rsid w:val="7F856BE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uiPriority="0" w:name="index 2"/>
    <w:lsdException w:uiPriority="0" w:name="index 3"/>
    <w:lsdException w:uiPriority="0" w:name="index 4"/>
    <w:lsdException w:qFormat="1" w:unhideWhenUsed="0" w:uiPriority="99" w:semiHidden="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qFormat="1" w:uiPriority="99" w:semiHidden="0" w:name="toa heading"/>
    <w:lsdException w:qFormat="1" w:unhideWhenUsed="0" w:uiPriority="99"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qFormat="1" w:unhideWhenUsed="0" w:uiPriority="0" w:semiHidden="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qFormat="1" w:uiPriority="0" w:semiHidden="0" w:name="HTML Cite"/>
    <w:lsdException w:qFormat="1" w:uiPriority="0" w:semiHidden="0" w:name="HTML Code"/>
    <w:lsdException w:qFormat="1" w:uiPriority="0" w:semiHidden="0" w:name="HTML Definition"/>
    <w:lsdException w:uiPriority="0" w:name="HTML Keyboard"/>
    <w:lsdException w:qFormat="1" w:unhideWhenUsed="0" w:uiPriority="0" w:semiHidden="0" w:name="HTML Preformatted"/>
    <w:lsdException w:uiPriority="0" w:name="HTML Sample"/>
    <w:lsdException w:uiPriority="0" w:name="HTML Typewriter"/>
    <w:lsdException w:qFormat="1" w:uiPriority="0" w:semiHidden="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1"/>
    <w:basedOn w:val="1"/>
    <w:next w:val="1"/>
    <w:link w:val="121"/>
    <w:qFormat/>
    <w:uiPriority w:val="99"/>
    <w:pPr>
      <w:keepNext/>
      <w:keepLines/>
      <w:adjustRightInd w:val="0"/>
      <w:spacing w:before="240" w:after="240" w:line="578" w:lineRule="atLeast"/>
      <w:textAlignment w:val="baseline"/>
      <w:outlineLvl w:val="0"/>
    </w:pPr>
    <w:rPr>
      <w:rFonts w:ascii="Tahoma" w:hAnsi="Tahoma"/>
      <w:b/>
      <w:bCs/>
      <w:kern w:val="44"/>
      <w:sz w:val="24"/>
      <w:szCs w:val="44"/>
    </w:rPr>
  </w:style>
  <w:style w:type="paragraph" w:styleId="4">
    <w:name w:val="heading 2"/>
    <w:basedOn w:val="1"/>
    <w:next w:val="1"/>
    <w:link w:val="103"/>
    <w:autoRedefine/>
    <w:qFormat/>
    <w:uiPriority w:val="99"/>
    <w:pPr>
      <w:spacing w:before="260" w:after="260" w:line="416" w:lineRule="atLeast"/>
      <w:outlineLvl w:val="1"/>
    </w:pPr>
    <w:rPr>
      <w:rFonts w:ascii="Cambria" w:hAnsi="Cambria"/>
      <w:sz w:val="32"/>
      <w:szCs w:val="32"/>
    </w:rPr>
  </w:style>
  <w:style w:type="paragraph" w:styleId="5">
    <w:name w:val="heading 3"/>
    <w:basedOn w:val="1"/>
    <w:next w:val="1"/>
    <w:link w:val="113"/>
    <w:autoRedefine/>
    <w:qFormat/>
    <w:uiPriority w:val="99"/>
    <w:pPr>
      <w:tabs>
        <w:tab w:val="left" w:pos="588"/>
      </w:tabs>
      <w:spacing w:line="360" w:lineRule="auto"/>
      <w:outlineLvl w:val="2"/>
    </w:pPr>
    <w:rPr>
      <w:rFonts w:ascii="Tahoma" w:hAnsi="Tahoma"/>
    </w:rPr>
  </w:style>
  <w:style w:type="paragraph" w:styleId="2">
    <w:name w:val="heading 4"/>
    <w:basedOn w:val="1"/>
    <w:next w:val="1"/>
    <w:link w:val="140"/>
    <w:autoRedefine/>
    <w:qFormat/>
    <w:uiPriority w:val="99"/>
    <w:pPr>
      <w:keepNext/>
      <w:keepLines/>
      <w:adjustRightInd w:val="0"/>
      <w:snapToGrid w:val="0"/>
      <w:spacing w:beforeAutospacing="1" w:afterAutospacing="1" w:line="300" w:lineRule="auto"/>
      <w:textAlignment w:val="baseline"/>
      <w:outlineLvl w:val="3"/>
    </w:pPr>
    <w:rPr>
      <w:b/>
      <w:kern w:val="0"/>
      <w:sz w:val="24"/>
    </w:rPr>
  </w:style>
  <w:style w:type="paragraph" w:styleId="6">
    <w:name w:val="heading 5"/>
    <w:basedOn w:val="1"/>
    <w:next w:val="1"/>
    <w:link w:val="102"/>
    <w:autoRedefine/>
    <w:qFormat/>
    <w:uiPriority w:val="99"/>
    <w:pPr>
      <w:keepNext/>
      <w:keepLines/>
      <w:spacing w:before="280" w:after="290" w:line="376" w:lineRule="auto"/>
      <w:ind w:left="1008" w:hanging="1008"/>
      <w:outlineLvl w:val="4"/>
    </w:pPr>
    <w:rPr>
      <w:b/>
      <w:bCs/>
      <w:sz w:val="24"/>
      <w:szCs w:val="28"/>
    </w:rPr>
  </w:style>
  <w:style w:type="paragraph" w:styleId="7">
    <w:name w:val="heading 6"/>
    <w:basedOn w:val="1"/>
    <w:next w:val="1"/>
    <w:link w:val="133"/>
    <w:autoRedefine/>
    <w:qFormat/>
    <w:uiPriority w:val="99"/>
    <w:pPr>
      <w:keepNext/>
      <w:keepLines/>
      <w:spacing w:before="240" w:after="64" w:line="320" w:lineRule="auto"/>
      <w:ind w:left="1152" w:hanging="1152"/>
      <w:outlineLvl w:val="5"/>
    </w:pPr>
    <w:rPr>
      <w:rFonts w:ascii="Arial" w:hAnsi="Arial" w:eastAsia="黑体"/>
      <w:b/>
      <w:bCs/>
      <w:sz w:val="24"/>
      <w:szCs w:val="28"/>
    </w:rPr>
  </w:style>
  <w:style w:type="paragraph" w:styleId="8">
    <w:name w:val="heading 7"/>
    <w:basedOn w:val="1"/>
    <w:next w:val="1"/>
    <w:link w:val="123"/>
    <w:autoRedefine/>
    <w:qFormat/>
    <w:uiPriority w:val="99"/>
    <w:pPr>
      <w:keepNext/>
      <w:keepLines/>
      <w:spacing w:before="240" w:after="64" w:line="320" w:lineRule="auto"/>
      <w:ind w:left="1296" w:hanging="1296"/>
      <w:outlineLvl w:val="6"/>
    </w:pPr>
    <w:rPr>
      <w:b/>
      <w:bCs/>
      <w:sz w:val="24"/>
      <w:szCs w:val="28"/>
    </w:rPr>
  </w:style>
  <w:style w:type="paragraph" w:styleId="9">
    <w:name w:val="heading 8"/>
    <w:basedOn w:val="1"/>
    <w:next w:val="1"/>
    <w:link w:val="108"/>
    <w:autoRedefine/>
    <w:qFormat/>
    <w:uiPriority w:val="99"/>
    <w:pPr>
      <w:keepNext/>
      <w:keepLines/>
      <w:spacing w:before="240" w:after="64" w:line="320" w:lineRule="auto"/>
      <w:ind w:left="1440" w:hanging="1440"/>
      <w:outlineLvl w:val="7"/>
    </w:pPr>
    <w:rPr>
      <w:rFonts w:ascii="Arial" w:hAnsi="Arial" w:eastAsia="黑体"/>
      <w:sz w:val="24"/>
      <w:szCs w:val="28"/>
    </w:rPr>
  </w:style>
  <w:style w:type="paragraph" w:styleId="10">
    <w:name w:val="heading 9"/>
    <w:basedOn w:val="1"/>
    <w:next w:val="1"/>
    <w:link w:val="125"/>
    <w:autoRedefine/>
    <w:qFormat/>
    <w:uiPriority w:val="99"/>
    <w:pPr>
      <w:keepNext/>
      <w:keepLines/>
      <w:spacing w:before="240" w:after="64" w:line="320" w:lineRule="auto"/>
      <w:ind w:left="1584" w:hanging="1584"/>
      <w:outlineLvl w:val="8"/>
    </w:pPr>
    <w:rPr>
      <w:rFonts w:ascii="Arial" w:hAnsi="Arial" w:eastAsia="黑体"/>
      <w:sz w:val="24"/>
      <w:szCs w:val="21"/>
    </w:rPr>
  </w:style>
  <w:style w:type="character" w:default="1" w:styleId="52">
    <w:name w:val="Default Paragraph Font"/>
    <w:autoRedefine/>
    <w:semiHidden/>
    <w:unhideWhenUsed/>
    <w:qFormat/>
    <w:uiPriority w:val="1"/>
  </w:style>
  <w:style w:type="table" w:default="1" w:styleId="50">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39"/>
    <w:pPr>
      <w:spacing w:line="440" w:lineRule="exact"/>
      <w:ind w:left="1680"/>
      <w:jc w:val="left"/>
    </w:pPr>
    <w:rPr>
      <w:rFonts w:ascii="Calibri" w:hAnsi="Calibri"/>
      <w:sz w:val="18"/>
      <w:szCs w:val="18"/>
    </w:rPr>
  </w:style>
  <w:style w:type="paragraph" w:styleId="12">
    <w:name w:val="Note Heading"/>
    <w:basedOn w:val="13"/>
    <w:next w:val="13"/>
    <w:link w:val="200"/>
    <w:autoRedefine/>
    <w:qFormat/>
    <w:uiPriority w:val="0"/>
    <w:rPr>
      <w:rFonts w:ascii="..ì." w:eastAsia="..ì." w:cs="Times New Roman"/>
      <w:color w:val="auto"/>
      <w:szCs w:val="20"/>
    </w:rPr>
  </w:style>
  <w:style w:type="paragraph" w:customStyle="1" w:styleId="13">
    <w:name w:val="Default"/>
    <w:autoRedefine/>
    <w:qFormat/>
    <w:uiPriority w:val="0"/>
    <w:pPr>
      <w:widowControl w:val="0"/>
      <w:autoSpaceDE w:val="0"/>
      <w:autoSpaceDN w:val="0"/>
      <w:adjustRightInd w:val="0"/>
    </w:pPr>
    <w:rPr>
      <w:rFonts w:ascii="宋体" w:hAnsi="Times New Roman" w:eastAsia="Arial Unicode MS" w:cs="宋体"/>
      <w:color w:val="000000"/>
      <w:sz w:val="24"/>
      <w:szCs w:val="24"/>
      <w:lang w:val="en-US" w:eastAsia="zh-CN" w:bidi="ar-SA"/>
    </w:rPr>
  </w:style>
  <w:style w:type="paragraph" w:styleId="14">
    <w:name w:val="Normal Indent"/>
    <w:basedOn w:val="1"/>
    <w:link w:val="136"/>
    <w:autoRedefine/>
    <w:qFormat/>
    <w:uiPriority w:val="0"/>
    <w:pPr>
      <w:spacing w:line="360" w:lineRule="auto"/>
      <w:ind w:firstLine="200" w:firstLineChars="200"/>
    </w:pPr>
    <w:rPr>
      <w:sz w:val="24"/>
      <w:szCs w:val="20"/>
    </w:rPr>
  </w:style>
  <w:style w:type="paragraph" w:styleId="15">
    <w:name w:val="caption"/>
    <w:basedOn w:val="1"/>
    <w:next w:val="1"/>
    <w:link w:val="94"/>
    <w:autoRedefine/>
    <w:qFormat/>
    <w:uiPriority w:val="0"/>
    <w:pPr>
      <w:spacing w:line="480" w:lineRule="auto"/>
    </w:pPr>
    <w:rPr>
      <w:rFonts w:ascii="华文中宋" w:eastAsia="华文中宋"/>
      <w:sz w:val="36"/>
      <w:szCs w:val="20"/>
    </w:rPr>
  </w:style>
  <w:style w:type="paragraph" w:styleId="16">
    <w:name w:val="index 5"/>
    <w:basedOn w:val="1"/>
    <w:next w:val="1"/>
    <w:autoRedefine/>
    <w:qFormat/>
    <w:uiPriority w:val="99"/>
    <w:pPr>
      <w:ind w:left="800" w:leftChars="800"/>
    </w:pPr>
    <w:rPr>
      <w:rFonts w:eastAsia="宋体"/>
    </w:rPr>
  </w:style>
  <w:style w:type="paragraph" w:styleId="17">
    <w:name w:val="Document Map"/>
    <w:basedOn w:val="1"/>
    <w:link w:val="130"/>
    <w:autoRedefine/>
    <w:qFormat/>
    <w:uiPriority w:val="99"/>
    <w:pPr>
      <w:spacing w:line="440" w:lineRule="exact"/>
    </w:pPr>
    <w:rPr>
      <w:rFonts w:ascii="宋体"/>
      <w:sz w:val="18"/>
      <w:szCs w:val="18"/>
    </w:rPr>
  </w:style>
  <w:style w:type="paragraph" w:styleId="18">
    <w:name w:val="toa heading"/>
    <w:basedOn w:val="1"/>
    <w:next w:val="1"/>
    <w:autoRedefine/>
    <w:unhideWhenUsed/>
    <w:qFormat/>
    <w:uiPriority w:val="99"/>
    <w:pPr>
      <w:spacing w:before="120"/>
    </w:pPr>
    <w:rPr>
      <w:rFonts w:ascii="Cambria" w:hAnsi="Cambria" w:eastAsia="宋体"/>
      <w:sz w:val="24"/>
    </w:rPr>
  </w:style>
  <w:style w:type="paragraph" w:styleId="19">
    <w:name w:val="annotation text"/>
    <w:basedOn w:val="1"/>
    <w:link w:val="100"/>
    <w:autoRedefine/>
    <w:qFormat/>
    <w:uiPriority w:val="0"/>
    <w:pPr>
      <w:jc w:val="left"/>
    </w:pPr>
    <w:rPr>
      <w:rFonts w:ascii="Tahoma" w:hAnsi="Tahoma"/>
    </w:rPr>
  </w:style>
  <w:style w:type="paragraph" w:styleId="20">
    <w:name w:val="Salutation"/>
    <w:basedOn w:val="13"/>
    <w:next w:val="13"/>
    <w:link w:val="199"/>
    <w:autoRedefine/>
    <w:qFormat/>
    <w:uiPriority w:val="0"/>
    <w:rPr>
      <w:rFonts w:ascii="..ì." w:eastAsia="..ì." w:cs="Times New Roman"/>
      <w:color w:val="auto"/>
      <w:szCs w:val="20"/>
    </w:rPr>
  </w:style>
  <w:style w:type="paragraph" w:styleId="21">
    <w:name w:val="Body Text 3"/>
    <w:basedOn w:val="1"/>
    <w:link w:val="206"/>
    <w:autoRedefine/>
    <w:qFormat/>
    <w:uiPriority w:val="99"/>
    <w:pPr>
      <w:spacing w:after="120"/>
    </w:pPr>
    <w:rPr>
      <w:rFonts w:eastAsia="宋体"/>
      <w:sz w:val="16"/>
      <w:szCs w:val="16"/>
    </w:rPr>
  </w:style>
  <w:style w:type="paragraph" w:styleId="22">
    <w:name w:val="Body Text"/>
    <w:basedOn w:val="1"/>
    <w:next w:val="1"/>
    <w:link w:val="134"/>
    <w:autoRedefine/>
    <w:qFormat/>
    <w:uiPriority w:val="99"/>
    <w:pPr>
      <w:spacing w:line="360" w:lineRule="auto"/>
    </w:pPr>
    <w:rPr>
      <w:rFonts w:ascii="Tahoma" w:hAnsi="Tahoma"/>
    </w:rPr>
  </w:style>
  <w:style w:type="paragraph" w:styleId="23">
    <w:name w:val="Body Text Indent"/>
    <w:basedOn w:val="1"/>
    <w:link w:val="166"/>
    <w:autoRedefine/>
    <w:qFormat/>
    <w:uiPriority w:val="99"/>
    <w:pPr>
      <w:widowControl/>
      <w:spacing w:line="360" w:lineRule="auto"/>
      <w:ind w:firstLine="709"/>
      <w:jc w:val="left"/>
    </w:pPr>
    <w:rPr>
      <w:rFonts w:ascii="Tahoma" w:hAnsi="Tahoma"/>
    </w:rPr>
  </w:style>
  <w:style w:type="paragraph" w:styleId="24">
    <w:name w:val="Block Text"/>
    <w:basedOn w:val="1"/>
    <w:autoRedefine/>
    <w:qFormat/>
    <w:uiPriority w:val="99"/>
    <w:pPr>
      <w:spacing w:line="360" w:lineRule="auto"/>
      <w:ind w:left="357" w:leftChars="170" w:right="25" w:rightChars="12" w:firstLine="1"/>
    </w:pPr>
    <w:rPr>
      <w:rFonts w:ascii="宋体" w:hAnsi="宋体" w:eastAsia="宋体" w:cs="Arial"/>
      <w:sz w:val="24"/>
      <w:szCs w:val="20"/>
    </w:rPr>
  </w:style>
  <w:style w:type="paragraph" w:styleId="25">
    <w:name w:val="List Bullet 2"/>
    <w:basedOn w:val="1"/>
    <w:autoRedefine/>
    <w:qFormat/>
    <w:uiPriority w:val="0"/>
    <w:pPr>
      <w:numPr>
        <w:ilvl w:val="1"/>
        <w:numId w:val="1"/>
      </w:numPr>
      <w:spacing w:line="360" w:lineRule="auto"/>
    </w:pPr>
    <w:rPr>
      <w:sz w:val="24"/>
      <w:szCs w:val="28"/>
    </w:rPr>
  </w:style>
  <w:style w:type="paragraph" w:styleId="26">
    <w:name w:val="toc 5"/>
    <w:basedOn w:val="1"/>
    <w:next w:val="1"/>
    <w:autoRedefine/>
    <w:qFormat/>
    <w:uiPriority w:val="39"/>
    <w:pPr>
      <w:spacing w:line="440" w:lineRule="exact"/>
      <w:ind w:left="1120"/>
      <w:jc w:val="left"/>
    </w:pPr>
    <w:rPr>
      <w:rFonts w:ascii="Calibri" w:hAnsi="Calibri"/>
      <w:sz w:val="18"/>
      <w:szCs w:val="18"/>
    </w:rPr>
  </w:style>
  <w:style w:type="paragraph" w:styleId="27">
    <w:name w:val="toc 3"/>
    <w:basedOn w:val="1"/>
    <w:next w:val="1"/>
    <w:autoRedefine/>
    <w:qFormat/>
    <w:uiPriority w:val="39"/>
    <w:pPr>
      <w:tabs>
        <w:tab w:val="right" w:leader="dot" w:pos="8302"/>
      </w:tabs>
      <w:ind w:left="561"/>
      <w:jc w:val="left"/>
    </w:pPr>
    <w:rPr>
      <w:rFonts w:ascii="Calibri" w:hAnsi="Calibri"/>
      <w:iCs/>
      <w:sz w:val="20"/>
      <w:szCs w:val="20"/>
    </w:rPr>
  </w:style>
  <w:style w:type="paragraph" w:styleId="28">
    <w:name w:val="Plain Text"/>
    <w:basedOn w:val="1"/>
    <w:link w:val="220"/>
    <w:autoRedefine/>
    <w:qFormat/>
    <w:uiPriority w:val="0"/>
    <w:pPr>
      <w:spacing w:line="360" w:lineRule="auto"/>
    </w:pPr>
    <w:rPr>
      <w:rFonts w:ascii="宋体" w:hAnsi="Courier New"/>
      <w:szCs w:val="21"/>
    </w:rPr>
  </w:style>
  <w:style w:type="paragraph" w:styleId="29">
    <w:name w:val="toc 8"/>
    <w:basedOn w:val="1"/>
    <w:next w:val="1"/>
    <w:autoRedefine/>
    <w:qFormat/>
    <w:uiPriority w:val="39"/>
    <w:pPr>
      <w:spacing w:line="440" w:lineRule="exact"/>
      <w:ind w:left="1960"/>
      <w:jc w:val="left"/>
    </w:pPr>
    <w:rPr>
      <w:rFonts w:ascii="Calibri" w:hAnsi="Calibri"/>
      <w:sz w:val="18"/>
      <w:szCs w:val="18"/>
    </w:rPr>
  </w:style>
  <w:style w:type="paragraph" w:styleId="30">
    <w:name w:val="Date"/>
    <w:basedOn w:val="1"/>
    <w:next w:val="1"/>
    <w:link w:val="197"/>
    <w:autoRedefine/>
    <w:qFormat/>
    <w:uiPriority w:val="99"/>
    <w:pPr>
      <w:spacing w:line="360" w:lineRule="auto"/>
      <w:ind w:left="2500" w:leftChars="2500"/>
    </w:pPr>
    <w:rPr>
      <w:rFonts w:ascii="Tahoma" w:hAnsi="Tahoma"/>
    </w:rPr>
  </w:style>
  <w:style w:type="paragraph" w:styleId="31">
    <w:name w:val="Body Text Indent 2"/>
    <w:basedOn w:val="1"/>
    <w:link w:val="162"/>
    <w:autoRedefine/>
    <w:qFormat/>
    <w:uiPriority w:val="99"/>
    <w:pPr>
      <w:adjustRightInd w:val="0"/>
      <w:snapToGrid w:val="0"/>
      <w:spacing w:afterLines="25" w:line="420" w:lineRule="exact"/>
      <w:ind w:left="778" w:leftChars="378"/>
    </w:pPr>
    <w:rPr>
      <w:rFonts w:eastAsia="宋体"/>
      <w:sz w:val="24"/>
      <w:szCs w:val="30"/>
    </w:rPr>
  </w:style>
  <w:style w:type="paragraph" w:styleId="32">
    <w:name w:val="Balloon Text"/>
    <w:basedOn w:val="1"/>
    <w:link w:val="96"/>
    <w:autoRedefine/>
    <w:qFormat/>
    <w:uiPriority w:val="0"/>
    <w:rPr>
      <w:sz w:val="18"/>
      <w:szCs w:val="18"/>
    </w:rPr>
  </w:style>
  <w:style w:type="paragraph" w:styleId="33">
    <w:name w:val="footer"/>
    <w:basedOn w:val="1"/>
    <w:link w:val="137"/>
    <w:autoRedefine/>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34">
    <w:name w:val="header"/>
    <w:basedOn w:val="1"/>
    <w:link w:val="122"/>
    <w:autoRedefine/>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sz w:val="18"/>
      <w:szCs w:val="18"/>
    </w:rPr>
  </w:style>
  <w:style w:type="paragraph" w:styleId="35">
    <w:name w:val="toc 1"/>
    <w:basedOn w:val="1"/>
    <w:next w:val="1"/>
    <w:autoRedefine/>
    <w:qFormat/>
    <w:uiPriority w:val="39"/>
    <w:pPr>
      <w:tabs>
        <w:tab w:val="right" w:leader="dot" w:pos="9344"/>
      </w:tabs>
      <w:spacing w:before="120" w:after="120" w:line="360" w:lineRule="auto"/>
      <w:jc w:val="left"/>
    </w:pPr>
    <w:rPr>
      <w:rFonts w:ascii="宋体"/>
      <w:b/>
      <w:bCs/>
      <w:caps/>
      <w:sz w:val="24"/>
      <w:szCs w:val="20"/>
    </w:rPr>
  </w:style>
  <w:style w:type="paragraph" w:styleId="36">
    <w:name w:val="toc 4"/>
    <w:basedOn w:val="1"/>
    <w:next w:val="1"/>
    <w:autoRedefine/>
    <w:qFormat/>
    <w:uiPriority w:val="39"/>
    <w:pPr>
      <w:spacing w:line="440" w:lineRule="exact"/>
      <w:ind w:left="840"/>
      <w:jc w:val="left"/>
    </w:pPr>
    <w:rPr>
      <w:rFonts w:ascii="Calibri" w:hAnsi="Calibri"/>
      <w:sz w:val="18"/>
      <w:szCs w:val="18"/>
    </w:rPr>
  </w:style>
  <w:style w:type="paragraph" w:styleId="37">
    <w:name w:val="List"/>
    <w:basedOn w:val="1"/>
    <w:autoRedefine/>
    <w:qFormat/>
    <w:uiPriority w:val="99"/>
    <w:pPr>
      <w:adjustRightInd w:val="0"/>
      <w:spacing w:line="360" w:lineRule="atLeast"/>
      <w:ind w:left="420" w:hanging="420"/>
      <w:jc w:val="left"/>
    </w:pPr>
    <w:rPr>
      <w:rFonts w:hint="eastAsia" w:ascii="宋体" w:eastAsia="宋体"/>
      <w:kern w:val="0"/>
      <w:sz w:val="24"/>
      <w:szCs w:val="20"/>
    </w:rPr>
  </w:style>
  <w:style w:type="paragraph" w:styleId="38">
    <w:name w:val="toc 6"/>
    <w:basedOn w:val="1"/>
    <w:next w:val="1"/>
    <w:autoRedefine/>
    <w:qFormat/>
    <w:uiPriority w:val="39"/>
    <w:pPr>
      <w:spacing w:line="440" w:lineRule="exact"/>
      <w:ind w:left="1400"/>
      <w:jc w:val="left"/>
    </w:pPr>
    <w:rPr>
      <w:rFonts w:ascii="Calibri" w:hAnsi="Calibri"/>
      <w:sz w:val="18"/>
      <w:szCs w:val="18"/>
    </w:rPr>
  </w:style>
  <w:style w:type="paragraph" w:styleId="39">
    <w:name w:val="Body Text Indent 3"/>
    <w:basedOn w:val="1"/>
    <w:link w:val="209"/>
    <w:autoRedefine/>
    <w:qFormat/>
    <w:uiPriority w:val="99"/>
    <w:pPr>
      <w:spacing w:after="120"/>
      <w:ind w:left="420" w:leftChars="200"/>
    </w:pPr>
    <w:rPr>
      <w:sz w:val="16"/>
      <w:szCs w:val="16"/>
    </w:rPr>
  </w:style>
  <w:style w:type="paragraph" w:styleId="40">
    <w:name w:val="toc 2"/>
    <w:basedOn w:val="1"/>
    <w:next w:val="1"/>
    <w:autoRedefine/>
    <w:qFormat/>
    <w:uiPriority w:val="39"/>
    <w:pPr>
      <w:widowControl/>
      <w:adjustRightInd w:val="0"/>
      <w:spacing w:line="300" w:lineRule="auto"/>
      <w:jc w:val="center"/>
    </w:pPr>
    <w:rPr>
      <w:rFonts w:eastAsia="黑体"/>
      <w:smallCaps/>
      <w:kern w:val="0"/>
      <w:sz w:val="24"/>
    </w:rPr>
  </w:style>
  <w:style w:type="paragraph" w:styleId="41">
    <w:name w:val="toc 9"/>
    <w:basedOn w:val="1"/>
    <w:next w:val="1"/>
    <w:autoRedefine/>
    <w:qFormat/>
    <w:uiPriority w:val="39"/>
    <w:pPr>
      <w:spacing w:line="440" w:lineRule="exact"/>
      <w:ind w:left="2240"/>
      <w:jc w:val="left"/>
    </w:pPr>
    <w:rPr>
      <w:rFonts w:ascii="Calibri" w:hAnsi="Calibri"/>
      <w:sz w:val="18"/>
      <w:szCs w:val="18"/>
    </w:rPr>
  </w:style>
  <w:style w:type="paragraph" w:styleId="42">
    <w:name w:val="Body Text 2"/>
    <w:basedOn w:val="1"/>
    <w:link w:val="168"/>
    <w:autoRedefine/>
    <w:qFormat/>
    <w:uiPriority w:val="99"/>
    <w:pPr>
      <w:spacing w:line="360" w:lineRule="auto"/>
      <w:ind w:right="26"/>
    </w:pPr>
    <w:rPr>
      <w:rFonts w:ascii="宋体" w:eastAsia="宋体"/>
      <w:szCs w:val="20"/>
    </w:rPr>
  </w:style>
  <w:style w:type="paragraph" w:styleId="43">
    <w:name w:val="HTML Preformatted"/>
    <w:basedOn w:val="1"/>
    <w:link w:val="295"/>
    <w:autoRedefine/>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kern w:val="0"/>
      <w:sz w:val="20"/>
      <w:szCs w:val="20"/>
    </w:rPr>
  </w:style>
  <w:style w:type="paragraph" w:styleId="44">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45">
    <w:name w:val="index 1"/>
    <w:basedOn w:val="1"/>
    <w:next w:val="1"/>
    <w:autoRedefine/>
    <w:qFormat/>
    <w:uiPriority w:val="99"/>
    <w:pPr>
      <w:spacing w:line="220" w:lineRule="exact"/>
      <w:jc w:val="center"/>
    </w:pPr>
    <w:rPr>
      <w:rFonts w:ascii="仿宋_GB2312" w:eastAsia="仿宋_GB2312"/>
      <w:szCs w:val="21"/>
    </w:rPr>
  </w:style>
  <w:style w:type="paragraph" w:styleId="46">
    <w:name w:val="Title"/>
    <w:basedOn w:val="1"/>
    <w:link w:val="124"/>
    <w:autoRedefine/>
    <w:qFormat/>
    <w:uiPriority w:val="0"/>
    <w:pPr>
      <w:spacing w:before="240" w:after="60" w:line="440" w:lineRule="exact"/>
      <w:jc w:val="center"/>
      <w:outlineLvl w:val="0"/>
    </w:pPr>
    <w:rPr>
      <w:rFonts w:ascii="Cambria" w:hAnsi="Cambria"/>
      <w:b/>
      <w:bCs/>
      <w:sz w:val="32"/>
      <w:szCs w:val="32"/>
    </w:rPr>
  </w:style>
  <w:style w:type="paragraph" w:styleId="47">
    <w:name w:val="annotation subject"/>
    <w:basedOn w:val="19"/>
    <w:next w:val="19"/>
    <w:link w:val="128"/>
    <w:autoRedefine/>
    <w:unhideWhenUsed/>
    <w:qFormat/>
    <w:uiPriority w:val="99"/>
    <w:pPr>
      <w:spacing w:line="440" w:lineRule="exact"/>
    </w:pPr>
    <w:rPr>
      <w:b/>
      <w:bCs/>
      <w:sz w:val="24"/>
      <w:szCs w:val="28"/>
    </w:rPr>
  </w:style>
  <w:style w:type="paragraph" w:styleId="48">
    <w:name w:val="Body Text First Indent"/>
    <w:basedOn w:val="22"/>
    <w:next w:val="49"/>
    <w:link w:val="131"/>
    <w:autoRedefine/>
    <w:qFormat/>
    <w:uiPriority w:val="0"/>
    <w:pPr>
      <w:spacing w:after="120" w:line="240" w:lineRule="auto"/>
      <w:ind w:firstLine="100" w:firstLineChars="100"/>
    </w:pPr>
  </w:style>
  <w:style w:type="paragraph" w:styleId="49">
    <w:name w:val="Body Text First Indent 2"/>
    <w:basedOn w:val="23"/>
    <w:link w:val="167"/>
    <w:autoRedefine/>
    <w:qFormat/>
    <w:uiPriority w:val="0"/>
    <w:pPr>
      <w:widowControl w:val="0"/>
      <w:spacing w:after="120" w:line="240" w:lineRule="auto"/>
      <w:ind w:left="420" w:leftChars="200" w:firstLine="420" w:firstLineChars="200"/>
      <w:jc w:val="both"/>
    </w:pPr>
    <w:rPr>
      <w:rFonts w:ascii="Times New Roman" w:hAnsi="Times New Roman" w:eastAsia="宋体"/>
    </w:rPr>
  </w:style>
  <w:style w:type="table" w:styleId="51">
    <w:name w:val="Table Grid"/>
    <w:basedOn w:val="50"/>
    <w:autoRedefine/>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autoRedefine/>
    <w:qFormat/>
    <w:uiPriority w:val="0"/>
  </w:style>
  <w:style w:type="character" w:styleId="54">
    <w:name w:val="page number"/>
    <w:basedOn w:val="52"/>
    <w:autoRedefine/>
    <w:qFormat/>
    <w:uiPriority w:val="99"/>
  </w:style>
  <w:style w:type="character" w:styleId="55">
    <w:name w:val="FollowedHyperlink"/>
    <w:autoRedefine/>
    <w:unhideWhenUsed/>
    <w:qFormat/>
    <w:uiPriority w:val="99"/>
    <w:rPr>
      <w:color w:val="954F72"/>
      <w:u w:val="single"/>
    </w:rPr>
  </w:style>
  <w:style w:type="character" w:styleId="56">
    <w:name w:val="Emphasis"/>
    <w:autoRedefine/>
    <w:qFormat/>
    <w:uiPriority w:val="0"/>
    <w:rPr>
      <w:i/>
      <w:iCs/>
    </w:rPr>
  </w:style>
  <w:style w:type="character" w:styleId="57">
    <w:name w:val="HTML Definition"/>
    <w:autoRedefine/>
    <w:unhideWhenUsed/>
    <w:qFormat/>
    <w:uiPriority w:val="0"/>
  </w:style>
  <w:style w:type="character" w:styleId="58">
    <w:name w:val="HTML Variable"/>
    <w:autoRedefine/>
    <w:unhideWhenUsed/>
    <w:qFormat/>
    <w:uiPriority w:val="0"/>
  </w:style>
  <w:style w:type="character" w:styleId="59">
    <w:name w:val="Hyperlink"/>
    <w:autoRedefine/>
    <w:qFormat/>
    <w:uiPriority w:val="99"/>
    <w:rPr>
      <w:rFonts w:hint="eastAsia" w:ascii="宋体" w:hAnsi="宋体" w:eastAsia="宋体" w:cs="宋体"/>
      <w:color w:val="004A85"/>
      <w:sz w:val="12"/>
      <w:szCs w:val="12"/>
      <w:u w:val="single"/>
    </w:rPr>
  </w:style>
  <w:style w:type="character" w:styleId="60">
    <w:name w:val="HTML Code"/>
    <w:autoRedefine/>
    <w:unhideWhenUsed/>
    <w:qFormat/>
    <w:uiPriority w:val="0"/>
    <w:rPr>
      <w:rFonts w:ascii="Courier New" w:hAnsi="Courier New"/>
      <w:sz w:val="20"/>
    </w:rPr>
  </w:style>
  <w:style w:type="character" w:styleId="61">
    <w:name w:val="annotation reference"/>
    <w:autoRedefine/>
    <w:qFormat/>
    <w:uiPriority w:val="99"/>
    <w:rPr>
      <w:sz w:val="21"/>
      <w:szCs w:val="21"/>
    </w:rPr>
  </w:style>
  <w:style w:type="character" w:styleId="62">
    <w:name w:val="HTML Cite"/>
    <w:autoRedefine/>
    <w:unhideWhenUsed/>
    <w:qFormat/>
    <w:uiPriority w:val="0"/>
  </w:style>
  <w:style w:type="character" w:customStyle="1" w:styleId="63">
    <w:name w:val="标题 1 Char1"/>
    <w:autoRedefine/>
    <w:qFormat/>
    <w:uiPriority w:val="99"/>
    <w:rPr>
      <w:rFonts w:ascii="黑体" w:eastAsia="黑体"/>
      <w:sz w:val="52"/>
      <w:lang w:bidi="ar-SA"/>
    </w:rPr>
  </w:style>
  <w:style w:type="paragraph" w:customStyle="1" w:styleId="64">
    <w:name w:val="xl23"/>
    <w:basedOn w:val="1"/>
    <w:autoRedefine/>
    <w:qFormat/>
    <w:uiPriority w:val="0"/>
    <w:pPr>
      <w:widowControl/>
      <w:spacing w:before="100" w:beforeAutospacing="1" w:after="100" w:afterAutospacing="1" w:line="360" w:lineRule="auto"/>
      <w:textAlignment w:val="top"/>
    </w:pPr>
    <w:rPr>
      <w:kern w:val="0"/>
      <w:sz w:val="24"/>
    </w:rPr>
  </w:style>
  <w:style w:type="paragraph" w:customStyle="1" w:styleId="65">
    <w:name w:val="列出段落2"/>
    <w:basedOn w:val="1"/>
    <w:autoRedefine/>
    <w:unhideWhenUsed/>
    <w:qFormat/>
    <w:uiPriority w:val="0"/>
    <w:pPr>
      <w:ind w:firstLine="420" w:firstLineChars="200"/>
    </w:pPr>
  </w:style>
  <w:style w:type="paragraph" w:customStyle="1" w:styleId="66">
    <w:name w:val="题头内容"/>
    <w:basedOn w:val="1"/>
    <w:autoRedefine/>
    <w:qFormat/>
    <w:uiPriority w:val="0"/>
    <w:pPr>
      <w:adjustRightInd w:val="0"/>
      <w:spacing w:before="120" w:after="120" w:line="312" w:lineRule="atLeast"/>
      <w:ind w:right="879" w:firstLine="839" w:firstLineChars="200"/>
      <w:jc w:val="center"/>
      <w:textAlignment w:val="baseline"/>
    </w:pPr>
    <w:rPr>
      <w:rFonts w:hint="eastAsia" w:ascii="黑体" w:eastAsia="黑体"/>
      <w:kern w:val="0"/>
      <w:sz w:val="32"/>
      <w:szCs w:val="32"/>
    </w:rPr>
  </w:style>
  <w:style w:type="paragraph" w:customStyle="1" w:styleId="67">
    <w:name w:val="_Style 67"/>
    <w:basedOn w:val="1"/>
    <w:next w:val="68"/>
    <w:autoRedefine/>
    <w:qFormat/>
    <w:uiPriority w:val="99"/>
    <w:pPr>
      <w:ind w:firstLine="420" w:firstLineChars="200"/>
    </w:pPr>
    <w:rPr>
      <w:rFonts w:ascii="Calibri" w:hAnsi="Calibri"/>
      <w:szCs w:val="22"/>
    </w:rPr>
  </w:style>
  <w:style w:type="paragraph" w:styleId="68">
    <w:name w:val="List Paragraph"/>
    <w:basedOn w:val="1"/>
    <w:autoRedefine/>
    <w:qFormat/>
    <w:uiPriority w:val="34"/>
    <w:pPr>
      <w:ind w:firstLine="420" w:firstLineChars="200"/>
    </w:pPr>
    <w:rPr>
      <w:rFonts w:ascii="Calibri" w:hAnsi="Calibri" w:eastAsia="宋体"/>
      <w:szCs w:val="22"/>
    </w:rPr>
  </w:style>
  <w:style w:type="paragraph" w:customStyle="1" w:styleId="69">
    <w:name w:val="_Style 2"/>
    <w:basedOn w:val="1"/>
    <w:autoRedefine/>
    <w:qFormat/>
    <w:uiPriority w:val="34"/>
    <w:pPr>
      <w:ind w:firstLine="420" w:firstLineChars="200"/>
    </w:pPr>
    <w:rPr>
      <w:rFonts w:ascii="Calibri" w:hAnsi="Calibri"/>
      <w:szCs w:val="22"/>
    </w:rPr>
  </w:style>
  <w:style w:type="paragraph" w:customStyle="1" w:styleId="70">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71">
    <w:name w:val="TOC 标题1"/>
    <w:basedOn w:val="3"/>
    <w:next w:val="1"/>
    <w:autoRedefine/>
    <w:qFormat/>
    <w:uiPriority w:val="0"/>
    <w:pPr>
      <w:widowControl/>
      <w:adjustRightInd/>
      <w:spacing w:beforeLines="10" w:afterLines="10" w:line="276" w:lineRule="auto"/>
      <w:jc w:val="left"/>
      <w:textAlignment w:val="auto"/>
      <w:outlineLvl w:val="9"/>
    </w:pPr>
    <w:rPr>
      <w:rFonts w:ascii="Cambria" w:hAnsi="Cambria"/>
      <w:b w:val="0"/>
      <w:color w:val="365F91"/>
      <w:kern w:val="0"/>
      <w:sz w:val="28"/>
      <w:szCs w:val="28"/>
    </w:rPr>
  </w:style>
  <w:style w:type="paragraph" w:customStyle="1" w:styleId="72">
    <w:name w:val="封面落款"/>
    <w:basedOn w:val="1"/>
    <w:autoRedefine/>
    <w:qFormat/>
    <w:uiPriority w:val="0"/>
    <w:pPr>
      <w:spacing w:line="360" w:lineRule="auto"/>
      <w:jc w:val="center"/>
    </w:pPr>
    <w:rPr>
      <w:rFonts w:ascii="Arial" w:hAnsi="Arial" w:eastAsia="黑体"/>
      <w:sz w:val="32"/>
      <w:szCs w:val="28"/>
    </w:rPr>
  </w:style>
  <w:style w:type="paragraph" w:customStyle="1" w:styleId="73">
    <w:name w:val="目录"/>
    <w:link w:val="105"/>
    <w:autoRedefine/>
    <w:qFormat/>
    <w:uiPriority w:val="0"/>
    <w:pPr>
      <w:spacing w:before="156" w:after="156"/>
    </w:pPr>
    <w:rPr>
      <w:rFonts w:ascii="仿宋_GB2312" w:hAnsi="宋体" w:eastAsia="仿宋_GB2312" w:cs="Times New Roman"/>
      <w:sz w:val="28"/>
      <w:szCs w:val="28"/>
      <w:lang w:val="en-US" w:eastAsia="zh-CN" w:bidi="ar-SA"/>
    </w:rPr>
  </w:style>
  <w:style w:type="paragraph" w:customStyle="1" w:styleId="74">
    <w:name w:val="表格字体小四"/>
    <w:link w:val="104"/>
    <w:autoRedefine/>
    <w:qFormat/>
    <w:uiPriority w:val="0"/>
    <w:pPr>
      <w:widowControl w:val="0"/>
      <w:jc w:val="center"/>
    </w:pPr>
    <w:rPr>
      <w:rFonts w:ascii="Times New Roman" w:hAnsi="Times New Roman" w:eastAsia="Arial Unicode MS" w:cs="Times New Roman"/>
      <w:kern w:val="2"/>
      <w:sz w:val="24"/>
      <w:szCs w:val="24"/>
      <w:lang w:val="en-US" w:eastAsia="zh-CN" w:bidi="ar-SA"/>
    </w:rPr>
  </w:style>
  <w:style w:type="paragraph" w:customStyle="1" w:styleId="75">
    <w:name w:val="样式 标题 5 + 小四"/>
    <w:basedOn w:val="6"/>
    <w:autoRedefine/>
    <w:qFormat/>
    <w:uiPriority w:val="0"/>
    <w:pPr>
      <w:tabs>
        <w:tab w:val="left" w:pos="567"/>
      </w:tabs>
      <w:wordWrap w:val="0"/>
      <w:spacing w:line="377" w:lineRule="auto"/>
      <w:ind w:left="567" w:hanging="567"/>
      <w:jc w:val="left"/>
    </w:pPr>
  </w:style>
  <w:style w:type="paragraph" w:customStyle="1" w:styleId="76">
    <w:name w:val="表格格式"/>
    <w:basedOn w:val="1"/>
    <w:autoRedefine/>
    <w:qFormat/>
    <w:uiPriority w:val="0"/>
    <w:pPr>
      <w:adjustRightInd w:val="0"/>
      <w:snapToGrid w:val="0"/>
      <w:jc w:val="left"/>
      <w:textAlignment w:val="baseline"/>
    </w:pPr>
    <w:rPr>
      <w:rFonts w:ascii="宋体"/>
      <w:kern w:val="0"/>
      <w:szCs w:val="20"/>
    </w:rPr>
  </w:style>
  <w:style w:type="paragraph" w:customStyle="1" w:styleId="77">
    <w:name w:val="样式5"/>
    <w:basedOn w:val="14"/>
    <w:autoRedefine/>
    <w:qFormat/>
    <w:uiPriority w:val="0"/>
    <w:pPr>
      <w:ind w:firstLine="420"/>
    </w:pPr>
    <w:rPr>
      <w:sz w:val="21"/>
      <w:szCs w:val="21"/>
    </w:rPr>
  </w:style>
  <w:style w:type="paragraph" w:customStyle="1" w:styleId="78">
    <w:name w:val="标题2"/>
    <w:basedOn w:val="4"/>
    <w:next w:val="1"/>
    <w:link w:val="95"/>
    <w:autoRedefine/>
    <w:qFormat/>
    <w:uiPriority w:val="0"/>
    <w:pPr>
      <w:widowControl/>
      <w:spacing w:beforeLines="10" w:afterLines="10" w:line="240" w:lineRule="auto"/>
      <w:jc w:val="left"/>
    </w:pPr>
    <w:rPr>
      <w:rFonts w:ascii="Times New Roman" w:hAnsi="Times New Roman" w:eastAsia="黑体"/>
      <w:b/>
      <w:bCs/>
      <w:szCs w:val="24"/>
    </w:rPr>
  </w:style>
  <w:style w:type="paragraph" w:customStyle="1" w:styleId="79">
    <w:name w:val="三级"/>
    <w:basedOn w:val="4"/>
    <w:link w:val="106"/>
    <w:autoRedefine/>
    <w:qFormat/>
    <w:uiPriority w:val="0"/>
    <w:pPr>
      <w:widowControl/>
      <w:spacing w:beforeLines="10" w:afterLines="10" w:line="240" w:lineRule="auto"/>
      <w:ind w:left="720" w:hanging="720"/>
      <w:jc w:val="left"/>
    </w:pPr>
    <w:rPr>
      <w:rFonts w:ascii="Times New Roman" w:hAnsi="Times New Roman" w:eastAsia="黑体"/>
      <w:b/>
      <w:sz w:val="30"/>
      <w:szCs w:val="24"/>
    </w:rPr>
  </w:style>
  <w:style w:type="paragraph" w:customStyle="1" w:styleId="80">
    <w:name w:val="样式2"/>
    <w:basedOn w:val="1"/>
    <w:link w:val="118"/>
    <w:autoRedefine/>
    <w:qFormat/>
    <w:uiPriority w:val="0"/>
    <w:pPr>
      <w:spacing w:line="300" w:lineRule="auto"/>
      <w:jc w:val="center"/>
      <w:outlineLvl w:val="0"/>
    </w:pPr>
    <w:rPr>
      <w:b/>
      <w:sz w:val="24"/>
    </w:rPr>
  </w:style>
  <w:style w:type="paragraph" w:customStyle="1" w:styleId="81">
    <w:name w:val="Char1"/>
    <w:basedOn w:val="1"/>
    <w:autoRedefine/>
    <w:qFormat/>
    <w:uiPriority w:val="0"/>
    <w:pPr>
      <w:adjustRightInd w:val="0"/>
      <w:spacing w:line="360" w:lineRule="auto"/>
    </w:pPr>
    <w:rPr>
      <w:kern w:val="0"/>
      <w:sz w:val="24"/>
      <w:szCs w:val="20"/>
    </w:rPr>
  </w:style>
  <w:style w:type="paragraph" w:customStyle="1" w:styleId="82">
    <w:name w:val="表格标题(居中)"/>
    <w:basedOn w:val="1"/>
    <w:autoRedefine/>
    <w:qFormat/>
    <w:uiPriority w:val="0"/>
    <w:pPr>
      <w:adjustRightInd w:val="0"/>
      <w:snapToGrid w:val="0"/>
      <w:spacing w:line="300" w:lineRule="auto"/>
      <w:ind w:firstLine="480" w:firstLineChars="200"/>
      <w:jc w:val="center"/>
      <w:textAlignment w:val="baseline"/>
    </w:pPr>
    <w:rPr>
      <w:rFonts w:eastAsia="黑体"/>
      <w:kern w:val="0"/>
      <w:sz w:val="24"/>
    </w:rPr>
  </w:style>
  <w:style w:type="paragraph" w:customStyle="1" w:styleId="83">
    <w:name w:val="标题3"/>
    <w:basedOn w:val="5"/>
    <w:next w:val="1"/>
    <w:link w:val="139"/>
    <w:autoRedefine/>
    <w:qFormat/>
    <w:uiPriority w:val="0"/>
    <w:pPr>
      <w:tabs>
        <w:tab w:val="clear" w:pos="588"/>
      </w:tabs>
      <w:spacing w:beforeLines="10" w:afterLines="10" w:line="440" w:lineRule="exact"/>
      <w:ind w:left="720" w:hanging="720"/>
      <w:jc w:val="left"/>
    </w:pPr>
    <w:rPr>
      <w:rFonts w:ascii="Times New Roman" w:hAnsi="Times New Roman" w:eastAsia="黑体"/>
      <w:b/>
      <w:bCs/>
      <w:sz w:val="28"/>
    </w:rPr>
  </w:style>
  <w:style w:type="paragraph" w:customStyle="1" w:styleId="84">
    <w:name w:val="图表正文"/>
    <w:basedOn w:val="1"/>
    <w:autoRedefine/>
    <w:qFormat/>
    <w:uiPriority w:val="0"/>
    <w:pPr>
      <w:tabs>
        <w:tab w:val="left" w:pos="2117"/>
      </w:tabs>
      <w:spacing w:beforeLines="50" w:afterLines="50" w:line="276" w:lineRule="auto"/>
      <w:jc w:val="center"/>
    </w:pPr>
    <w:rPr>
      <w:rFonts w:ascii="宋体" w:hAnsi="宋体"/>
      <w:color w:val="000000"/>
      <w:szCs w:val="21"/>
    </w:rPr>
  </w:style>
  <w:style w:type="paragraph" w:customStyle="1" w:styleId="85">
    <w:name w:val="表格标题"/>
    <w:basedOn w:val="15"/>
    <w:link w:val="132"/>
    <w:autoRedefine/>
    <w:qFormat/>
    <w:uiPriority w:val="0"/>
    <w:pPr>
      <w:spacing w:before="152" w:after="160" w:line="420" w:lineRule="exact"/>
      <w:ind w:firstLine="480" w:firstLineChars="200"/>
      <w:jc w:val="center"/>
    </w:pPr>
    <w:rPr>
      <w:rFonts w:ascii="Arial" w:hAnsi="Arial" w:eastAsia="宋体"/>
      <w:sz w:val="24"/>
      <w:szCs w:val="24"/>
    </w:rPr>
  </w:style>
  <w:style w:type="paragraph" w:customStyle="1" w:styleId="86">
    <w:name w:val="正文小4号字缩进2字符"/>
    <w:autoRedefine/>
    <w:qFormat/>
    <w:uiPriority w:val="0"/>
    <w:pPr>
      <w:widowControl w:val="0"/>
      <w:tabs>
        <w:tab w:val="left" w:pos="2205"/>
      </w:tabs>
      <w:spacing w:line="400" w:lineRule="exact"/>
      <w:ind w:right="240" w:rightChars="100" w:firstLine="240" w:firstLineChars="100"/>
      <w:jc w:val="center"/>
    </w:pPr>
    <w:rPr>
      <w:rFonts w:ascii="宋体" w:hAnsi="宋体" w:eastAsia="Arial Unicode MS" w:cs="Times New Roman"/>
      <w:color w:val="000000"/>
      <w:kern w:val="2"/>
      <w:sz w:val="24"/>
      <w:szCs w:val="24"/>
      <w:lang w:val="en-US" w:eastAsia="zh-CN" w:bidi="ar-SA"/>
    </w:rPr>
  </w:style>
  <w:style w:type="paragraph" w:customStyle="1" w:styleId="87">
    <w:name w:val="图片"/>
    <w:basedOn w:val="1"/>
    <w:link w:val="120"/>
    <w:autoRedefine/>
    <w:qFormat/>
    <w:uiPriority w:val="0"/>
    <w:pPr>
      <w:jc w:val="center"/>
    </w:pPr>
    <w:rPr>
      <w:sz w:val="28"/>
      <w:szCs w:val="28"/>
    </w:rPr>
  </w:style>
  <w:style w:type="paragraph" w:customStyle="1" w:styleId="88">
    <w:name w:val="正文首行缩进1"/>
    <w:basedOn w:val="22"/>
    <w:autoRedefine/>
    <w:qFormat/>
    <w:uiPriority w:val="0"/>
    <w:pPr>
      <w:suppressAutoHyphens/>
      <w:spacing w:line="300" w:lineRule="auto"/>
      <w:ind w:left="426"/>
    </w:pPr>
    <w:rPr>
      <w:rFonts w:ascii="宋体" w:hAnsi="宋体"/>
      <w:szCs w:val="20"/>
    </w:rPr>
  </w:style>
  <w:style w:type="paragraph" w:customStyle="1" w:styleId="89">
    <w:name w:val="纯文本1"/>
    <w:basedOn w:val="1"/>
    <w:autoRedefine/>
    <w:qFormat/>
    <w:uiPriority w:val="0"/>
    <w:rPr>
      <w:rFonts w:ascii="宋体" w:hAnsi="Courier New"/>
    </w:rPr>
  </w:style>
  <w:style w:type="paragraph" w:customStyle="1" w:styleId="90">
    <w:name w:val="样式 首行不缩进"/>
    <w:basedOn w:val="1"/>
    <w:autoRedefine/>
    <w:qFormat/>
    <w:uiPriority w:val="0"/>
    <w:pPr>
      <w:spacing w:before="120" w:after="120" w:line="360" w:lineRule="auto"/>
      <w:jc w:val="center"/>
    </w:pPr>
    <w:rPr>
      <w:rFonts w:cs="宋体"/>
      <w:sz w:val="24"/>
      <w:szCs w:val="20"/>
    </w:rPr>
  </w:style>
  <w:style w:type="paragraph" w:customStyle="1" w:styleId="91">
    <w:name w:val="图题"/>
    <w:link w:val="114"/>
    <w:autoRedefine/>
    <w:qFormat/>
    <w:uiPriority w:val="0"/>
    <w:pPr>
      <w:jc w:val="center"/>
    </w:pPr>
    <w:rPr>
      <w:rFonts w:ascii="Times New Roman" w:hAnsi="Times New Roman" w:eastAsia="Arial Unicode MS" w:cs="Times New Roman"/>
      <w:kern w:val="2"/>
      <w:sz w:val="24"/>
      <w:szCs w:val="24"/>
      <w:lang w:val="en-US" w:eastAsia="zh-CN" w:bidi="ar-SA"/>
    </w:rPr>
  </w:style>
  <w:style w:type="paragraph" w:customStyle="1" w:styleId="92">
    <w:name w:val="小列表"/>
    <w:basedOn w:val="1"/>
    <w:link w:val="98"/>
    <w:autoRedefine/>
    <w:qFormat/>
    <w:uiPriority w:val="0"/>
    <w:pPr>
      <w:numPr>
        <w:ilvl w:val="0"/>
        <w:numId w:val="2"/>
      </w:numPr>
      <w:autoSpaceDE w:val="0"/>
      <w:autoSpaceDN w:val="0"/>
      <w:spacing w:line="440" w:lineRule="exact"/>
      <w:ind w:firstLine="0"/>
    </w:pPr>
    <w:rPr>
      <w:sz w:val="24"/>
      <w:szCs w:val="28"/>
    </w:rPr>
  </w:style>
  <w:style w:type="paragraph" w:customStyle="1" w:styleId="93">
    <w:name w:val="表格正文"/>
    <w:basedOn w:val="1"/>
    <w:autoRedefine/>
    <w:qFormat/>
    <w:uiPriority w:val="0"/>
    <w:pPr>
      <w:widowControl/>
      <w:snapToGrid w:val="0"/>
      <w:spacing w:before="60" w:after="60"/>
      <w:ind w:left="11"/>
      <w:jc w:val="center"/>
    </w:pPr>
    <w:rPr>
      <w:kern w:val="0"/>
      <w:szCs w:val="21"/>
    </w:rPr>
  </w:style>
  <w:style w:type="character" w:customStyle="1" w:styleId="94">
    <w:name w:val="题注 字符"/>
    <w:link w:val="15"/>
    <w:autoRedefine/>
    <w:qFormat/>
    <w:uiPriority w:val="0"/>
    <w:rPr>
      <w:rFonts w:ascii="华文中宋" w:eastAsia="华文中宋"/>
      <w:kern w:val="2"/>
      <w:sz w:val="36"/>
    </w:rPr>
  </w:style>
  <w:style w:type="character" w:customStyle="1" w:styleId="95">
    <w:name w:val="标题2 Char Char"/>
    <w:link w:val="78"/>
    <w:autoRedefine/>
    <w:qFormat/>
    <w:uiPriority w:val="0"/>
    <w:rPr>
      <w:rFonts w:eastAsia="黑体"/>
      <w:kern w:val="2"/>
      <w:sz w:val="32"/>
      <w:szCs w:val="24"/>
    </w:rPr>
  </w:style>
  <w:style w:type="character" w:customStyle="1" w:styleId="96">
    <w:name w:val="批注框文本 字符"/>
    <w:link w:val="32"/>
    <w:autoRedefine/>
    <w:qFormat/>
    <w:uiPriority w:val="0"/>
    <w:rPr>
      <w:kern w:val="2"/>
      <w:sz w:val="18"/>
      <w:szCs w:val="18"/>
    </w:rPr>
  </w:style>
  <w:style w:type="character" w:customStyle="1" w:styleId="97">
    <w:name w:val="refresh"/>
    <w:basedOn w:val="52"/>
    <w:autoRedefine/>
    <w:qFormat/>
    <w:uiPriority w:val="0"/>
  </w:style>
  <w:style w:type="character" w:customStyle="1" w:styleId="98">
    <w:name w:val="小列表 Char Char"/>
    <w:link w:val="92"/>
    <w:autoRedefine/>
    <w:qFormat/>
    <w:uiPriority w:val="0"/>
    <w:rPr>
      <w:rFonts w:eastAsia="Arial Unicode MS"/>
      <w:kern w:val="2"/>
      <w:sz w:val="24"/>
      <w:szCs w:val="28"/>
    </w:rPr>
  </w:style>
  <w:style w:type="character" w:customStyle="1" w:styleId="99">
    <w:name w:val="del"/>
    <w:basedOn w:val="52"/>
    <w:autoRedefine/>
    <w:qFormat/>
    <w:uiPriority w:val="0"/>
  </w:style>
  <w:style w:type="character" w:customStyle="1" w:styleId="100">
    <w:name w:val="批注文字 字符"/>
    <w:link w:val="19"/>
    <w:autoRedefine/>
    <w:qFormat/>
    <w:uiPriority w:val="0"/>
    <w:rPr>
      <w:rFonts w:ascii="Tahoma" w:hAnsi="Tahoma"/>
      <w:kern w:val="2"/>
      <w:sz w:val="21"/>
      <w:szCs w:val="24"/>
    </w:rPr>
  </w:style>
  <w:style w:type="character" w:customStyle="1" w:styleId="101">
    <w:name w:val="正文缩进 Char1"/>
    <w:autoRedefine/>
    <w:qFormat/>
    <w:uiPriority w:val="0"/>
    <w:rPr>
      <w:rFonts w:eastAsia="宋体"/>
      <w:kern w:val="2"/>
      <w:sz w:val="21"/>
      <w:szCs w:val="24"/>
      <w:lang w:val="en-US" w:eastAsia="zh-CN" w:bidi="ar-SA"/>
    </w:rPr>
  </w:style>
  <w:style w:type="character" w:customStyle="1" w:styleId="102">
    <w:name w:val="标题 5 字符"/>
    <w:link w:val="6"/>
    <w:autoRedefine/>
    <w:qFormat/>
    <w:uiPriority w:val="99"/>
    <w:rPr>
      <w:b/>
      <w:bCs/>
      <w:kern w:val="2"/>
      <w:sz w:val="24"/>
      <w:szCs w:val="28"/>
    </w:rPr>
  </w:style>
  <w:style w:type="character" w:customStyle="1" w:styleId="103">
    <w:name w:val="标题 2 字符"/>
    <w:link w:val="4"/>
    <w:autoRedefine/>
    <w:qFormat/>
    <w:uiPriority w:val="99"/>
    <w:rPr>
      <w:rFonts w:ascii="Cambria" w:hAnsi="Cambria"/>
      <w:b/>
      <w:bCs/>
      <w:kern w:val="2"/>
      <w:sz w:val="32"/>
      <w:szCs w:val="32"/>
    </w:rPr>
  </w:style>
  <w:style w:type="character" w:customStyle="1" w:styleId="104">
    <w:name w:val="表格字体小四 Char Char"/>
    <w:link w:val="74"/>
    <w:autoRedefine/>
    <w:qFormat/>
    <w:uiPriority w:val="0"/>
    <w:rPr>
      <w:kern w:val="2"/>
      <w:sz w:val="24"/>
      <w:szCs w:val="24"/>
      <w:lang w:val="en-US" w:eastAsia="zh-CN" w:bidi="ar-SA"/>
    </w:rPr>
  </w:style>
  <w:style w:type="character" w:customStyle="1" w:styleId="105">
    <w:name w:val="目录 Char Char"/>
    <w:link w:val="73"/>
    <w:autoRedefine/>
    <w:qFormat/>
    <w:uiPriority w:val="0"/>
    <w:rPr>
      <w:rFonts w:ascii="仿宋_GB2312" w:hAnsi="宋体" w:eastAsia="仿宋_GB2312"/>
      <w:sz w:val="28"/>
      <w:szCs w:val="28"/>
      <w:lang w:val="en-US" w:eastAsia="zh-CN" w:bidi="ar-SA"/>
    </w:rPr>
  </w:style>
  <w:style w:type="character" w:customStyle="1" w:styleId="106">
    <w:name w:val="三级 Char Char"/>
    <w:link w:val="79"/>
    <w:autoRedefine/>
    <w:qFormat/>
    <w:uiPriority w:val="0"/>
    <w:rPr>
      <w:rFonts w:eastAsia="黑体"/>
      <w:bCs/>
      <w:kern w:val="2"/>
      <w:sz w:val="30"/>
      <w:szCs w:val="24"/>
    </w:rPr>
  </w:style>
  <w:style w:type="character" w:customStyle="1" w:styleId="107">
    <w:name w:val="label"/>
    <w:basedOn w:val="52"/>
    <w:autoRedefine/>
    <w:qFormat/>
    <w:uiPriority w:val="0"/>
  </w:style>
  <w:style w:type="character" w:customStyle="1" w:styleId="108">
    <w:name w:val="标题 8 字符"/>
    <w:link w:val="9"/>
    <w:autoRedefine/>
    <w:qFormat/>
    <w:uiPriority w:val="99"/>
    <w:rPr>
      <w:rFonts w:ascii="Arial" w:hAnsi="Arial" w:eastAsia="黑体"/>
      <w:kern w:val="2"/>
      <w:sz w:val="24"/>
      <w:szCs w:val="28"/>
    </w:rPr>
  </w:style>
  <w:style w:type="character" w:customStyle="1" w:styleId="109">
    <w:name w:val="open2"/>
    <w:basedOn w:val="52"/>
    <w:autoRedefine/>
    <w:qFormat/>
    <w:uiPriority w:val="0"/>
  </w:style>
  <w:style w:type="character" w:customStyle="1" w:styleId="110">
    <w:name w:val="15"/>
    <w:autoRedefine/>
    <w:qFormat/>
    <w:uiPriority w:val="0"/>
    <w:rPr>
      <w:rFonts w:hint="default" w:ascii="Calibri" w:hAnsi="Calibri" w:cs="Calibri"/>
      <w:color w:val="0000FF"/>
      <w:u w:val="single"/>
    </w:rPr>
  </w:style>
  <w:style w:type="character" w:customStyle="1" w:styleId="111">
    <w:name w:val="trans"/>
    <w:basedOn w:val="52"/>
    <w:autoRedefine/>
    <w:qFormat/>
    <w:uiPriority w:val="0"/>
  </w:style>
  <w:style w:type="character" w:customStyle="1" w:styleId="112">
    <w:name w:val="del2"/>
    <w:basedOn w:val="52"/>
    <w:autoRedefine/>
    <w:qFormat/>
    <w:uiPriority w:val="0"/>
  </w:style>
  <w:style w:type="character" w:customStyle="1" w:styleId="113">
    <w:name w:val="标题 3 字符"/>
    <w:link w:val="5"/>
    <w:autoRedefine/>
    <w:qFormat/>
    <w:uiPriority w:val="99"/>
    <w:rPr>
      <w:rFonts w:ascii="Tahoma" w:hAnsi="Tahoma"/>
      <w:b/>
      <w:bCs/>
      <w:kern w:val="2"/>
      <w:sz w:val="32"/>
      <w:szCs w:val="32"/>
    </w:rPr>
  </w:style>
  <w:style w:type="character" w:customStyle="1" w:styleId="114">
    <w:name w:val="图题 Char Char"/>
    <w:link w:val="91"/>
    <w:autoRedefine/>
    <w:qFormat/>
    <w:uiPriority w:val="0"/>
    <w:rPr>
      <w:kern w:val="2"/>
      <w:sz w:val="24"/>
      <w:szCs w:val="24"/>
      <w:lang w:val="en-US" w:eastAsia="zh-CN" w:bidi="ar-SA"/>
    </w:rPr>
  </w:style>
  <w:style w:type="character" w:customStyle="1" w:styleId="115">
    <w:name w:val="pagelinks"/>
    <w:basedOn w:val="52"/>
    <w:autoRedefine/>
    <w:qFormat/>
    <w:uiPriority w:val="0"/>
  </w:style>
  <w:style w:type="character" w:customStyle="1" w:styleId="116">
    <w:name w:val="morewin"/>
    <w:basedOn w:val="52"/>
    <w:autoRedefine/>
    <w:qFormat/>
    <w:uiPriority w:val="0"/>
  </w:style>
  <w:style w:type="character" w:customStyle="1" w:styleId="117">
    <w:name w:val="open"/>
    <w:basedOn w:val="52"/>
    <w:autoRedefine/>
    <w:qFormat/>
    <w:uiPriority w:val="0"/>
  </w:style>
  <w:style w:type="character" w:customStyle="1" w:styleId="118">
    <w:name w:val="样式2 Char Char"/>
    <w:link w:val="80"/>
    <w:autoRedefine/>
    <w:qFormat/>
    <w:uiPriority w:val="0"/>
    <w:rPr>
      <w:b/>
      <w:kern w:val="2"/>
      <w:sz w:val="24"/>
      <w:szCs w:val="24"/>
    </w:rPr>
  </w:style>
  <w:style w:type="character" w:customStyle="1" w:styleId="119">
    <w:name w:val="批注文字 Char"/>
    <w:autoRedefine/>
    <w:qFormat/>
    <w:uiPriority w:val="99"/>
    <w:rPr>
      <w:kern w:val="2"/>
      <w:sz w:val="24"/>
      <w:szCs w:val="28"/>
    </w:rPr>
  </w:style>
  <w:style w:type="character" w:customStyle="1" w:styleId="120">
    <w:name w:val="图片 Char Char"/>
    <w:link w:val="87"/>
    <w:autoRedefine/>
    <w:qFormat/>
    <w:uiPriority w:val="0"/>
    <w:rPr>
      <w:kern w:val="2"/>
      <w:sz w:val="28"/>
      <w:szCs w:val="28"/>
    </w:rPr>
  </w:style>
  <w:style w:type="character" w:customStyle="1" w:styleId="121">
    <w:name w:val="标题 1 字符"/>
    <w:link w:val="3"/>
    <w:autoRedefine/>
    <w:qFormat/>
    <w:uiPriority w:val="99"/>
    <w:rPr>
      <w:rFonts w:ascii="Tahoma" w:hAnsi="Tahoma"/>
      <w:b/>
      <w:bCs/>
      <w:kern w:val="44"/>
      <w:sz w:val="24"/>
      <w:szCs w:val="44"/>
    </w:rPr>
  </w:style>
  <w:style w:type="character" w:customStyle="1" w:styleId="122">
    <w:name w:val="页眉 字符"/>
    <w:link w:val="34"/>
    <w:autoRedefine/>
    <w:qFormat/>
    <w:uiPriority w:val="99"/>
    <w:rPr>
      <w:rFonts w:ascii="Tahoma" w:hAnsi="Tahoma"/>
      <w:kern w:val="2"/>
      <w:sz w:val="18"/>
      <w:szCs w:val="18"/>
    </w:rPr>
  </w:style>
  <w:style w:type="character" w:customStyle="1" w:styleId="123">
    <w:name w:val="标题 7 字符"/>
    <w:link w:val="8"/>
    <w:autoRedefine/>
    <w:qFormat/>
    <w:uiPriority w:val="99"/>
    <w:rPr>
      <w:b/>
      <w:bCs/>
      <w:kern w:val="2"/>
      <w:sz w:val="24"/>
      <w:szCs w:val="28"/>
    </w:rPr>
  </w:style>
  <w:style w:type="character" w:customStyle="1" w:styleId="124">
    <w:name w:val="标题 字符"/>
    <w:link w:val="46"/>
    <w:autoRedefine/>
    <w:qFormat/>
    <w:uiPriority w:val="0"/>
    <w:rPr>
      <w:rFonts w:ascii="Cambria" w:hAnsi="Cambria"/>
      <w:b/>
      <w:bCs/>
      <w:kern w:val="2"/>
      <w:sz w:val="32"/>
      <w:szCs w:val="32"/>
    </w:rPr>
  </w:style>
  <w:style w:type="character" w:customStyle="1" w:styleId="125">
    <w:name w:val="标题 9 字符"/>
    <w:link w:val="10"/>
    <w:autoRedefine/>
    <w:qFormat/>
    <w:uiPriority w:val="99"/>
    <w:rPr>
      <w:rFonts w:ascii="Arial" w:hAnsi="Arial" w:eastAsia="黑体"/>
      <w:kern w:val="2"/>
      <w:sz w:val="24"/>
      <w:szCs w:val="21"/>
    </w:rPr>
  </w:style>
  <w:style w:type="character" w:customStyle="1" w:styleId="126">
    <w:name w:val="error"/>
    <w:autoRedefine/>
    <w:qFormat/>
    <w:uiPriority w:val="0"/>
    <w:rPr>
      <w:color w:val="CC0000"/>
    </w:rPr>
  </w:style>
  <w:style w:type="character" w:customStyle="1" w:styleId="127">
    <w:name w:val="add"/>
    <w:basedOn w:val="52"/>
    <w:autoRedefine/>
    <w:qFormat/>
    <w:uiPriority w:val="0"/>
  </w:style>
  <w:style w:type="character" w:customStyle="1" w:styleId="128">
    <w:name w:val="批注主题 字符"/>
    <w:link w:val="47"/>
    <w:autoRedefine/>
    <w:qFormat/>
    <w:uiPriority w:val="99"/>
    <w:rPr>
      <w:rFonts w:ascii="Tahoma" w:hAnsi="Tahoma"/>
      <w:b/>
      <w:bCs/>
      <w:kern w:val="2"/>
      <w:sz w:val="24"/>
      <w:szCs w:val="28"/>
    </w:rPr>
  </w:style>
  <w:style w:type="character" w:customStyle="1" w:styleId="129">
    <w:name w:val="pagebanner"/>
    <w:basedOn w:val="52"/>
    <w:autoRedefine/>
    <w:qFormat/>
    <w:uiPriority w:val="0"/>
  </w:style>
  <w:style w:type="character" w:customStyle="1" w:styleId="130">
    <w:name w:val="文档结构图 字符"/>
    <w:link w:val="17"/>
    <w:autoRedefine/>
    <w:qFormat/>
    <w:uiPriority w:val="99"/>
    <w:rPr>
      <w:rFonts w:ascii="宋体"/>
      <w:kern w:val="2"/>
      <w:sz w:val="18"/>
      <w:szCs w:val="18"/>
    </w:rPr>
  </w:style>
  <w:style w:type="character" w:customStyle="1" w:styleId="131">
    <w:name w:val="正文文本首行缩进 字符"/>
    <w:link w:val="48"/>
    <w:autoRedefine/>
    <w:qFormat/>
    <w:uiPriority w:val="0"/>
    <w:rPr>
      <w:rFonts w:ascii="Tahoma" w:hAnsi="Tahoma"/>
      <w:kern w:val="2"/>
      <w:sz w:val="21"/>
      <w:szCs w:val="24"/>
    </w:rPr>
  </w:style>
  <w:style w:type="character" w:customStyle="1" w:styleId="132">
    <w:name w:val="表格标题 Char Char"/>
    <w:link w:val="85"/>
    <w:autoRedefine/>
    <w:qFormat/>
    <w:uiPriority w:val="0"/>
    <w:rPr>
      <w:rFonts w:ascii="Arial" w:hAnsi="Arial" w:cs="Arial"/>
      <w:kern w:val="2"/>
      <w:sz w:val="24"/>
      <w:szCs w:val="24"/>
    </w:rPr>
  </w:style>
  <w:style w:type="character" w:customStyle="1" w:styleId="133">
    <w:name w:val="标题 6 字符"/>
    <w:link w:val="7"/>
    <w:autoRedefine/>
    <w:qFormat/>
    <w:uiPriority w:val="99"/>
    <w:rPr>
      <w:rFonts w:ascii="Arial" w:hAnsi="Arial" w:eastAsia="黑体"/>
      <w:b/>
      <w:bCs/>
      <w:kern w:val="2"/>
      <w:sz w:val="24"/>
      <w:szCs w:val="28"/>
    </w:rPr>
  </w:style>
  <w:style w:type="character" w:customStyle="1" w:styleId="134">
    <w:name w:val="正文文本 字符1"/>
    <w:link w:val="22"/>
    <w:autoRedefine/>
    <w:qFormat/>
    <w:uiPriority w:val="99"/>
    <w:rPr>
      <w:rFonts w:ascii="Tahoma" w:hAnsi="Tahoma"/>
      <w:kern w:val="2"/>
      <w:sz w:val="21"/>
      <w:szCs w:val="24"/>
    </w:rPr>
  </w:style>
  <w:style w:type="character" w:customStyle="1" w:styleId="135">
    <w:name w:val="10"/>
    <w:autoRedefine/>
    <w:qFormat/>
    <w:uiPriority w:val="0"/>
    <w:rPr>
      <w:rFonts w:hint="default" w:ascii="Calibri" w:hAnsi="Calibri" w:cs="Calibri"/>
    </w:rPr>
  </w:style>
  <w:style w:type="character" w:customStyle="1" w:styleId="136">
    <w:name w:val="正文缩进 字符"/>
    <w:link w:val="14"/>
    <w:autoRedefine/>
    <w:qFormat/>
    <w:uiPriority w:val="0"/>
    <w:rPr>
      <w:kern w:val="2"/>
      <w:sz w:val="24"/>
    </w:rPr>
  </w:style>
  <w:style w:type="character" w:customStyle="1" w:styleId="137">
    <w:name w:val="页脚 字符"/>
    <w:link w:val="33"/>
    <w:autoRedefine/>
    <w:qFormat/>
    <w:uiPriority w:val="99"/>
    <w:rPr>
      <w:rFonts w:ascii="Tahoma" w:hAnsi="Tahoma"/>
      <w:kern w:val="2"/>
      <w:sz w:val="18"/>
      <w:szCs w:val="18"/>
    </w:rPr>
  </w:style>
  <w:style w:type="character" w:customStyle="1" w:styleId="138">
    <w:name w:val="mod"/>
    <w:basedOn w:val="52"/>
    <w:autoRedefine/>
    <w:qFormat/>
    <w:uiPriority w:val="0"/>
  </w:style>
  <w:style w:type="character" w:customStyle="1" w:styleId="139">
    <w:name w:val="标题3 Char Char"/>
    <w:link w:val="83"/>
    <w:autoRedefine/>
    <w:qFormat/>
    <w:uiPriority w:val="0"/>
    <w:rPr>
      <w:rFonts w:eastAsia="黑体"/>
      <w:kern w:val="2"/>
      <w:sz w:val="28"/>
      <w:szCs w:val="32"/>
    </w:rPr>
  </w:style>
  <w:style w:type="character" w:customStyle="1" w:styleId="140">
    <w:name w:val="标题 4 字符"/>
    <w:link w:val="2"/>
    <w:autoRedefine/>
    <w:qFormat/>
    <w:uiPriority w:val="99"/>
    <w:rPr>
      <w:b/>
      <w:sz w:val="24"/>
      <w:szCs w:val="24"/>
    </w:rPr>
  </w:style>
  <w:style w:type="paragraph" w:customStyle="1" w:styleId="141">
    <w:name w:val="默认"/>
    <w:autoRedefine/>
    <w:qFormat/>
    <w:uiPriority w:val="0"/>
    <w:pPr>
      <w:framePr w:wrap="around" w:vAnchor="margin" w:hAnchor="text" w:y="1"/>
      <w:spacing w:before="160"/>
    </w:pPr>
    <w:rPr>
      <w:rFonts w:ascii="Helvetica Neue" w:hAnsi="Helvetica Neue" w:eastAsia="Helvetica Neue" w:cs="Helvetica Neue"/>
      <w:color w:val="000000"/>
      <w:sz w:val="24"/>
      <w:szCs w:val="24"/>
      <w:lang w:val="en-US" w:eastAsia="zh-CN" w:bidi="ar-SA"/>
    </w:rPr>
  </w:style>
  <w:style w:type="character" w:customStyle="1" w:styleId="142">
    <w:name w:val="redfilefwwh"/>
    <w:basedOn w:val="52"/>
    <w:autoRedefine/>
    <w:qFormat/>
    <w:uiPriority w:val="0"/>
    <w:rPr>
      <w:color w:val="BA2636"/>
      <w:sz w:val="12"/>
      <w:szCs w:val="12"/>
    </w:rPr>
  </w:style>
  <w:style w:type="character" w:customStyle="1" w:styleId="143">
    <w:name w:val="gjfg"/>
    <w:basedOn w:val="52"/>
    <w:autoRedefine/>
    <w:qFormat/>
    <w:uiPriority w:val="0"/>
  </w:style>
  <w:style w:type="character" w:customStyle="1" w:styleId="144">
    <w:name w:val="redfilenumber"/>
    <w:basedOn w:val="52"/>
    <w:autoRedefine/>
    <w:qFormat/>
    <w:uiPriority w:val="0"/>
    <w:rPr>
      <w:color w:val="BA2636"/>
      <w:sz w:val="12"/>
      <w:szCs w:val="12"/>
    </w:rPr>
  </w:style>
  <w:style w:type="character" w:customStyle="1" w:styleId="145">
    <w:name w:val="qxdate"/>
    <w:basedOn w:val="52"/>
    <w:autoRedefine/>
    <w:qFormat/>
    <w:uiPriority w:val="0"/>
    <w:rPr>
      <w:color w:val="333333"/>
      <w:sz w:val="12"/>
      <w:szCs w:val="12"/>
    </w:rPr>
  </w:style>
  <w:style w:type="character" w:customStyle="1" w:styleId="146">
    <w:name w:val="prev"/>
    <w:basedOn w:val="52"/>
    <w:autoRedefine/>
    <w:qFormat/>
    <w:uiPriority w:val="0"/>
    <w:rPr>
      <w:rFonts w:ascii="微软雅黑" w:hAnsi="微软雅黑" w:eastAsia="微软雅黑" w:cs="微软雅黑"/>
      <w:sz w:val="14"/>
      <w:szCs w:val="14"/>
    </w:rPr>
  </w:style>
  <w:style w:type="character" w:customStyle="1" w:styleId="147">
    <w:name w:val="cfdate"/>
    <w:basedOn w:val="52"/>
    <w:autoRedefine/>
    <w:qFormat/>
    <w:uiPriority w:val="0"/>
    <w:rPr>
      <w:color w:val="333333"/>
      <w:sz w:val="12"/>
      <w:szCs w:val="12"/>
    </w:rPr>
  </w:style>
  <w:style w:type="character" w:customStyle="1" w:styleId="148">
    <w:name w:val="displayarti"/>
    <w:basedOn w:val="52"/>
    <w:autoRedefine/>
    <w:qFormat/>
    <w:uiPriority w:val="0"/>
    <w:rPr>
      <w:color w:val="FFFFFF"/>
      <w:shd w:val="clear" w:color="auto" w:fill="A00000"/>
    </w:rPr>
  </w:style>
  <w:style w:type="character" w:customStyle="1" w:styleId="149">
    <w:name w:val="next2"/>
    <w:basedOn w:val="52"/>
    <w:autoRedefine/>
    <w:qFormat/>
    <w:uiPriority w:val="0"/>
    <w:rPr>
      <w:rFonts w:hint="eastAsia" w:ascii="微软雅黑" w:hAnsi="微软雅黑" w:eastAsia="微软雅黑" w:cs="微软雅黑"/>
      <w:sz w:val="14"/>
      <w:szCs w:val="14"/>
    </w:rPr>
  </w:style>
  <w:style w:type="character" w:customStyle="1" w:styleId="150">
    <w:name w:val="next3"/>
    <w:basedOn w:val="52"/>
    <w:autoRedefine/>
    <w:qFormat/>
    <w:uiPriority w:val="0"/>
    <w:rPr>
      <w:color w:val="888888"/>
    </w:rPr>
  </w:style>
  <w:style w:type="character" w:customStyle="1" w:styleId="151">
    <w:name w:val="next"/>
    <w:basedOn w:val="52"/>
    <w:autoRedefine/>
    <w:qFormat/>
    <w:uiPriority w:val="0"/>
    <w:rPr>
      <w:rFonts w:ascii="微软雅黑" w:hAnsi="微软雅黑" w:eastAsia="微软雅黑" w:cs="微软雅黑"/>
      <w:sz w:val="14"/>
      <w:szCs w:val="14"/>
    </w:rPr>
  </w:style>
  <w:style w:type="character" w:customStyle="1" w:styleId="152">
    <w:name w:val="prev1"/>
    <w:basedOn w:val="52"/>
    <w:autoRedefine/>
    <w:qFormat/>
    <w:uiPriority w:val="0"/>
    <w:rPr>
      <w:color w:val="888888"/>
    </w:rPr>
  </w:style>
  <w:style w:type="paragraph" w:customStyle="1" w:styleId="153">
    <w:name w:val="Body text|21"/>
    <w:basedOn w:val="1"/>
    <w:link w:val="155"/>
    <w:autoRedefine/>
    <w:qFormat/>
    <w:uiPriority w:val="0"/>
    <w:pPr>
      <w:shd w:val="clear" w:color="auto" w:fill="FFFFFF"/>
      <w:spacing w:before="4340" w:after="840" w:line="240" w:lineRule="exact"/>
      <w:jc w:val="center"/>
    </w:pPr>
    <w:rPr>
      <w:rFonts w:ascii="PMingLiU" w:hAnsi="PMingLiU" w:eastAsia="PMingLiU" w:cs="PMingLiU"/>
      <w:spacing w:val="30"/>
    </w:rPr>
  </w:style>
  <w:style w:type="character" w:customStyle="1" w:styleId="154">
    <w:name w:val="Body text|2 + Spacing 0 pt"/>
    <w:basedOn w:val="155"/>
    <w:autoRedefine/>
    <w:qFormat/>
    <w:uiPriority w:val="0"/>
    <w:rPr>
      <w:rFonts w:ascii="PMingLiU" w:hAnsi="PMingLiU" w:eastAsia="PMingLiU" w:cs="PMingLiU"/>
      <w:color w:val="000000"/>
      <w:spacing w:val="0"/>
      <w:w w:val="100"/>
      <w:position w:val="0"/>
      <w:sz w:val="24"/>
      <w:szCs w:val="24"/>
      <w:u w:val="none"/>
      <w:lang w:val="zh-CN" w:eastAsia="zh-CN" w:bidi="zh-CN"/>
    </w:rPr>
  </w:style>
  <w:style w:type="character" w:customStyle="1" w:styleId="155">
    <w:name w:val="Body text|2_"/>
    <w:basedOn w:val="52"/>
    <w:link w:val="153"/>
    <w:autoRedefine/>
    <w:qFormat/>
    <w:uiPriority w:val="0"/>
    <w:rPr>
      <w:rFonts w:ascii="PMingLiU" w:hAnsi="PMingLiU" w:eastAsia="PMingLiU" w:cs="PMingLiU"/>
      <w:spacing w:val="30"/>
    </w:rPr>
  </w:style>
  <w:style w:type="character" w:customStyle="1" w:styleId="156">
    <w:name w:val="Body text|2 + Spacing 3 pt"/>
    <w:basedOn w:val="155"/>
    <w:autoRedefine/>
    <w:qFormat/>
    <w:uiPriority w:val="0"/>
    <w:rPr>
      <w:rFonts w:ascii="PMingLiU" w:hAnsi="PMingLiU" w:eastAsia="PMingLiU" w:cs="PMingLiU"/>
      <w:color w:val="000000"/>
      <w:spacing w:val="60"/>
      <w:w w:val="100"/>
      <w:position w:val="0"/>
      <w:sz w:val="24"/>
      <w:szCs w:val="24"/>
      <w:u w:val="none"/>
      <w:lang w:val="zh-CN" w:eastAsia="zh-CN" w:bidi="zh-CN"/>
    </w:rPr>
  </w:style>
  <w:style w:type="paragraph" w:customStyle="1" w:styleId="157">
    <w:name w:val="图文"/>
    <w:basedOn w:val="1"/>
    <w:autoRedefine/>
    <w:qFormat/>
    <w:uiPriority w:val="0"/>
    <w:pPr>
      <w:adjustRightInd w:val="0"/>
      <w:snapToGrid w:val="0"/>
      <w:spacing w:after="50" w:line="360" w:lineRule="auto"/>
    </w:pPr>
    <w:rPr>
      <w:sz w:val="24"/>
    </w:rPr>
  </w:style>
  <w:style w:type="paragraph" w:customStyle="1" w:styleId="158">
    <w:name w:val="页眉与页脚"/>
    <w:autoRedefine/>
    <w:qFormat/>
    <w:uiPriority w:val="0"/>
    <w:pPr>
      <w:framePr w:wrap="around" w:vAnchor="margin" w:hAnchor="text" w:y="1"/>
      <w:tabs>
        <w:tab w:val="right" w:pos="9020"/>
      </w:tabs>
    </w:pPr>
    <w:rPr>
      <w:rFonts w:ascii="Helvetica Neue" w:hAnsi="Helvetica Neue" w:eastAsia="Helvetica Neue" w:cs="Helvetica Neue"/>
      <w:color w:val="000000"/>
      <w:sz w:val="24"/>
      <w:szCs w:val="24"/>
      <w:lang w:val="en-US" w:eastAsia="zh-CN" w:bidi="ar-SA"/>
    </w:rPr>
  </w:style>
  <w:style w:type="paragraph" w:customStyle="1" w:styleId="159">
    <w:name w:val="Char"/>
    <w:basedOn w:val="1"/>
    <w:autoRedefine/>
    <w:qFormat/>
    <w:uiPriority w:val="0"/>
    <w:rPr>
      <w:rFonts w:ascii="仿宋_GB2312" w:eastAsia="仿宋_GB2312"/>
      <w:b/>
      <w:sz w:val="32"/>
      <w:szCs w:val="32"/>
    </w:rPr>
  </w:style>
  <w:style w:type="paragraph" w:customStyle="1" w:styleId="160">
    <w:name w:val="目录文字"/>
    <w:basedOn w:val="1"/>
    <w:autoRedefine/>
    <w:qFormat/>
    <w:uiPriority w:val="0"/>
    <w:pPr>
      <w:widowControl/>
      <w:spacing w:line="480" w:lineRule="auto"/>
      <w:jc w:val="left"/>
    </w:pPr>
    <w:rPr>
      <w:rFonts w:ascii="宋体" w:hAnsi="宋体" w:eastAsia="宋体"/>
      <w:kern w:val="0"/>
      <w:sz w:val="24"/>
      <w:szCs w:val="20"/>
    </w:rPr>
  </w:style>
  <w:style w:type="paragraph" w:customStyle="1" w:styleId="161">
    <w:name w:val="1"/>
    <w:basedOn w:val="1"/>
    <w:next w:val="23"/>
    <w:autoRedefine/>
    <w:qFormat/>
    <w:uiPriority w:val="99"/>
    <w:pPr>
      <w:widowControl/>
      <w:overflowPunct w:val="0"/>
      <w:autoSpaceDE w:val="0"/>
      <w:autoSpaceDN w:val="0"/>
      <w:adjustRightInd w:val="0"/>
      <w:spacing w:line="360" w:lineRule="auto"/>
      <w:ind w:firstLine="540"/>
      <w:textAlignment w:val="baseline"/>
    </w:pPr>
    <w:rPr>
      <w:rFonts w:ascii="宋体" w:hAnsi="MS Sans Serif" w:eastAsia="宋体"/>
      <w:spacing w:val="12"/>
      <w:kern w:val="0"/>
      <w:sz w:val="24"/>
      <w:szCs w:val="20"/>
    </w:rPr>
  </w:style>
  <w:style w:type="character" w:customStyle="1" w:styleId="162">
    <w:name w:val="正文文本缩进 2 字符"/>
    <w:basedOn w:val="52"/>
    <w:link w:val="31"/>
    <w:autoRedefine/>
    <w:qFormat/>
    <w:uiPriority w:val="99"/>
    <w:rPr>
      <w:rFonts w:ascii="Times New Roman" w:hAnsi="Times New Roman" w:eastAsia="宋体" w:cs="Times New Roman"/>
      <w:kern w:val="2"/>
      <w:sz w:val="24"/>
      <w:szCs w:val="30"/>
    </w:rPr>
  </w:style>
  <w:style w:type="paragraph" w:customStyle="1" w:styleId="163">
    <w:name w:val="Preformatted"/>
    <w:basedOn w:val="1"/>
    <w:autoRedefine/>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eastAsia="宋体"/>
      <w:kern w:val="0"/>
      <w:sz w:val="20"/>
      <w:szCs w:val="20"/>
    </w:rPr>
  </w:style>
  <w:style w:type="paragraph" w:customStyle="1" w:styleId="164">
    <w:name w:val="xl24"/>
    <w:basedOn w:val="1"/>
    <w:autoRedefine/>
    <w:qFormat/>
    <w:uiPriority w:val="99"/>
    <w:pPr>
      <w:widowControl/>
      <w:spacing w:before="100" w:after="100"/>
      <w:jc w:val="center"/>
      <w:textAlignment w:val="center"/>
    </w:pPr>
    <w:rPr>
      <w:rFonts w:ascii="宋体" w:hAnsi="宋体" w:eastAsia="宋体"/>
      <w:kern w:val="0"/>
      <w:sz w:val="24"/>
      <w:szCs w:val="20"/>
    </w:rPr>
  </w:style>
  <w:style w:type="paragraph" w:customStyle="1" w:styleId="165">
    <w:name w:val="倪芳"/>
    <w:basedOn w:val="1"/>
    <w:autoRedefine/>
    <w:qFormat/>
    <w:uiPriority w:val="0"/>
    <w:pPr>
      <w:spacing w:beforeLines="25" w:afterLines="15" w:line="400" w:lineRule="exact"/>
    </w:pPr>
    <w:rPr>
      <w:rFonts w:ascii="宋体" w:hAnsi="Courier New" w:eastAsia="宋体" w:cs="Courier New"/>
      <w:sz w:val="24"/>
      <w:szCs w:val="21"/>
    </w:rPr>
  </w:style>
  <w:style w:type="character" w:customStyle="1" w:styleId="166">
    <w:name w:val="正文文本缩进 字符"/>
    <w:basedOn w:val="52"/>
    <w:link w:val="23"/>
    <w:autoRedefine/>
    <w:qFormat/>
    <w:uiPriority w:val="99"/>
    <w:rPr>
      <w:rFonts w:ascii="Tahoma" w:hAnsi="Tahoma" w:eastAsia="Arial Unicode MS" w:cs="Times New Roman"/>
      <w:kern w:val="2"/>
      <w:sz w:val="21"/>
      <w:szCs w:val="24"/>
    </w:rPr>
  </w:style>
  <w:style w:type="character" w:customStyle="1" w:styleId="167">
    <w:name w:val="正文文本首行缩进 2 字符"/>
    <w:basedOn w:val="166"/>
    <w:link w:val="49"/>
    <w:autoRedefine/>
    <w:qFormat/>
    <w:uiPriority w:val="0"/>
    <w:rPr>
      <w:rFonts w:ascii="Times New Roman" w:hAnsi="Times New Roman" w:eastAsia="宋体" w:cs="Times New Roman"/>
      <w:kern w:val="2"/>
      <w:sz w:val="21"/>
      <w:szCs w:val="24"/>
    </w:rPr>
  </w:style>
  <w:style w:type="character" w:customStyle="1" w:styleId="168">
    <w:name w:val="正文文本 2 字符"/>
    <w:basedOn w:val="52"/>
    <w:link w:val="42"/>
    <w:autoRedefine/>
    <w:qFormat/>
    <w:uiPriority w:val="99"/>
    <w:rPr>
      <w:rFonts w:ascii="宋体" w:hAnsi="Times New Roman" w:eastAsia="宋体" w:cs="Times New Roman"/>
      <w:kern w:val="2"/>
      <w:sz w:val="21"/>
    </w:rPr>
  </w:style>
  <w:style w:type="paragraph" w:customStyle="1" w:styleId="169">
    <w:name w:val="普通 (Web)"/>
    <w:basedOn w:val="1"/>
    <w:autoRedefine/>
    <w:qFormat/>
    <w:uiPriority w:val="0"/>
    <w:pPr>
      <w:widowControl/>
      <w:spacing w:before="100" w:beforeAutospacing="1" w:after="100" w:afterAutospacing="1"/>
      <w:jc w:val="left"/>
    </w:pPr>
    <w:rPr>
      <w:rFonts w:ascii="宋体" w:hAnsi="宋体" w:eastAsia="宋体"/>
      <w:kern w:val="0"/>
      <w:sz w:val="24"/>
    </w:rPr>
  </w:style>
  <w:style w:type="paragraph" w:customStyle="1" w:styleId="170">
    <w:name w:val="样式 标题 2 + (符号) 宋体 小四"/>
    <w:basedOn w:val="4"/>
    <w:autoRedefine/>
    <w:qFormat/>
    <w:uiPriority w:val="0"/>
    <w:pPr>
      <w:keepNext/>
      <w:keepLines/>
      <w:spacing w:line="416" w:lineRule="auto"/>
    </w:pPr>
    <w:rPr>
      <w:rFonts w:ascii="Arial" w:hAnsi="Arial" w:eastAsia="宋体"/>
      <w:bCs/>
      <w:sz w:val="24"/>
    </w:rPr>
  </w:style>
  <w:style w:type="character" w:customStyle="1" w:styleId="171">
    <w:name w:val="Char2"/>
    <w:autoRedefine/>
    <w:qFormat/>
    <w:uiPriority w:val="0"/>
    <w:rPr>
      <w:rFonts w:ascii="Arial" w:hAnsi="Arial" w:eastAsia="黑体"/>
      <w:b/>
      <w:bCs/>
      <w:kern w:val="2"/>
      <w:sz w:val="32"/>
      <w:szCs w:val="32"/>
      <w:lang w:val="en-US" w:eastAsia="zh-CN" w:bidi="ar-SA"/>
    </w:rPr>
  </w:style>
  <w:style w:type="character" w:customStyle="1" w:styleId="172">
    <w:name w:val="样式 标题 2 + (符号) 宋体 小四 Char"/>
    <w:autoRedefine/>
    <w:qFormat/>
    <w:uiPriority w:val="0"/>
    <w:rPr>
      <w:rFonts w:ascii="Arial" w:hAnsi="Arial" w:eastAsia="宋体"/>
      <w:b/>
      <w:bCs/>
      <w:kern w:val="2"/>
      <w:sz w:val="24"/>
      <w:szCs w:val="32"/>
      <w:lang w:val="en-US" w:eastAsia="zh-CN" w:bidi="ar-SA"/>
    </w:rPr>
  </w:style>
  <w:style w:type="paragraph" w:customStyle="1" w:styleId="173">
    <w:name w:val="样式1"/>
    <w:basedOn w:val="1"/>
    <w:next w:val="5"/>
    <w:autoRedefine/>
    <w:qFormat/>
    <w:uiPriority w:val="99"/>
    <w:rPr>
      <w:rFonts w:eastAsia="宋体"/>
      <w:sz w:val="24"/>
      <w:szCs w:val="20"/>
    </w:rPr>
  </w:style>
  <w:style w:type="paragraph" w:customStyle="1" w:styleId="174">
    <w:name w:val="默认段落字体 Para Char Char Char Char Char Char Char Char Char Char"/>
    <w:basedOn w:val="17"/>
    <w:autoRedefine/>
    <w:qFormat/>
    <w:uiPriority w:val="0"/>
    <w:pPr>
      <w:shd w:val="clear" w:color="auto" w:fill="000080"/>
      <w:spacing w:line="240" w:lineRule="auto"/>
    </w:pPr>
    <w:rPr>
      <w:rFonts w:ascii="Tahoma" w:hAnsi="Tahoma" w:eastAsia="宋体"/>
      <w:sz w:val="24"/>
      <w:szCs w:val="24"/>
    </w:rPr>
  </w:style>
  <w:style w:type="paragraph" w:customStyle="1" w:styleId="175">
    <w:name w:val="font5"/>
    <w:basedOn w:val="1"/>
    <w:autoRedefine/>
    <w:qFormat/>
    <w:uiPriority w:val="0"/>
    <w:pPr>
      <w:widowControl/>
      <w:spacing w:before="100" w:beforeAutospacing="1" w:after="100" w:afterAutospacing="1"/>
      <w:jc w:val="left"/>
    </w:pPr>
    <w:rPr>
      <w:rFonts w:hint="eastAsia" w:ascii="宋体" w:hAnsi="宋体" w:eastAsia="宋体" w:cs="Arial Unicode MS"/>
      <w:kern w:val="0"/>
      <w:sz w:val="18"/>
      <w:szCs w:val="18"/>
    </w:rPr>
  </w:style>
  <w:style w:type="paragraph" w:customStyle="1" w:styleId="176">
    <w:name w:val="xl25"/>
    <w:basedOn w:val="1"/>
    <w:autoRedefine/>
    <w:qFormat/>
    <w:uiPriority w:val="0"/>
    <w:pPr>
      <w:widowControl/>
      <w:pBdr>
        <w:right w:val="single" w:color="969696" w:sz="8" w:space="0"/>
      </w:pBdr>
      <w:spacing w:before="100" w:beforeAutospacing="1" w:after="100" w:afterAutospacing="1"/>
      <w:jc w:val="left"/>
    </w:pPr>
    <w:rPr>
      <w:rFonts w:ascii="Arial Unicode MS" w:hAnsi="Arial Unicode MS" w:cs="Arial Unicode MS"/>
      <w:kern w:val="0"/>
      <w:sz w:val="18"/>
      <w:szCs w:val="18"/>
    </w:rPr>
  </w:style>
  <w:style w:type="paragraph" w:customStyle="1" w:styleId="177">
    <w:name w:val="xl26"/>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78">
    <w:name w:val="xl2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79">
    <w:name w:val="xl28"/>
    <w:basedOn w:val="1"/>
    <w:autoRedefine/>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0">
    <w:name w:val="xl29"/>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1">
    <w:name w:val="xl3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2">
    <w:name w:val="xl31"/>
    <w:basedOn w:val="1"/>
    <w:autoRedefine/>
    <w:qFormat/>
    <w:uiPriority w:val="0"/>
    <w:pPr>
      <w:widowControl/>
      <w:pBdr>
        <w:top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3">
    <w:name w:val="xl32"/>
    <w:basedOn w:val="1"/>
    <w:autoRedefine/>
    <w:qFormat/>
    <w:uiPriority w:val="0"/>
    <w:pPr>
      <w:widowControl/>
      <w:pBdr>
        <w:bottom w:val="single" w:color="auto" w:sz="4" w:space="0"/>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4">
    <w:name w:val="xl33"/>
    <w:basedOn w:val="1"/>
    <w:autoRedefine/>
    <w:qFormat/>
    <w:uiPriority w:val="0"/>
    <w:pPr>
      <w:widowControl/>
      <w:pBdr>
        <w:right w:val="single" w:color="auto" w:sz="4" w:space="0"/>
      </w:pBdr>
      <w:spacing w:before="100" w:beforeAutospacing="1" w:after="100" w:afterAutospacing="1"/>
      <w:jc w:val="left"/>
    </w:pPr>
    <w:rPr>
      <w:rFonts w:ascii="Arial Unicode MS" w:hAnsi="Arial Unicode MS" w:cs="Arial Unicode MS"/>
      <w:kern w:val="0"/>
      <w:sz w:val="18"/>
      <w:szCs w:val="18"/>
    </w:rPr>
  </w:style>
  <w:style w:type="paragraph" w:customStyle="1" w:styleId="185">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86">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87">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b/>
      <w:bCs/>
      <w:kern w:val="0"/>
      <w:sz w:val="18"/>
      <w:szCs w:val="18"/>
    </w:rPr>
  </w:style>
  <w:style w:type="paragraph" w:customStyle="1" w:styleId="188">
    <w:name w:val="xl37"/>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89">
    <w:name w:val="xl38"/>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0">
    <w:name w:val="xl39"/>
    <w:basedOn w:val="1"/>
    <w:autoRedefine/>
    <w:qFormat/>
    <w:uiPriority w:val="0"/>
    <w:pPr>
      <w:widowControl/>
      <w:pBdr>
        <w:left w:val="single" w:color="auto" w:sz="4" w:space="0"/>
        <w:right w:val="single" w:color="auto" w:sz="4" w:space="0"/>
      </w:pBdr>
      <w:spacing w:before="100" w:beforeAutospacing="1" w:after="100" w:afterAutospacing="1"/>
      <w:jc w:val="left"/>
    </w:pPr>
    <w:rPr>
      <w:rFonts w:ascii="Arial Unicode MS" w:hAnsi="Arial Unicode MS" w:cs="Arial Unicode MS"/>
      <w:kern w:val="0"/>
      <w:sz w:val="24"/>
    </w:rPr>
  </w:style>
  <w:style w:type="paragraph" w:customStyle="1" w:styleId="191">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2">
    <w:name w:val="xl4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3">
    <w:name w:val="xl42"/>
    <w:basedOn w:val="1"/>
    <w:autoRedefine/>
    <w:qFormat/>
    <w:uiPriority w:val="0"/>
    <w:pPr>
      <w:widowControl/>
      <w:pBdr>
        <w:left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4">
    <w:name w:val="xl43"/>
    <w:basedOn w:val="1"/>
    <w:autoRedefine/>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Arial Unicode MS" w:hAnsi="Arial Unicode MS" w:cs="Arial Unicode MS"/>
      <w:kern w:val="0"/>
      <w:sz w:val="18"/>
      <w:szCs w:val="18"/>
    </w:rPr>
  </w:style>
  <w:style w:type="paragraph" w:customStyle="1" w:styleId="195">
    <w:name w:val="_Style 186"/>
    <w:autoRedefine/>
    <w:qFormat/>
    <w:uiPriority w:val="99"/>
    <w:pPr>
      <w:widowControl w:val="0"/>
      <w:jc w:val="both"/>
    </w:pPr>
    <w:rPr>
      <w:rFonts w:ascii="Times New Roman" w:hAnsi="Times New Roman" w:eastAsia="Arial Unicode MS" w:cs="Times New Roman"/>
      <w:kern w:val="2"/>
      <w:sz w:val="21"/>
      <w:szCs w:val="24"/>
      <w:lang w:val="en-US" w:eastAsia="zh-CN" w:bidi="ar-SA"/>
    </w:rPr>
  </w:style>
  <w:style w:type="paragraph" w:customStyle="1" w:styleId="196">
    <w:name w:val="文档正文"/>
    <w:basedOn w:val="1"/>
    <w:autoRedefine/>
    <w:qFormat/>
    <w:uiPriority w:val="0"/>
    <w:pPr>
      <w:adjustRightInd w:val="0"/>
      <w:spacing w:line="480" w:lineRule="atLeast"/>
      <w:ind w:firstLine="567"/>
      <w:textAlignment w:val="baseline"/>
    </w:pPr>
    <w:rPr>
      <w:rFonts w:ascii="长城仿宋" w:eastAsia="宋体"/>
      <w:kern w:val="0"/>
      <w:sz w:val="24"/>
    </w:rPr>
  </w:style>
  <w:style w:type="character" w:customStyle="1" w:styleId="197">
    <w:name w:val="日期 字符"/>
    <w:link w:val="30"/>
    <w:autoRedefine/>
    <w:qFormat/>
    <w:uiPriority w:val="99"/>
    <w:rPr>
      <w:rFonts w:ascii="Tahoma" w:hAnsi="Tahoma" w:eastAsia="Arial Unicode MS" w:cs="Times New Roman"/>
      <w:kern w:val="2"/>
      <w:sz w:val="21"/>
      <w:szCs w:val="24"/>
    </w:rPr>
  </w:style>
  <w:style w:type="character" w:customStyle="1" w:styleId="198">
    <w:name w:val="Char Char"/>
    <w:autoRedefine/>
    <w:qFormat/>
    <w:uiPriority w:val="0"/>
    <w:rPr>
      <w:rFonts w:eastAsia="宋体"/>
      <w:kern w:val="2"/>
      <w:sz w:val="24"/>
      <w:lang w:val="en-US" w:eastAsia="zh-CN" w:bidi="ar-SA"/>
    </w:rPr>
  </w:style>
  <w:style w:type="character" w:customStyle="1" w:styleId="199">
    <w:name w:val="称呼 字符"/>
    <w:basedOn w:val="52"/>
    <w:link w:val="20"/>
    <w:autoRedefine/>
    <w:qFormat/>
    <w:uiPriority w:val="0"/>
    <w:rPr>
      <w:rFonts w:ascii="..ì." w:hAnsi="Times New Roman" w:eastAsia="..ì." w:cs="Times New Roman"/>
      <w:sz w:val="24"/>
    </w:rPr>
  </w:style>
  <w:style w:type="character" w:customStyle="1" w:styleId="200">
    <w:name w:val="注释标题 字符"/>
    <w:basedOn w:val="52"/>
    <w:link w:val="12"/>
    <w:autoRedefine/>
    <w:qFormat/>
    <w:uiPriority w:val="0"/>
    <w:rPr>
      <w:rFonts w:ascii="..ì." w:hAnsi="Times New Roman" w:eastAsia="..ì." w:cs="Times New Roman"/>
      <w:sz w:val="24"/>
    </w:rPr>
  </w:style>
  <w:style w:type="paragraph" w:customStyle="1" w:styleId="201">
    <w:name w:val="1 Char Char Char Char"/>
    <w:basedOn w:val="1"/>
    <w:autoRedefine/>
    <w:qFormat/>
    <w:uiPriority w:val="0"/>
    <w:rPr>
      <w:rFonts w:ascii="Tahoma" w:hAnsi="Tahoma" w:eastAsia="宋体"/>
      <w:sz w:val="24"/>
      <w:szCs w:val="20"/>
    </w:rPr>
  </w:style>
  <w:style w:type="paragraph" w:customStyle="1" w:styleId="202">
    <w:name w:val="修订1"/>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203">
    <w:name w:val="TOC 标题2"/>
    <w:basedOn w:val="3"/>
    <w:next w:val="1"/>
    <w:qFormat/>
    <w:uiPriority w:val="99"/>
    <w:pPr>
      <w:adjustRightInd/>
      <w:spacing w:before="340" w:after="330" w:line="578" w:lineRule="auto"/>
      <w:textAlignment w:val="auto"/>
      <w:outlineLvl w:val="9"/>
    </w:pPr>
    <w:rPr>
      <w:rFonts w:ascii="Times New Roman" w:hAnsi="Times New Roman" w:eastAsia="宋体"/>
      <w:sz w:val="44"/>
    </w:rPr>
  </w:style>
  <w:style w:type="paragraph" w:customStyle="1" w:styleId="204">
    <w:name w:val="样式 标题 2 + Times New Roman 四号 非加粗 段前: 5 磅 段后: 0 磅 行距: 固定值 20..."/>
    <w:basedOn w:val="4"/>
    <w:qFormat/>
    <w:uiPriority w:val="99"/>
    <w:pPr>
      <w:keepNext/>
      <w:keepLines/>
      <w:spacing w:before="100" w:after="0" w:line="400" w:lineRule="exact"/>
    </w:pPr>
    <w:rPr>
      <w:rFonts w:ascii="Times New Roman" w:hAnsi="Times New Roman" w:eastAsia="黑体" w:cs="宋体"/>
      <w:sz w:val="28"/>
      <w:szCs w:val="20"/>
    </w:rPr>
  </w:style>
  <w:style w:type="paragraph" w:customStyle="1" w:styleId="205">
    <w:name w:val="3"/>
    <w:basedOn w:val="1"/>
    <w:next w:val="21"/>
    <w:qFormat/>
    <w:uiPriority w:val="99"/>
    <w:rPr>
      <w:rFonts w:ascii="宋体" w:eastAsia="宋体"/>
      <w:sz w:val="24"/>
      <w:szCs w:val="20"/>
    </w:rPr>
  </w:style>
  <w:style w:type="character" w:customStyle="1" w:styleId="206">
    <w:name w:val="正文文本 3 字符"/>
    <w:basedOn w:val="52"/>
    <w:link w:val="21"/>
    <w:qFormat/>
    <w:uiPriority w:val="99"/>
    <w:rPr>
      <w:rFonts w:ascii="Times New Roman" w:hAnsi="Times New Roman" w:eastAsia="宋体" w:cs="Times New Roman"/>
      <w:kern w:val="2"/>
      <w:sz w:val="16"/>
      <w:szCs w:val="16"/>
    </w:rPr>
  </w:style>
  <w:style w:type="paragraph" w:customStyle="1" w:styleId="207">
    <w:name w:val="样式 标题 3 + (中文) 黑体 小四 非加粗 段前: 7.8 磅 段后: 0 磅 行距: 固定值 20 磅"/>
    <w:basedOn w:val="5"/>
    <w:qFormat/>
    <w:uiPriority w:val="0"/>
    <w:pPr>
      <w:keepNext/>
      <w:keepLines/>
      <w:tabs>
        <w:tab w:val="clear" w:pos="588"/>
      </w:tabs>
      <w:spacing w:line="400" w:lineRule="exact"/>
    </w:pPr>
    <w:rPr>
      <w:rFonts w:ascii="Times New Roman" w:hAnsi="Times New Roman" w:eastAsia="黑体"/>
      <w:sz w:val="24"/>
      <w:szCs w:val="20"/>
    </w:rPr>
  </w:style>
  <w:style w:type="paragraph" w:customStyle="1" w:styleId="208">
    <w:name w:val="2"/>
    <w:basedOn w:val="1"/>
    <w:next w:val="23"/>
    <w:qFormat/>
    <w:uiPriority w:val="99"/>
    <w:pPr>
      <w:ind w:left="432"/>
    </w:pPr>
    <w:rPr>
      <w:rFonts w:eastAsia="宋体"/>
      <w:szCs w:val="20"/>
    </w:rPr>
  </w:style>
  <w:style w:type="character" w:customStyle="1" w:styleId="209">
    <w:name w:val="正文文本缩进 3 字符"/>
    <w:link w:val="39"/>
    <w:qFormat/>
    <w:uiPriority w:val="99"/>
    <w:rPr>
      <w:rFonts w:ascii="Times New Roman" w:hAnsi="Times New Roman" w:eastAsia="Arial Unicode MS" w:cs="Times New Roman"/>
      <w:kern w:val="2"/>
      <w:sz w:val="16"/>
      <w:szCs w:val="16"/>
    </w:rPr>
  </w:style>
  <w:style w:type="paragraph" w:customStyle="1" w:styleId="210">
    <w:name w:val="样式 标题 1 + 黑体 三号 非加粗 居中 段前: 6 磅 段后: 6 磅 行距: 固定值 20 磅"/>
    <w:basedOn w:val="3"/>
    <w:qFormat/>
    <w:uiPriority w:val="99"/>
    <w:pPr>
      <w:adjustRightInd/>
      <w:spacing w:before="120" w:after="120" w:line="400" w:lineRule="exact"/>
      <w:jc w:val="center"/>
      <w:textAlignment w:val="auto"/>
    </w:pPr>
    <w:rPr>
      <w:rFonts w:ascii="黑体" w:hAnsi="黑体" w:eastAsia="黑体" w:cs="宋体"/>
      <w:b w:val="0"/>
      <w:bCs w:val="0"/>
      <w:sz w:val="32"/>
      <w:szCs w:val="20"/>
    </w:rPr>
  </w:style>
  <w:style w:type="paragraph" w:customStyle="1" w:styleId="211">
    <w:name w:val="Char1111"/>
    <w:basedOn w:val="1"/>
    <w:qFormat/>
    <w:uiPriority w:val="0"/>
    <w:rPr>
      <w:rFonts w:ascii="Tahoma" w:hAnsi="Tahoma" w:eastAsia="宋体"/>
      <w:sz w:val="24"/>
      <w:szCs w:val="20"/>
    </w:rPr>
  </w:style>
  <w:style w:type="character" w:customStyle="1" w:styleId="212">
    <w:name w:val="font161"/>
    <w:qFormat/>
    <w:uiPriority w:val="99"/>
    <w:rPr>
      <w:b/>
      <w:bCs/>
      <w:sz w:val="32"/>
      <w:szCs w:val="32"/>
    </w:rPr>
  </w:style>
  <w:style w:type="paragraph" w:customStyle="1" w:styleId="213">
    <w:name w:val="6'"/>
    <w:basedOn w:val="1"/>
    <w:qFormat/>
    <w:uiPriority w:val="99"/>
    <w:pPr>
      <w:autoSpaceDE w:val="0"/>
      <w:autoSpaceDN w:val="0"/>
      <w:adjustRightInd w:val="0"/>
      <w:snapToGrid w:val="0"/>
      <w:spacing w:line="320" w:lineRule="exact"/>
      <w:jc w:val="center"/>
      <w:textAlignment w:val="baseline"/>
    </w:pPr>
    <w:rPr>
      <w:rFonts w:eastAsia="宋体"/>
      <w:spacing w:val="20"/>
      <w:kern w:val="28"/>
      <w:szCs w:val="20"/>
    </w:rPr>
  </w:style>
  <w:style w:type="paragraph" w:customStyle="1" w:styleId="214">
    <w:name w:val="表格"/>
    <w:basedOn w:val="1"/>
    <w:qFormat/>
    <w:uiPriority w:val="99"/>
    <w:pPr>
      <w:jc w:val="center"/>
      <w:textAlignment w:val="center"/>
    </w:pPr>
    <w:rPr>
      <w:rFonts w:ascii="华文细黑" w:hAnsi="华文细黑" w:eastAsia="宋体"/>
      <w:kern w:val="0"/>
      <w:szCs w:val="20"/>
    </w:rPr>
  </w:style>
  <w:style w:type="paragraph" w:customStyle="1" w:styleId="215">
    <w:name w:val="表格文字"/>
    <w:basedOn w:val="1"/>
    <w:qFormat/>
    <w:uiPriority w:val="99"/>
    <w:pPr>
      <w:adjustRightInd w:val="0"/>
      <w:spacing w:line="420" w:lineRule="atLeast"/>
      <w:jc w:val="left"/>
      <w:textAlignment w:val="baseline"/>
    </w:pPr>
    <w:rPr>
      <w:rFonts w:eastAsia="宋体"/>
      <w:kern w:val="0"/>
      <w:szCs w:val="20"/>
    </w:rPr>
  </w:style>
  <w:style w:type="paragraph" w:customStyle="1" w:styleId="216">
    <w:name w:val="XW正文"/>
    <w:basedOn w:val="23"/>
    <w:qFormat/>
    <w:uiPriority w:val="99"/>
    <w:pPr>
      <w:widowControl w:val="0"/>
      <w:adjustRightInd w:val="0"/>
      <w:snapToGrid w:val="0"/>
      <w:spacing w:line="300" w:lineRule="auto"/>
      <w:ind w:firstLine="520" w:firstLineChars="200"/>
    </w:pPr>
    <w:rPr>
      <w:rFonts w:ascii="Times New Roman" w:hAnsi="Times New Roman" w:eastAsia="宋体"/>
      <w:kern w:val="0"/>
    </w:rPr>
  </w:style>
  <w:style w:type="paragraph" w:customStyle="1" w:styleId="217">
    <w:name w:val="金安桥正文"/>
    <w:basedOn w:val="23"/>
    <w:qFormat/>
    <w:uiPriority w:val="99"/>
    <w:pPr>
      <w:widowControl w:val="0"/>
      <w:adjustRightInd w:val="0"/>
      <w:spacing w:line="300" w:lineRule="auto"/>
      <w:ind w:firstLine="200" w:firstLineChars="200"/>
    </w:pPr>
    <w:rPr>
      <w:rFonts w:ascii="Times New Roman" w:hAnsi="Times New Roman" w:eastAsia="宋体"/>
      <w:kern w:val="0"/>
      <w:sz w:val="24"/>
      <w:szCs w:val="20"/>
    </w:rPr>
  </w:style>
  <w:style w:type="character" w:customStyle="1" w:styleId="218">
    <w:name w:val="样式 粉红"/>
    <w:qFormat/>
    <w:uiPriority w:val="99"/>
    <w:rPr>
      <w:color w:val="auto"/>
      <w:u w:val="none"/>
    </w:rPr>
  </w:style>
  <w:style w:type="character" w:customStyle="1" w:styleId="219">
    <w:name w:val="Char Char1"/>
    <w:qFormat/>
    <w:uiPriority w:val="0"/>
    <w:rPr>
      <w:rFonts w:eastAsia="宋体"/>
      <w:kern w:val="2"/>
      <w:sz w:val="24"/>
      <w:lang w:val="en-US" w:eastAsia="zh-CN" w:bidi="ar-SA"/>
    </w:rPr>
  </w:style>
  <w:style w:type="character" w:customStyle="1" w:styleId="220">
    <w:name w:val="纯文本 字符"/>
    <w:link w:val="28"/>
    <w:qFormat/>
    <w:uiPriority w:val="0"/>
    <w:rPr>
      <w:rFonts w:ascii="宋体" w:hAnsi="Courier New" w:eastAsia="Arial Unicode MS" w:cs="Times New Roman"/>
      <w:kern w:val="2"/>
      <w:sz w:val="21"/>
      <w:szCs w:val="21"/>
    </w:rPr>
  </w:style>
  <w:style w:type="paragraph" w:customStyle="1" w:styleId="221">
    <w:name w:val="Char Char Char Char"/>
    <w:basedOn w:val="1"/>
    <w:qFormat/>
    <w:uiPriority w:val="0"/>
    <w:pPr>
      <w:widowControl/>
      <w:spacing w:after="160" w:line="240" w:lineRule="exact"/>
      <w:jc w:val="left"/>
    </w:pPr>
    <w:rPr>
      <w:rFonts w:eastAsia="宋体"/>
      <w:szCs w:val="20"/>
    </w:rPr>
  </w:style>
  <w:style w:type="paragraph" w:customStyle="1" w:styleId="222">
    <w:name w:val="p17"/>
    <w:basedOn w:val="1"/>
    <w:qFormat/>
    <w:uiPriority w:val="99"/>
    <w:pPr>
      <w:widowControl/>
    </w:pPr>
    <w:rPr>
      <w:rFonts w:eastAsia="宋体"/>
      <w:kern w:val="0"/>
      <w:szCs w:val="21"/>
    </w:rPr>
  </w:style>
  <w:style w:type="character" w:customStyle="1" w:styleId="223">
    <w:name w:val="H4 Char"/>
    <w:qFormat/>
    <w:uiPriority w:val="0"/>
    <w:rPr>
      <w:b/>
      <w:sz w:val="28"/>
    </w:rPr>
  </w:style>
  <w:style w:type="character" w:customStyle="1" w:styleId="224">
    <w:name w:val="Char Char2"/>
    <w:qFormat/>
    <w:uiPriority w:val="0"/>
    <w:rPr>
      <w:rFonts w:eastAsia="宋体"/>
      <w:kern w:val="2"/>
      <w:sz w:val="24"/>
      <w:lang w:val="en-US" w:eastAsia="zh-CN" w:bidi="ar-SA"/>
    </w:rPr>
  </w:style>
  <w:style w:type="character" w:customStyle="1" w:styleId="225">
    <w:name w:val="Char Char111"/>
    <w:qFormat/>
    <w:uiPriority w:val="99"/>
    <w:rPr>
      <w:rFonts w:eastAsia="宋体"/>
      <w:kern w:val="2"/>
      <w:sz w:val="24"/>
      <w:lang w:val="en-US" w:eastAsia="zh-CN" w:bidi="ar-SA"/>
    </w:rPr>
  </w:style>
  <w:style w:type="paragraph" w:customStyle="1" w:styleId="226">
    <w:name w:val="Char Char Char Char111"/>
    <w:basedOn w:val="1"/>
    <w:qFormat/>
    <w:uiPriority w:val="0"/>
    <w:pPr>
      <w:widowControl/>
      <w:spacing w:after="160" w:line="240" w:lineRule="exact"/>
      <w:jc w:val="left"/>
    </w:pPr>
    <w:rPr>
      <w:rFonts w:eastAsia="宋体"/>
      <w:szCs w:val="20"/>
    </w:rPr>
  </w:style>
  <w:style w:type="paragraph" w:customStyle="1" w:styleId="227">
    <w:name w:val="font1"/>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28">
    <w:name w:val="font6"/>
    <w:basedOn w:val="1"/>
    <w:qFormat/>
    <w:uiPriority w:val="0"/>
    <w:pPr>
      <w:widowControl/>
      <w:spacing w:before="100" w:beforeAutospacing="1" w:after="100" w:afterAutospacing="1"/>
      <w:jc w:val="left"/>
    </w:pPr>
    <w:rPr>
      <w:rFonts w:ascii="宋体" w:hAnsi="宋体" w:eastAsia="宋体" w:cs="宋体"/>
      <w:kern w:val="0"/>
      <w:sz w:val="24"/>
    </w:rPr>
  </w:style>
  <w:style w:type="paragraph" w:customStyle="1" w:styleId="229">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30">
    <w:name w:val="xl65"/>
    <w:basedOn w:val="1"/>
    <w:qFormat/>
    <w:uiPriority w:val="0"/>
    <w:pPr>
      <w:widowControl/>
      <w:spacing w:before="100" w:beforeAutospacing="1" w:after="100" w:afterAutospacing="1"/>
      <w:jc w:val="center"/>
      <w:textAlignment w:val="center"/>
    </w:pPr>
    <w:rPr>
      <w:rFonts w:ascii="宋体" w:hAnsi="宋体" w:eastAsia="宋体" w:cs="宋体"/>
      <w:kern w:val="0"/>
      <w:sz w:val="24"/>
    </w:rPr>
  </w:style>
  <w:style w:type="paragraph" w:customStyle="1" w:styleId="23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eastAsia="宋体" w:cs="宋体"/>
      <w:kern w:val="0"/>
      <w:sz w:val="24"/>
    </w:rPr>
  </w:style>
  <w:style w:type="paragraph" w:customStyle="1" w:styleId="23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3">
    <w:name w:val="xl6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4">
    <w:name w:val="xl69"/>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5">
    <w:name w:val="xl70"/>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kern w:val="0"/>
      <w:sz w:val="24"/>
    </w:rPr>
  </w:style>
  <w:style w:type="paragraph" w:customStyle="1" w:styleId="236">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37">
    <w:name w:val="xl72"/>
    <w:basedOn w:val="1"/>
    <w:autoRedefine/>
    <w:qFormat/>
    <w:uiPriority w:val="0"/>
    <w:pPr>
      <w:widowControl/>
      <w:spacing w:before="100" w:beforeAutospacing="1" w:after="100" w:afterAutospacing="1"/>
      <w:jc w:val="left"/>
    </w:pPr>
    <w:rPr>
      <w:rFonts w:ascii="宋体" w:hAnsi="宋体" w:eastAsia="宋体" w:cs="宋体"/>
      <w:b/>
      <w:bCs/>
      <w:kern w:val="0"/>
      <w:sz w:val="24"/>
    </w:rPr>
  </w:style>
  <w:style w:type="paragraph" w:customStyle="1" w:styleId="238">
    <w:name w:val="xl73"/>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eastAsia="宋体" w:cs="宋体"/>
      <w:b/>
      <w:bCs/>
      <w:kern w:val="0"/>
      <w:sz w:val="24"/>
    </w:rPr>
  </w:style>
  <w:style w:type="paragraph" w:customStyle="1" w:styleId="239">
    <w:name w:val="前言、引言标题"/>
    <w:next w:val="1"/>
    <w:autoRedefine/>
    <w:qFormat/>
    <w:uiPriority w:val="0"/>
    <w:pPr>
      <w:numPr>
        <w:ilvl w:val="0"/>
        <w:numId w:val="3"/>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40">
    <w:name w:val="章标题"/>
    <w:next w:val="1"/>
    <w:link w:val="247"/>
    <w:qFormat/>
    <w:uiPriority w:val="0"/>
    <w:pPr>
      <w:numPr>
        <w:ilvl w:val="1"/>
        <w:numId w:val="3"/>
      </w:numPr>
      <w:spacing w:beforeLines="50" w:afterLines="50"/>
      <w:jc w:val="both"/>
      <w:outlineLvl w:val="1"/>
    </w:pPr>
    <w:rPr>
      <w:rFonts w:ascii="黑体" w:hAnsi="Times New Roman" w:eastAsia="黑体" w:cs="Times New Roman"/>
      <w:sz w:val="21"/>
      <w:lang w:val="en-US" w:eastAsia="zh-CN" w:bidi="ar-SA"/>
    </w:rPr>
  </w:style>
  <w:style w:type="paragraph" w:customStyle="1" w:styleId="241">
    <w:name w:val="一级条标题"/>
    <w:basedOn w:val="240"/>
    <w:next w:val="1"/>
    <w:link w:val="248"/>
    <w:qFormat/>
    <w:uiPriority w:val="0"/>
    <w:pPr>
      <w:numPr>
        <w:ilvl w:val="2"/>
      </w:numPr>
      <w:tabs>
        <w:tab w:val="left" w:pos="360"/>
      </w:tabs>
      <w:spacing w:beforeLines="0" w:afterLines="0"/>
      <w:ind w:left="315"/>
      <w:outlineLvl w:val="2"/>
    </w:pPr>
  </w:style>
  <w:style w:type="paragraph" w:customStyle="1" w:styleId="242">
    <w:name w:val="二级条标题"/>
    <w:basedOn w:val="241"/>
    <w:next w:val="1"/>
    <w:link w:val="249"/>
    <w:qFormat/>
    <w:uiPriority w:val="0"/>
    <w:pPr>
      <w:numPr>
        <w:ilvl w:val="3"/>
      </w:numPr>
      <w:ind w:left="315"/>
      <w:outlineLvl w:val="3"/>
    </w:pPr>
  </w:style>
  <w:style w:type="paragraph" w:customStyle="1" w:styleId="243">
    <w:name w:val="列项——"/>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244">
    <w:name w:val="三级条标题"/>
    <w:basedOn w:val="242"/>
    <w:next w:val="1"/>
    <w:qFormat/>
    <w:uiPriority w:val="0"/>
    <w:pPr>
      <w:numPr>
        <w:ilvl w:val="4"/>
      </w:numPr>
      <w:tabs>
        <w:tab w:val="left" w:pos="1680"/>
        <w:tab w:val="left" w:pos="2100"/>
      </w:tabs>
      <w:ind w:left="2100" w:hanging="420"/>
      <w:outlineLvl w:val="4"/>
    </w:pPr>
  </w:style>
  <w:style w:type="paragraph" w:customStyle="1" w:styleId="245">
    <w:name w:val="四级条标题"/>
    <w:basedOn w:val="244"/>
    <w:next w:val="1"/>
    <w:qFormat/>
    <w:uiPriority w:val="0"/>
    <w:pPr>
      <w:numPr>
        <w:ilvl w:val="5"/>
      </w:numPr>
      <w:tabs>
        <w:tab w:val="left" w:pos="2520"/>
      </w:tabs>
      <w:ind w:left="2520" w:hanging="420"/>
      <w:outlineLvl w:val="5"/>
    </w:pPr>
  </w:style>
  <w:style w:type="paragraph" w:customStyle="1" w:styleId="246">
    <w:name w:val="五级条标题"/>
    <w:basedOn w:val="245"/>
    <w:next w:val="1"/>
    <w:qFormat/>
    <w:uiPriority w:val="0"/>
    <w:pPr>
      <w:numPr>
        <w:ilvl w:val="6"/>
      </w:numPr>
      <w:tabs>
        <w:tab w:val="left" w:pos="2940"/>
      </w:tabs>
      <w:ind w:left="2940" w:hanging="420"/>
      <w:outlineLvl w:val="6"/>
    </w:pPr>
  </w:style>
  <w:style w:type="character" w:customStyle="1" w:styleId="247">
    <w:name w:val="章标题 Char"/>
    <w:link w:val="240"/>
    <w:qFormat/>
    <w:uiPriority w:val="0"/>
    <w:rPr>
      <w:rFonts w:ascii="黑体" w:eastAsia="黑体"/>
      <w:sz w:val="21"/>
    </w:rPr>
  </w:style>
  <w:style w:type="character" w:customStyle="1" w:styleId="248">
    <w:name w:val="一级条标题 Char"/>
    <w:link w:val="241"/>
    <w:qFormat/>
    <w:uiPriority w:val="0"/>
    <w:rPr>
      <w:rFonts w:ascii="黑体" w:eastAsia="黑体"/>
      <w:sz w:val="21"/>
    </w:rPr>
  </w:style>
  <w:style w:type="character" w:customStyle="1" w:styleId="249">
    <w:name w:val="二级条标题 Char"/>
    <w:link w:val="242"/>
    <w:qFormat/>
    <w:uiPriority w:val="0"/>
    <w:rPr>
      <w:rFonts w:ascii="黑体" w:eastAsia="黑体"/>
      <w:sz w:val="21"/>
    </w:rPr>
  </w:style>
  <w:style w:type="character" w:customStyle="1" w:styleId="250">
    <w:name w:val="Heading 1 Char"/>
    <w:qFormat/>
    <w:locked/>
    <w:uiPriority w:val="0"/>
    <w:rPr>
      <w:rFonts w:ascii="黑体" w:hAnsi="Times New Roman" w:eastAsia="黑体" w:cs="Times New Roman"/>
      <w:kern w:val="0"/>
      <w:sz w:val="20"/>
      <w:szCs w:val="20"/>
    </w:rPr>
  </w:style>
  <w:style w:type="character" w:customStyle="1" w:styleId="251">
    <w:name w:val="Heading 2 Char"/>
    <w:qFormat/>
    <w:locked/>
    <w:uiPriority w:val="0"/>
    <w:rPr>
      <w:rFonts w:ascii="Times New Roman" w:hAnsi="Times New Roman" w:eastAsia="宋体" w:cs="Times New Roman"/>
      <w:b/>
      <w:kern w:val="0"/>
      <w:sz w:val="32"/>
      <w:szCs w:val="32"/>
    </w:rPr>
  </w:style>
  <w:style w:type="character" w:customStyle="1" w:styleId="252">
    <w:name w:val="标题 3 Char1"/>
    <w:qFormat/>
    <w:locked/>
    <w:uiPriority w:val="99"/>
    <w:rPr>
      <w:rFonts w:eastAsia="宋体"/>
      <w:b/>
      <w:sz w:val="32"/>
      <w:lang w:val="en-US" w:eastAsia="zh-CN" w:bidi="ar-SA"/>
    </w:rPr>
  </w:style>
  <w:style w:type="character" w:customStyle="1" w:styleId="253">
    <w:name w:val="Heading 4 Char"/>
    <w:qFormat/>
    <w:locked/>
    <w:uiPriority w:val="0"/>
    <w:rPr>
      <w:rFonts w:ascii="Times New Roman" w:hAnsi="Times New Roman" w:eastAsia="宋体" w:cs="Times New Roman"/>
      <w:b/>
      <w:kern w:val="0"/>
      <w:sz w:val="20"/>
      <w:szCs w:val="20"/>
    </w:rPr>
  </w:style>
  <w:style w:type="character" w:customStyle="1" w:styleId="254">
    <w:name w:val="Heading 5 Char"/>
    <w:qFormat/>
    <w:locked/>
    <w:uiPriority w:val="0"/>
    <w:rPr>
      <w:rFonts w:ascii="Times New Roman" w:hAnsi="Times New Roman" w:eastAsia="宋体" w:cs="Times New Roman"/>
      <w:b/>
      <w:bCs/>
      <w:sz w:val="28"/>
      <w:szCs w:val="28"/>
    </w:rPr>
  </w:style>
  <w:style w:type="character" w:customStyle="1" w:styleId="255">
    <w:name w:val="Heading 6 Char"/>
    <w:qFormat/>
    <w:locked/>
    <w:uiPriority w:val="0"/>
    <w:rPr>
      <w:rFonts w:ascii="Arial" w:hAnsi="Arial" w:eastAsia="黑体" w:cs="Times New Roman"/>
      <w:b/>
      <w:bCs/>
      <w:kern w:val="0"/>
      <w:sz w:val="24"/>
      <w:szCs w:val="24"/>
    </w:rPr>
  </w:style>
  <w:style w:type="character" w:customStyle="1" w:styleId="256">
    <w:name w:val="Heading 7 Char"/>
    <w:qFormat/>
    <w:locked/>
    <w:uiPriority w:val="0"/>
    <w:rPr>
      <w:rFonts w:ascii="Times New Roman" w:hAnsi="Times New Roman" w:eastAsia="宋体" w:cs="Times New Roman"/>
      <w:b/>
      <w:bCs/>
      <w:kern w:val="0"/>
      <w:sz w:val="24"/>
      <w:szCs w:val="24"/>
    </w:rPr>
  </w:style>
  <w:style w:type="character" w:customStyle="1" w:styleId="257">
    <w:name w:val="Heading 8 Char"/>
    <w:qFormat/>
    <w:locked/>
    <w:uiPriority w:val="0"/>
    <w:rPr>
      <w:rFonts w:ascii="Arial" w:hAnsi="Arial" w:eastAsia="黑体" w:cs="Times New Roman"/>
      <w:kern w:val="0"/>
      <w:sz w:val="24"/>
      <w:szCs w:val="24"/>
    </w:rPr>
  </w:style>
  <w:style w:type="character" w:customStyle="1" w:styleId="258">
    <w:name w:val="Heading 9 Char"/>
    <w:qFormat/>
    <w:locked/>
    <w:uiPriority w:val="0"/>
    <w:rPr>
      <w:rFonts w:ascii="Arial" w:hAnsi="Arial" w:eastAsia="黑体" w:cs="Times New Roman"/>
      <w:kern w:val="0"/>
      <w:sz w:val="21"/>
      <w:szCs w:val="21"/>
    </w:rPr>
  </w:style>
  <w:style w:type="character" w:customStyle="1" w:styleId="259">
    <w:name w:val="Document Map Char"/>
    <w:qFormat/>
    <w:locked/>
    <w:uiPriority w:val="0"/>
    <w:rPr>
      <w:rFonts w:ascii="Times New Roman" w:hAnsi="Times New Roman" w:eastAsia="宋体" w:cs="Times New Roman"/>
      <w:sz w:val="24"/>
      <w:szCs w:val="24"/>
      <w:shd w:val="clear" w:color="auto" w:fill="000080"/>
    </w:rPr>
  </w:style>
  <w:style w:type="character" w:customStyle="1" w:styleId="260">
    <w:name w:val="Date Char"/>
    <w:qFormat/>
    <w:locked/>
    <w:uiPriority w:val="0"/>
    <w:rPr>
      <w:rFonts w:ascii="Times New Roman" w:hAnsi="Times New Roman" w:eastAsia="宋体" w:cs="Times New Roman"/>
      <w:sz w:val="20"/>
      <w:szCs w:val="20"/>
    </w:rPr>
  </w:style>
  <w:style w:type="character" w:customStyle="1" w:styleId="261">
    <w:name w:val="Header Char"/>
    <w:qFormat/>
    <w:locked/>
    <w:uiPriority w:val="0"/>
    <w:rPr>
      <w:rFonts w:ascii="Times New Roman" w:hAnsi="Times New Roman" w:eastAsia="宋体" w:cs="Times New Roman"/>
      <w:kern w:val="0"/>
      <w:sz w:val="20"/>
      <w:szCs w:val="20"/>
    </w:rPr>
  </w:style>
  <w:style w:type="character" w:customStyle="1" w:styleId="262">
    <w:name w:val="Footer Char"/>
    <w:qFormat/>
    <w:locked/>
    <w:uiPriority w:val="0"/>
    <w:rPr>
      <w:rFonts w:ascii="Times New Roman" w:hAnsi="Times New Roman" w:eastAsia="宋体" w:cs="Times New Roman"/>
      <w:kern w:val="0"/>
      <w:sz w:val="20"/>
      <w:szCs w:val="20"/>
    </w:rPr>
  </w:style>
  <w:style w:type="character" w:customStyle="1" w:styleId="263">
    <w:name w:val="Plain Text Char"/>
    <w:autoRedefine/>
    <w:qFormat/>
    <w:locked/>
    <w:uiPriority w:val="0"/>
    <w:rPr>
      <w:rFonts w:ascii="宋体" w:hAnsi="Courier New" w:eastAsia="宋体" w:cs="Times New Roman"/>
      <w:sz w:val="20"/>
      <w:szCs w:val="20"/>
    </w:rPr>
  </w:style>
  <w:style w:type="character" w:customStyle="1" w:styleId="264">
    <w:name w:val="Body Text Indent 2 Char"/>
    <w:autoRedefine/>
    <w:qFormat/>
    <w:locked/>
    <w:uiPriority w:val="0"/>
    <w:rPr>
      <w:rFonts w:ascii="Times New Roman" w:hAnsi="Times New Roman" w:eastAsia="宋体" w:cs="Times New Roman"/>
      <w:sz w:val="30"/>
      <w:szCs w:val="30"/>
    </w:rPr>
  </w:style>
  <w:style w:type="character" w:customStyle="1" w:styleId="265">
    <w:name w:val="Body Text Indent 3 Char"/>
    <w:autoRedefine/>
    <w:qFormat/>
    <w:locked/>
    <w:uiPriority w:val="0"/>
    <w:rPr>
      <w:rFonts w:ascii="Times New Roman" w:hAnsi="Times New Roman" w:eastAsia="宋体" w:cs="Times New Roman"/>
      <w:sz w:val="30"/>
      <w:szCs w:val="30"/>
    </w:rPr>
  </w:style>
  <w:style w:type="character" w:customStyle="1" w:styleId="266">
    <w:name w:val="Body Text First Indent 2 Char"/>
    <w:autoRedefine/>
    <w:qFormat/>
    <w:locked/>
    <w:uiPriority w:val="0"/>
    <w:rPr>
      <w:rFonts w:ascii="Times New Roman" w:hAnsi="Times New Roman" w:eastAsia="宋体" w:cs="Times New Roman"/>
      <w:kern w:val="2"/>
      <w:sz w:val="24"/>
      <w:szCs w:val="24"/>
    </w:rPr>
  </w:style>
  <w:style w:type="character" w:customStyle="1" w:styleId="267">
    <w:name w:val="Body Text 2 Char"/>
    <w:autoRedefine/>
    <w:qFormat/>
    <w:locked/>
    <w:uiPriority w:val="0"/>
    <w:rPr>
      <w:rFonts w:ascii="宋体" w:hAnsi="Times New Roman" w:eastAsia="宋体" w:cs="Times New Roman"/>
      <w:sz w:val="20"/>
      <w:szCs w:val="20"/>
    </w:rPr>
  </w:style>
  <w:style w:type="character" w:customStyle="1" w:styleId="268">
    <w:name w:val="Balloon Text Char"/>
    <w:autoRedefine/>
    <w:qFormat/>
    <w:locked/>
    <w:uiPriority w:val="0"/>
    <w:rPr>
      <w:rFonts w:ascii="Times New Roman" w:hAnsi="Times New Roman" w:eastAsia="宋体" w:cs="Times New Roman"/>
      <w:sz w:val="18"/>
      <w:szCs w:val="18"/>
    </w:rPr>
  </w:style>
  <w:style w:type="character" w:customStyle="1" w:styleId="269">
    <w:name w:val="Salutation Char"/>
    <w:autoRedefine/>
    <w:qFormat/>
    <w:locked/>
    <w:uiPriority w:val="0"/>
    <w:rPr>
      <w:rFonts w:ascii="..ì." w:hAnsi="Times New Roman" w:eastAsia="..ì." w:cs="Times New Roman"/>
      <w:kern w:val="0"/>
      <w:sz w:val="20"/>
      <w:szCs w:val="20"/>
    </w:rPr>
  </w:style>
  <w:style w:type="character" w:customStyle="1" w:styleId="270">
    <w:name w:val="Note Heading Char"/>
    <w:autoRedefine/>
    <w:qFormat/>
    <w:locked/>
    <w:uiPriority w:val="0"/>
    <w:rPr>
      <w:rFonts w:ascii="..ì." w:hAnsi="Times New Roman" w:eastAsia="..ì." w:cs="Times New Roman"/>
      <w:kern w:val="0"/>
      <w:sz w:val="20"/>
      <w:szCs w:val="20"/>
    </w:rPr>
  </w:style>
  <w:style w:type="paragraph" w:customStyle="1" w:styleId="271">
    <w:name w:val="Revision1"/>
    <w:autoRedefine/>
    <w:hidden/>
    <w:semiHidden/>
    <w:qFormat/>
    <w:uiPriority w:val="0"/>
    <w:rPr>
      <w:rFonts w:ascii="Times New Roman" w:hAnsi="Times New Roman" w:eastAsia="宋体" w:cs="Times New Roman"/>
      <w:kern w:val="2"/>
      <w:sz w:val="21"/>
      <w:szCs w:val="24"/>
      <w:lang w:val="en-US" w:eastAsia="zh-CN" w:bidi="ar-SA"/>
    </w:rPr>
  </w:style>
  <w:style w:type="paragraph" w:customStyle="1" w:styleId="272">
    <w:name w:val="TOC Heading1"/>
    <w:basedOn w:val="3"/>
    <w:next w:val="1"/>
    <w:autoRedefine/>
    <w:qFormat/>
    <w:uiPriority w:val="0"/>
    <w:pPr>
      <w:adjustRightInd/>
      <w:spacing w:before="340" w:after="330" w:line="578" w:lineRule="auto"/>
      <w:textAlignment w:val="auto"/>
      <w:outlineLvl w:val="9"/>
    </w:pPr>
    <w:rPr>
      <w:rFonts w:ascii="Times New Roman" w:hAnsi="Times New Roman" w:eastAsia="宋体"/>
      <w:sz w:val="44"/>
    </w:rPr>
  </w:style>
  <w:style w:type="character" w:customStyle="1" w:styleId="273">
    <w:name w:val="Body Text 3 Char"/>
    <w:autoRedefine/>
    <w:qFormat/>
    <w:locked/>
    <w:uiPriority w:val="0"/>
    <w:rPr>
      <w:rFonts w:ascii="Times New Roman" w:hAnsi="Times New Roman" w:eastAsia="宋体" w:cs="Times New Roman"/>
      <w:sz w:val="16"/>
      <w:szCs w:val="16"/>
    </w:rPr>
  </w:style>
  <w:style w:type="character" w:customStyle="1" w:styleId="274">
    <w:name w:val="Title Char"/>
    <w:autoRedefine/>
    <w:qFormat/>
    <w:locked/>
    <w:uiPriority w:val="0"/>
    <w:rPr>
      <w:rFonts w:ascii="Arial" w:hAnsi="Arial" w:eastAsia="宋体" w:cs="Times New Roman"/>
      <w:b/>
      <w:kern w:val="0"/>
      <w:sz w:val="20"/>
      <w:szCs w:val="20"/>
    </w:rPr>
  </w:style>
  <w:style w:type="character" w:customStyle="1" w:styleId="275">
    <w:name w:val="Comment Subject Char"/>
    <w:autoRedefine/>
    <w:qFormat/>
    <w:locked/>
    <w:uiPriority w:val="0"/>
    <w:rPr>
      <w:rFonts w:ascii="Times New Roman" w:hAnsi="Times New Roman" w:eastAsia="宋体" w:cs="Times New Roman"/>
      <w:b/>
      <w:bCs/>
      <w:sz w:val="24"/>
      <w:szCs w:val="24"/>
    </w:rPr>
  </w:style>
  <w:style w:type="character" w:customStyle="1" w:styleId="276">
    <w:name w:val="Comment Text Char"/>
    <w:autoRedefine/>
    <w:qFormat/>
    <w:locked/>
    <w:uiPriority w:val="0"/>
    <w:rPr>
      <w:rFonts w:ascii="Times New Roman" w:hAnsi="Times New Roman" w:eastAsia="宋体"/>
      <w:sz w:val="24"/>
    </w:rPr>
  </w:style>
  <w:style w:type="paragraph" w:customStyle="1" w:styleId="277">
    <w:name w:val="List Paragraph1"/>
    <w:basedOn w:val="1"/>
    <w:autoRedefine/>
    <w:qFormat/>
    <w:uiPriority w:val="0"/>
    <w:pPr>
      <w:ind w:firstLine="420" w:firstLineChars="200"/>
    </w:pPr>
    <w:rPr>
      <w:rFonts w:eastAsia="宋体"/>
    </w:rPr>
  </w:style>
  <w:style w:type="paragraph" w:customStyle="1" w:styleId="278">
    <w:name w:val="reader-word-layer reader-word-s2-5"/>
    <w:basedOn w:val="1"/>
    <w:autoRedefine/>
    <w:qFormat/>
    <w:uiPriority w:val="0"/>
    <w:pPr>
      <w:widowControl/>
      <w:spacing w:before="100" w:beforeAutospacing="1" w:after="100" w:afterAutospacing="1"/>
      <w:jc w:val="left"/>
    </w:pPr>
    <w:rPr>
      <w:rFonts w:ascii="宋体" w:hAnsi="宋体" w:eastAsia="宋体" w:cs="宋体"/>
      <w:kern w:val="0"/>
      <w:sz w:val="24"/>
    </w:rPr>
  </w:style>
  <w:style w:type="character" w:customStyle="1" w:styleId="279">
    <w:name w:val="未处理的提及1"/>
    <w:autoRedefine/>
    <w:unhideWhenUsed/>
    <w:qFormat/>
    <w:uiPriority w:val="99"/>
    <w:rPr>
      <w:color w:val="605E5C"/>
      <w:shd w:val="clear" w:color="auto" w:fill="E1DFDD"/>
    </w:rPr>
  </w:style>
  <w:style w:type="character" w:customStyle="1" w:styleId="280">
    <w:name w:val="Char Char11"/>
    <w:autoRedefine/>
    <w:qFormat/>
    <w:uiPriority w:val="99"/>
    <w:rPr>
      <w:rFonts w:eastAsia="宋体"/>
      <w:kern w:val="2"/>
      <w:sz w:val="24"/>
      <w:lang w:val="en-US" w:eastAsia="zh-CN"/>
    </w:rPr>
  </w:style>
  <w:style w:type="character" w:customStyle="1" w:styleId="281">
    <w:name w:val="正文文本 Char1"/>
    <w:autoRedefine/>
    <w:semiHidden/>
    <w:qFormat/>
    <w:uiPriority w:val="0"/>
    <w:rPr>
      <w:rFonts w:ascii="Times New Roman" w:hAnsi="Times New Roman" w:eastAsia="宋体" w:cs="Times New Roman"/>
      <w:szCs w:val="24"/>
    </w:rPr>
  </w:style>
  <w:style w:type="paragraph" w:customStyle="1" w:styleId="282">
    <w:name w:val="样式"/>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83">
    <w:name w:val="Char11"/>
    <w:basedOn w:val="1"/>
    <w:autoRedefine/>
    <w:qFormat/>
    <w:uiPriority w:val="99"/>
    <w:rPr>
      <w:rFonts w:ascii="Tahoma" w:hAnsi="Tahoma" w:eastAsia="宋体"/>
      <w:sz w:val="24"/>
      <w:szCs w:val="20"/>
    </w:rPr>
  </w:style>
  <w:style w:type="paragraph" w:customStyle="1" w:styleId="284">
    <w:name w:val="Char Char Char Char1"/>
    <w:basedOn w:val="1"/>
    <w:autoRedefine/>
    <w:qFormat/>
    <w:uiPriority w:val="99"/>
    <w:pPr>
      <w:widowControl/>
      <w:spacing w:after="160" w:line="240" w:lineRule="exact"/>
      <w:jc w:val="left"/>
    </w:pPr>
    <w:rPr>
      <w:rFonts w:eastAsia="宋体"/>
      <w:szCs w:val="20"/>
    </w:rPr>
  </w:style>
  <w:style w:type="paragraph" w:customStyle="1" w:styleId="285">
    <w:name w:val="Normal_0"/>
    <w:autoRedefine/>
    <w:qFormat/>
    <w:uiPriority w:val="99"/>
    <w:pPr>
      <w:spacing w:before="120" w:after="240"/>
      <w:jc w:val="both"/>
    </w:pPr>
    <w:rPr>
      <w:rFonts w:ascii="Calibri" w:hAnsi="Calibri" w:eastAsia="Calibri" w:cs="Times New Roman"/>
      <w:sz w:val="22"/>
      <w:szCs w:val="22"/>
      <w:lang w:val="ru-RU" w:eastAsia="en-US" w:bidi="ar-SA"/>
    </w:rPr>
  </w:style>
  <w:style w:type="paragraph" w:customStyle="1" w:styleId="286">
    <w:name w:val="_Style 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7">
    <w:name w:val="Char Char Char Char11"/>
    <w:basedOn w:val="1"/>
    <w:autoRedefine/>
    <w:qFormat/>
    <w:uiPriority w:val="99"/>
    <w:pPr>
      <w:widowControl/>
      <w:spacing w:after="160" w:line="240" w:lineRule="exact"/>
      <w:jc w:val="left"/>
    </w:pPr>
    <w:rPr>
      <w:rFonts w:eastAsia="宋体"/>
      <w:szCs w:val="20"/>
    </w:rPr>
  </w:style>
  <w:style w:type="paragraph" w:customStyle="1" w:styleId="288">
    <w:name w:val="Char12"/>
    <w:basedOn w:val="1"/>
    <w:autoRedefine/>
    <w:qFormat/>
    <w:uiPriority w:val="99"/>
    <w:rPr>
      <w:rFonts w:ascii="Tahoma" w:hAnsi="Tahoma" w:eastAsia="宋体"/>
      <w:sz w:val="24"/>
      <w:szCs w:val="20"/>
    </w:rPr>
  </w:style>
  <w:style w:type="paragraph" w:customStyle="1" w:styleId="289">
    <w:name w:val="Char111"/>
    <w:basedOn w:val="1"/>
    <w:autoRedefine/>
    <w:qFormat/>
    <w:uiPriority w:val="99"/>
    <w:rPr>
      <w:rFonts w:ascii="Tahoma" w:hAnsi="Tahoma" w:eastAsia="宋体"/>
      <w:sz w:val="24"/>
      <w:szCs w:val="20"/>
    </w:rPr>
  </w:style>
  <w:style w:type="paragraph" w:customStyle="1" w:styleId="290">
    <w:name w:val="访问过的超链接1"/>
    <w:autoRedefine/>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291">
    <w:name w:val="Char Char Char Char2"/>
    <w:basedOn w:val="1"/>
    <w:autoRedefine/>
    <w:qFormat/>
    <w:uiPriority w:val="99"/>
    <w:pPr>
      <w:widowControl/>
      <w:spacing w:after="160" w:line="240" w:lineRule="exact"/>
      <w:jc w:val="left"/>
    </w:pPr>
    <w:rPr>
      <w:rFonts w:eastAsia="宋体"/>
      <w:szCs w:val="20"/>
    </w:rPr>
  </w:style>
  <w:style w:type="character" w:customStyle="1" w:styleId="292">
    <w:name w:val="正文文本 字符"/>
    <w:autoRedefine/>
    <w:qFormat/>
    <w:uiPriority w:val="0"/>
    <w:rPr>
      <w:b/>
      <w:i/>
      <w:szCs w:val="24"/>
    </w:rPr>
  </w:style>
  <w:style w:type="paragraph" w:customStyle="1" w:styleId="293">
    <w:name w:val="纯文本2"/>
    <w:basedOn w:val="1"/>
    <w:autoRedefine/>
    <w:qFormat/>
    <w:uiPriority w:val="0"/>
    <w:rPr>
      <w:rFonts w:ascii="宋体" w:hAnsi="Courier New" w:cs="Courier New"/>
      <w:szCs w:val="21"/>
    </w:rPr>
  </w:style>
  <w:style w:type="paragraph" w:customStyle="1" w:styleId="294">
    <w:name w:val="TOC 标题3"/>
    <w:basedOn w:val="3"/>
    <w:next w:val="1"/>
    <w:autoRedefine/>
    <w:unhideWhenUsed/>
    <w:qFormat/>
    <w:uiPriority w:val="39"/>
    <w:pPr>
      <w:widowControl/>
      <w:adjustRightInd/>
      <w:spacing w:before="480" w:after="0" w:line="276" w:lineRule="auto"/>
      <w:jc w:val="left"/>
      <w:textAlignment w:val="auto"/>
      <w:outlineLvl w:val="9"/>
    </w:pPr>
    <w:rPr>
      <w:rFonts w:asciiTheme="majorHAnsi" w:hAnsiTheme="majorHAnsi" w:eastAsiaTheme="majorEastAsia" w:cstheme="majorBidi"/>
      <w:color w:val="376092" w:themeColor="accent1" w:themeShade="BF"/>
      <w:kern w:val="0"/>
      <w:sz w:val="28"/>
      <w:szCs w:val="28"/>
    </w:rPr>
  </w:style>
  <w:style w:type="character" w:customStyle="1" w:styleId="295">
    <w:name w:val="HTML 预设格式 字符"/>
    <w:basedOn w:val="52"/>
    <w:link w:val="43"/>
    <w:autoRedefine/>
    <w:qFormat/>
    <w:uiPriority w:val="0"/>
    <w:rPr>
      <w:rFonts w:ascii="黑体" w:hAnsi="Courier New" w:eastAsia="黑体"/>
    </w:rPr>
  </w:style>
  <w:style w:type="paragraph" w:customStyle="1" w:styleId="296">
    <w:name w:val="正文内容"/>
    <w:basedOn w:val="1"/>
    <w:autoRedefine/>
    <w:qFormat/>
    <w:uiPriority w:val="0"/>
    <w:pPr>
      <w:spacing w:line="360" w:lineRule="auto"/>
      <w:ind w:firstLine="200" w:firstLineChars="200"/>
    </w:pPr>
    <w:rPr>
      <w:sz w:val="24"/>
    </w:rPr>
  </w:style>
  <w:style w:type="paragraph" w:customStyle="1" w:styleId="297">
    <w:name w:val="_Style 296"/>
    <w:basedOn w:val="1"/>
    <w:next w:val="1"/>
    <w:autoRedefine/>
    <w:qFormat/>
    <w:uiPriority w:val="0"/>
    <w:pPr>
      <w:pBdr>
        <w:bottom w:val="single" w:color="auto" w:sz="6" w:space="1"/>
      </w:pBdr>
      <w:jc w:val="center"/>
    </w:pPr>
    <w:rPr>
      <w:rFonts w:ascii="Arial" w:eastAsia="宋体"/>
      <w:vanish/>
      <w:sz w:val="16"/>
    </w:rPr>
  </w:style>
  <w:style w:type="paragraph" w:customStyle="1" w:styleId="298">
    <w:name w:val="_Style 297"/>
    <w:basedOn w:val="1"/>
    <w:next w:val="1"/>
    <w:autoRedefine/>
    <w:qFormat/>
    <w:uiPriority w:val="0"/>
    <w:pPr>
      <w:pBdr>
        <w:top w:val="single" w:color="auto" w:sz="6" w:space="1"/>
      </w:pBdr>
      <w:jc w:val="center"/>
    </w:pPr>
    <w:rPr>
      <w:rFonts w:ascii="Arial" w:eastAsia="宋体"/>
      <w:vanish/>
      <w:sz w:val="16"/>
    </w:rPr>
  </w:style>
  <w:style w:type="paragraph" w:customStyle="1" w:styleId="299">
    <w:name w:val="公文正文"/>
    <w:basedOn w:val="49"/>
    <w:autoRedefine/>
    <w:qFormat/>
    <w:uiPriority w:val="0"/>
    <w:pPr>
      <w:snapToGrid w:val="0"/>
      <w:spacing w:after="0" w:line="540" w:lineRule="exact"/>
      <w:ind w:left="0" w:leftChars="0" w:firstLine="640"/>
      <w:jc w:val="left"/>
    </w:pPr>
    <w:rPr>
      <w:rFonts w:hint="eastAsia" w:ascii="宋体" w:hAnsi="宋体" w:eastAsia="仿宋_GB2312" w:cs="宋体"/>
      <w:sz w:val="32"/>
      <w:szCs w:val="32"/>
    </w:rPr>
  </w:style>
  <w:style w:type="character" w:customStyle="1" w:styleId="300">
    <w:name w:val="公文标题 Char"/>
    <w:link w:val="301"/>
    <w:autoRedefine/>
    <w:qFormat/>
    <w:uiPriority w:val="0"/>
    <w:rPr>
      <w:rFonts w:hint="eastAsia" w:ascii="方正小标宋简体" w:hAnsi="方正小标宋简体" w:eastAsia="方正小标宋简体" w:cs="方正小标宋简体"/>
      <w:sz w:val="44"/>
      <w:szCs w:val="44"/>
    </w:rPr>
  </w:style>
  <w:style w:type="paragraph" w:customStyle="1" w:styleId="301">
    <w:name w:val="公文标题"/>
    <w:basedOn w:val="46"/>
    <w:next w:val="3"/>
    <w:link w:val="300"/>
    <w:autoRedefine/>
    <w:qFormat/>
    <w:uiPriority w:val="0"/>
    <w:pPr>
      <w:snapToGrid w:val="0"/>
      <w:spacing w:after="0" w:line="700" w:lineRule="exact"/>
    </w:pPr>
    <w:rPr>
      <w:rFonts w:hint="eastAsia" w:ascii="方正小标宋简体" w:hAnsi="方正小标宋简体" w:eastAsia="方正小标宋简体" w:cs="方正小标宋简体"/>
      <w:b w:val="0"/>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B1DC3A-4456-4169-AFE6-0CA037B1A249}">
  <ds:schemaRefs/>
</ds:datastoreItem>
</file>

<file path=docProps/app.xml><?xml version="1.0" encoding="utf-8"?>
<Properties xmlns="http://schemas.openxmlformats.org/officeDocument/2006/extended-properties" xmlns:vt="http://schemas.openxmlformats.org/officeDocument/2006/docPropsVTypes">
  <Template>Normal</Template>
  <Company>MS</Company>
  <Pages>66</Pages>
  <Words>36812</Words>
  <Characters>40312</Characters>
  <Lines>318</Lines>
  <Paragraphs>89</Paragraphs>
  <TotalTime>62</TotalTime>
  <ScaleCrop>false</ScaleCrop>
  <LinksUpToDate>false</LinksUpToDate>
  <CharactersWithSpaces>44452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2021-03-12T07:18:00Z</dcterms:created>
  <dc:creator>Lv Ji_BM</dc:creator>
  <cp:lastModifiedBy>阿白</cp:lastModifiedBy>
  <cp:lastPrinted>2023-11-22T09:57:00Z</cp:lastPrinted>
  <dcterms:modified xsi:type="dcterms:W3CDTF">2024-01-26T11:33:46Z</dcterms:modified>
  <dc:title>_x0001_</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A56167C794474FDFBD978E94DADB1570_13</vt:lpwstr>
  </property>
</Properties>
</file>