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西咸院区院史馆建设项目(二次)</w:t>
      </w:r>
    </w:p>
    <w:p>
      <w:pPr>
        <w:pStyle w:val="null3"/>
        <w:jc w:val="center"/>
        <w:outlineLvl w:val="2"/>
      </w:pPr>
      <w:r>
        <w:rPr>
          <w:b/>
          <w:sz w:val="28"/>
        </w:rPr>
        <w:t>采购项目编号：</w:t>
      </w:r>
      <w:r>
        <w:rPr>
          <w:b/>
          <w:sz w:val="28"/>
        </w:rPr>
        <w:t>SXZCZB2023-ZCCS-1133（二次）</w:t>
      </w:r>
      <w:r>
        <w:br/>
      </w:r>
      <w:r>
        <w:br/>
      </w:r>
      <w:r>
        <w:br/>
      </w:r>
    </w:p>
    <w:p>
      <w:pPr>
        <w:pStyle w:val="null3"/>
        <w:jc w:val="center"/>
        <w:outlineLvl w:val="2"/>
      </w:pPr>
      <w:r>
        <w:rPr>
          <w:b/>
          <w:sz w:val="28"/>
        </w:rPr>
        <w:t>陕西省人民医院</w:t>
      </w:r>
    </w:p>
    <w:p>
      <w:pPr>
        <w:pStyle w:val="null3"/>
        <w:jc w:val="center"/>
        <w:outlineLvl w:val="2"/>
      </w:pPr>
      <w:r>
        <w:rPr>
          <w:b/>
          <w:sz w:val="28"/>
        </w:rPr>
        <w:t>陕西至诚项目管理集团有限公司</w:t>
      </w:r>
      <w:r>
        <w:rPr>
          <w:b/>
          <w:sz w:val="28"/>
        </w:rPr>
        <w:t>共同编制</w:t>
      </w:r>
    </w:p>
    <w:p>
      <w:pPr>
        <w:pStyle w:val="null3"/>
        <w:jc w:val="center"/>
        <w:outlineLvl w:val="2"/>
      </w:pPr>
      <w:r>
        <w:rPr>
          <w:b/>
          <w:sz w:val="28"/>
        </w:rPr>
        <w:t>2024年01月03日</w:t>
      </w:r>
    </w:p>
    <w:p>
      <w:pPr>
        <w:pStyle w:val="null3"/>
      </w:pPr>
      <w:r>
        <w:rPr/>
        <w:t xml:space="preserve"> </w:t>
      </w:r>
    </w:p>
    <w:p>
      <w:pPr>
        <w:pStyle w:val="null3"/>
        <w:jc w:val="center"/>
        <w:outlineLvl w:val="1"/>
      </w:pPr>
      <w:r>
        <w:rPr>
          <w:b/>
          <w:sz w:val="36"/>
        </w:rPr>
        <w:t>第一章 竞争性磋商邀请</w:t>
      </w:r>
    </w:p>
    <w:p>
      <w:pPr>
        <w:pStyle w:val="null3"/>
        <w:ind w:firstLine="480"/>
      </w:pPr>
      <w:r>
        <w:rPr/>
        <w:t>陕西至诚项目管理集团有限公司</w:t>
      </w:r>
      <w:r>
        <w:rPr/>
        <w:t>（以下简称“代理机构”）受</w:t>
      </w:r>
      <w:r>
        <w:rPr/>
        <w:t>陕西省人民医院</w:t>
      </w:r>
      <w:r>
        <w:rPr/>
        <w:t>委托，拟对</w:t>
      </w:r>
      <w:r>
        <w:rPr/>
        <w:t>西咸院区院史馆建设项目(二次)</w:t>
      </w:r>
      <w:r>
        <w:rPr/>
        <w:t>采用竞争性磋商采购方式进行采购，兹邀请供应商参加本项目的竞争性磋商。</w:t>
      </w:r>
    </w:p>
    <w:p>
      <w:pPr>
        <w:pStyle w:val="null3"/>
        <w:outlineLvl w:val="2"/>
      </w:pPr>
      <w:r>
        <w:rPr>
          <w:b/>
          <w:sz w:val="28"/>
        </w:rPr>
        <w:t>一、采购项目编号：</w:t>
      </w:r>
      <w:r>
        <w:rPr>
          <w:b/>
          <w:sz w:val="28"/>
        </w:rPr>
        <w:t>SXZCZB2023-ZCCS-1133（二次）</w:t>
      </w:r>
    </w:p>
    <w:p>
      <w:pPr>
        <w:pStyle w:val="null3"/>
        <w:outlineLvl w:val="2"/>
      </w:pPr>
      <w:r>
        <w:rPr>
          <w:b/>
          <w:sz w:val="28"/>
        </w:rPr>
        <w:t>二、采购项目名称：</w:t>
      </w:r>
      <w:r>
        <w:rPr>
          <w:b/>
          <w:sz w:val="28"/>
        </w:rPr>
        <w:t>西咸院区院史馆建设项目(二次)</w:t>
      </w:r>
    </w:p>
    <w:p>
      <w:pPr>
        <w:pStyle w:val="null3"/>
        <w:outlineLvl w:val="2"/>
      </w:pPr>
      <w:r>
        <w:rPr>
          <w:b/>
          <w:sz w:val="28"/>
        </w:rPr>
        <w:t>三、磋商项目简介</w:t>
      </w:r>
    </w:p>
    <w:p>
      <w:pPr>
        <w:pStyle w:val="null3"/>
        <w:ind w:firstLine="480"/>
      </w:pPr>
      <w:r>
        <w:rPr/>
        <w:t>完成展陈大纲编撰、展陈创意策划、展陈设计（含空间规划及设计、平面设计、物品陈列设计、多媒体软硬件配置及播放内容制作）、布展陈列服务、基础装修设计及施工（含水、电、通风、空调、消防、综合布线、监控等设计及施工），全面展示陕西省人民医院92年发展历程和成就，突显医院优良传统和深厚的人文内涵，提供系统、专业、科学的整体展陈方案。</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采购包1（西咸院区院史馆建设项目）：属于预留采购份额面向中小企业采购，预留比例为100%。</w:t>
      </w:r>
    </w:p>
    <w:p>
      <w:pPr>
        <w:pStyle w:val="null3"/>
      </w:pPr>
      <w:r>
        <w:rPr/>
        <w:t>供应商以联合体形式参加本采购包的，联合体协议中中小企业预留比例为100%。（未组成联合体的，供应商应当为中小企业）</w:t>
      </w:r>
    </w:p>
    <w:p>
      <w:pPr>
        <w:pStyle w:val="null3"/>
        <w:ind w:firstLine="480"/>
      </w:pPr>
      <w:r>
        <w:rPr/>
        <w:t>（三）本项目的特定资格要求：</w:t>
      </w:r>
    </w:p>
    <w:p>
      <w:pPr>
        <w:pStyle w:val="null3"/>
      </w:pPr>
      <w:r>
        <w:rPr/>
        <w:t>采购包1：</w:t>
      </w:r>
    </w:p>
    <w:p>
      <w:pPr>
        <w:pStyle w:val="null3"/>
      </w:pPr>
      <w:r>
        <w:rPr/>
        <w:t>1、营业执照：提供合格有效的法人或者其他组织的营业执照等证明文件，自然人的身份证明。</w:t>
      </w:r>
    </w:p>
    <w:p>
      <w:pPr>
        <w:pStyle w:val="null3"/>
      </w:pPr>
      <w:r>
        <w:rPr/>
        <w:t>2、法定代表人身份证明/法定代表人授权书：法定代表人授权书：提供法定代表人授权书（附法定代表人、被授权人身份证复印件），（法定代表人直接参加投标，须提供法定代表人身份证明）；</w:t>
      </w:r>
    </w:p>
    <w:p>
      <w:pPr>
        <w:pStyle w:val="null3"/>
      </w:pPr>
      <w:r>
        <w:rPr/>
        <w:t>3、税收缴纳证明：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4、社会保障资金缴纳证明：提供递交响应文件截止之日前一年内任意一个月的社会保障资金缴存单据或社保机构开具的社会保险参保缴费情况证明，依法不需要缴纳社会保障资金的单位应提供相关证明材料；</w:t>
      </w:r>
    </w:p>
    <w:p>
      <w:pPr>
        <w:pStyle w:val="null3"/>
      </w:pPr>
      <w:r>
        <w:rPr/>
        <w:t>5、无违法记录书面声明：参加政府采购活动前3年内，在经营活动中没有重大违法记录的书面声明；</w:t>
      </w:r>
    </w:p>
    <w:p>
      <w:pPr>
        <w:pStyle w:val="null3"/>
      </w:pPr>
      <w:r>
        <w:rPr/>
        <w:t>6、资质：供应商应具有建筑装修装饰工程专业承包贰级及以上（含贰级）资质，并具备有效的安全生产许可证；供应商应具有建筑装饰工程专项设计乙级及以上（含乙级）资质；</w:t>
      </w:r>
    </w:p>
    <w:p>
      <w:pPr>
        <w:pStyle w:val="null3"/>
      </w:pPr>
      <w:r>
        <w:rPr/>
        <w:t>7、承诺函：提供具有履行合同所必需的设备和专业技术能力的承诺函；</w:t>
      </w:r>
    </w:p>
    <w:p>
      <w:pPr>
        <w:pStyle w:val="null3"/>
      </w:pPr>
      <w:r>
        <w:rPr/>
        <w:t>8、中小企业声明函：供应商须提供中小企业声明函且必须为中型、小型或微型企业；</w:t>
      </w:r>
    </w:p>
    <w:p>
      <w:pPr>
        <w:pStyle w:val="null3"/>
      </w:pPr>
      <w:r>
        <w:rPr/>
        <w:t>9、陕西省建筑市场一体化平台查询截图：在陕西省建筑市场一体化平台（陕西建设网）企业库可查询（提供查询截图）；</w:t>
      </w:r>
    </w:p>
    <w:p>
      <w:pPr>
        <w:pStyle w:val="null3"/>
      </w:pPr>
      <w:r>
        <w:rPr/>
        <w:t>10、联合体协议：本项目允许联合体磋商（设计及施工），设计单位为联合体牵头人，施工单位为联合体成员。中标后，甲方与联合体牵头人签订合同，不再另行与联合体成员签订合同（提供联合体协议书）。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029-85251331-3833</w:t>
      </w:r>
    </w:p>
    <w:p>
      <w:pPr>
        <w:pStyle w:val="null3"/>
        <w:outlineLvl w:val="3"/>
      </w:pPr>
      <w:r>
        <w:rPr>
          <w:b/>
          <w:sz w:val="24"/>
        </w:rPr>
        <w:t>代理机构：</w:t>
      </w:r>
      <w:r>
        <w:rPr>
          <w:b/>
          <w:sz w:val="24"/>
        </w:rPr>
        <w:t>陕西至诚项目管理集团有限公司</w:t>
      </w:r>
    </w:p>
    <w:p>
      <w:pPr>
        <w:pStyle w:val="null3"/>
      </w:pPr>
      <w:r>
        <w:rPr/>
        <w:t xml:space="preserve"> 地址： </w:t>
      </w:r>
      <w:r>
        <w:rPr/>
        <w:t>陕西省西安市经济技术开发区未央路171-1号银池道拉斯财富中心21楼</w:t>
      </w:r>
    </w:p>
    <w:p>
      <w:pPr>
        <w:pStyle w:val="null3"/>
      </w:pPr>
      <w:r>
        <w:rPr/>
        <w:t xml:space="preserve"> 邮编： </w:t>
      </w:r>
      <w:r>
        <w:rPr/>
        <w:t>710021</w:t>
      </w:r>
    </w:p>
    <w:p>
      <w:pPr>
        <w:pStyle w:val="null3"/>
      </w:pPr>
      <w:r>
        <w:rPr/>
        <w:t xml:space="preserve"> 联系人： </w:t>
      </w:r>
      <w:r>
        <w:rPr/>
        <w:t>康乐</w:t>
      </w:r>
    </w:p>
    <w:p>
      <w:pPr>
        <w:pStyle w:val="null3"/>
      </w:pPr>
      <w:r>
        <w:rPr/>
        <w:t xml:space="preserve"> 联系电话： </w:t>
      </w:r>
      <w:r>
        <w:rPr/>
        <w:t>029-88219779</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下浮20%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踏勘时间：2024-01-12 14:00:00</w:t>
            </w:r>
          </w:p>
          <w:p>
            <w:pPr>
              <w:pStyle w:val="null3"/>
              <w:ind w:firstLine="975"/>
            </w:pPr>
            <w:r>
              <w:rPr/>
              <w:t>踏勘地点：陕西省人民医院西咸院区</w:t>
            </w:r>
          </w:p>
          <w:p>
            <w:pPr>
              <w:pStyle w:val="null3"/>
              <w:ind w:firstLine="975"/>
            </w:pPr>
            <w:r>
              <w:rPr/>
              <w:t>联系人：刘诗海</w:t>
            </w:r>
          </w:p>
          <w:p>
            <w:pPr>
              <w:pStyle w:val="null3"/>
              <w:ind w:firstLine="975"/>
            </w:pPr>
            <w:r>
              <w:rPr/>
              <w:t>联系电话号码：029-82521331-2280 029-85231331-2271</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陕西省人民医院</w:t>
      </w:r>
      <w:r>
        <w:rPr/>
        <w:t>和</w:t>
      </w:r>
      <w:r>
        <w:rPr/>
        <w:t>陕西至诚项目管理集团有限公司</w:t>
      </w:r>
      <w:r>
        <w:rPr/>
        <w:t>享有。对磋商文件中供应商参加本次政府采购活动应当具备的条件，磋商项目技术、服务、商务及其他要求，评审细则及标准由</w:t>
      </w:r>
      <w:r>
        <w:rPr/>
        <w:t>陕西省人民医院</w:t>
      </w:r>
      <w:r>
        <w:rPr/>
        <w:t>负责解释。除上述磋商文件内容，其他内容由</w:t>
      </w:r>
      <w:r>
        <w:rPr/>
        <w:t>陕西至诚项目管理集团有限公司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陕西至诚项目管理集团有限公司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根据磋商文件要求及合同约定执行。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陕西至诚项目管理集团有限公司</w:t>
      </w:r>
      <w:r>
        <w:rPr/>
        <w:t xml:space="preserve"> 负责答复；供应商对采购过程的询问、质疑由</w:t>
      </w:r>
      <w:r>
        <w:rPr/>
        <w:t>陕西至诚项目管理集团有限公司</w:t>
      </w:r>
      <w:r>
        <w:rPr/>
        <w:t xml:space="preserve"> 负责答复；供应商对采购结果的询问、质疑由 </w:t>
      </w:r>
      <w:r>
        <w:rPr/>
        <w:t>陕西至诚项目管理集团有限公司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联系人：康乐</w:t>
      </w:r>
    </w:p>
    <w:p>
      <w:pPr>
        <w:pStyle w:val="null3"/>
      </w:pPr>
      <w:r>
        <w:rPr/>
        <w:t>联系电话：029-88219779</w:t>
      </w:r>
    </w:p>
    <w:p>
      <w:pPr>
        <w:pStyle w:val="null3"/>
      </w:pPr>
      <w:r>
        <w:rPr/>
        <w:t>地址：陕西省西安市经济技术开发区未央路171-1号银池道拉斯财富中心21楼</w:t>
      </w:r>
    </w:p>
    <w:p>
      <w:pPr>
        <w:pStyle w:val="null3"/>
      </w:pPr>
      <w:r>
        <w:rPr/>
        <w:t>邮编：710021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2,100,000.00</w:t>
      </w:r>
    </w:p>
    <w:p>
      <w:pPr>
        <w:pStyle w:val="null3"/>
      </w:pPr>
      <w:r>
        <w:rPr/>
        <w:t>采购包最高限价（元）: 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西咸院区院史馆建设</w:t>
            </w:r>
          </w:p>
        </w:tc>
        <w:tc>
          <w:tcPr>
            <w:tcW w:type="dxa" w:w="1384"/>
          </w:tcPr>
          <w:p>
            <w:pPr>
              <w:pStyle w:val="null3"/>
              <w:jc w:val="right"/>
            </w:pPr>
            <w:r>
              <w:rPr/>
              <w:t>1.00</w:t>
            </w:r>
          </w:p>
        </w:tc>
        <w:tc>
          <w:tcPr>
            <w:tcW w:type="dxa" w:w="1384"/>
          </w:tcPr>
          <w:p>
            <w:pPr>
              <w:pStyle w:val="null3"/>
              <w:jc w:val="right"/>
            </w:pPr>
            <w:r>
              <w:rPr/>
              <w:t>2,100,000.00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标的名称：西咸院区院史馆建设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黑体" w:hAnsi="黑体" w:cs="黑体" w:eastAsia="黑体"/>
                <w:sz w:val="32"/>
              </w:rPr>
              <w:t>一、项目需求</w:t>
            </w:r>
          </w:p>
          <w:p>
            <w:pPr>
              <w:pStyle w:val="null3"/>
              <w:ind w:firstLine="640"/>
              <w:jc w:val="both"/>
            </w:pPr>
            <w:r>
              <w:rPr>
                <w:rFonts w:ascii="楷体" w:hAnsi="楷体" w:cs="楷体" w:eastAsia="楷体"/>
                <w:sz w:val="32"/>
              </w:rPr>
              <w:t>建设面积：</w:t>
            </w:r>
            <w:r>
              <w:rPr>
                <w:rFonts w:ascii="仿宋_gb2312" w:hAnsi="仿宋_gb2312" w:cs="仿宋_gb2312" w:eastAsia="仿宋_gb2312"/>
                <w:sz w:val="32"/>
              </w:rPr>
              <w:t>约为</w:t>
            </w:r>
            <w:r>
              <w:rPr>
                <w:rFonts w:ascii="仿宋_gb2312" w:hAnsi="仿宋_gb2312" w:cs="仿宋_gb2312" w:eastAsia="仿宋_gb2312"/>
                <w:sz w:val="32"/>
              </w:rPr>
              <w:t>280㎡</w:t>
            </w:r>
          </w:p>
          <w:p>
            <w:pPr>
              <w:pStyle w:val="null3"/>
              <w:ind w:firstLine="640"/>
              <w:jc w:val="both"/>
            </w:pPr>
            <w:r>
              <w:rPr>
                <w:rFonts w:ascii="楷体" w:hAnsi="楷体" w:cs="楷体" w:eastAsia="楷体"/>
                <w:sz w:val="32"/>
              </w:rPr>
              <w:t>设计要求：</w:t>
            </w:r>
          </w:p>
          <w:p>
            <w:pPr>
              <w:pStyle w:val="null3"/>
              <w:ind w:firstLine="640"/>
              <w:jc w:val="both"/>
            </w:pPr>
            <w:r>
              <w:rPr>
                <w:rFonts w:ascii="仿宋_gb2312" w:hAnsi="仿宋_gb2312" w:cs="仿宋_gb2312" w:eastAsia="仿宋_gb2312"/>
                <w:sz w:val="32"/>
              </w:rPr>
              <w:t>以下需求对照附件图纸所示，如有疑问可致电咨询</w:t>
            </w:r>
            <w:r>
              <w:rPr>
                <w:rFonts w:ascii="仿宋_gb2312" w:hAnsi="仿宋_gb2312" w:cs="仿宋_gb2312" w:eastAsia="仿宋_gb2312"/>
                <w:sz w:val="32"/>
              </w:rPr>
              <w:t>，</w:t>
            </w:r>
            <w:r>
              <w:rPr>
                <w:rFonts w:ascii="仿宋_gb2312" w:hAnsi="仿宋_gb2312" w:cs="仿宋_gb2312" w:eastAsia="仿宋_gb2312"/>
                <w:sz w:val="32"/>
              </w:rPr>
              <w:t>联系电话：</w:t>
            </w:r>
            <w:r>
              <w:rPr>
                <w:rFonts w:ascii="仿宋_gb2312" w:hAnsi="仿宋_gb2312" w:cs="仿宋_gb2312" w:eastAsia="仿宋_gb2312"/>
                <w:sz w:val="32"/>
              </w:rPr>
              <w:t>029-82521331-2280</w:t>
            </w:r>
            <w:r>
              <w:rPr>
                <w:rFonts w:ascii="仿宋_gb2312" w:hAnsi="仿宋_gb2312" w:cs="仿宋_gb2312" w:eastAsia="仿宋_gb2312"/>
                <w:sz w:val="32"/>
              </w:rPr>
              <w:t>。</w:t>
            </w:r>
          </w:p>
          <w:p>
            <w:pPr>
              <w:pStyle w:val="null3"/>
              <w:ind w:firstLine="640"/>
              <w:jc w:val="both"/>
            </w:pPr>
            <w:r>
              <w:rPr>
                <w:rFonts w:ascii="楷体" w:hAnsi="楷体" w:cs="楷体" w:eastAsia="楷体"/>
                <w:sz w:val="32"/>
              </w:rPr>
              <w:t>（一）总体技术要求：</w:t>
            </w:r>
          </w:p>
          <w:p>
            <w:pPr>
              <w:pStyle w:val="null3"/>
              <w:ind w:firstLine="640"/>
              <w:jc w:val="both"/>
            </w:pPr>
            <w:r>
              <w:rPr>
                <w:rFonts w:ascii="仿宋_gb2312" w:hAnsi="仿宋_gb2312" w:cs="仿宋_gb2312" w:eastAsia="仿宋_gb2312"/>
                <w:sz w:val="32"/>
              </w:rPr>
              <w:t>完成展陈大纲编撰、展陈创意策划、展陈设计（含空间规划及设计、平面设计、物品陈列设计、多媒体软硬件配置及播放内容制作）、布展陈列服务、基础装修设计及施工（含水、电、通风、空调、消防、综合布线、监控等设计及施工），全面展示陕西省人民医院</w:t>
            </w:r>
            <w:r>
              <w:rPr>
                <w:rFonts w:ascii="仿宋_gb2312" w:hAnsi="仿宋_gb2312" w:cs="仿宋_gb2312" w:eastAsia="仿宋_gb2312"/>
                <w:sz w:val="32"/>
              </w:rPr>
              <w:t>92年发展历程和成就，突显医院优良传统和深厚的人文内涵，提供系统、专业、科学的整体展陈方案。具体需求如下：</w:t>
            </w:r>
          </w:p>
          <w:p>
            <w:pPr>
              <w:pStyle w:val="null3"/>
              <w:ind w:firstLine="643"/>
              <w:jc w:val="both"/>
            </w:pPr>
            <w:r>
              <w:rPr>
                <w:rFonts w:ascii="仿宋_gb2312" w:hAnsi="仿宋_gb2312" w:cs="仿宋_gb2312" w:eastAsia="仿宋_gb2312"/>
                <w:b/>
                <w:sz w:val="32"/>
              </w:rPr>
              <w:t>1.总体原则</w:t>
            </w:r>
          </w:p>
          <w:p>
            <w:pPr>
              <w:pStyle w:val="null3"/>
              <w:ind w:firstLine="640"/>
              <w:jc w:val="both"/>
            </w:pPr>
            <w:r>
              <w:rPr>
                <w:rFonts w:ascii="仿宋_gb2312" w:hAnsi="仿宋_gb2312" w:cs="仿宋_gb2312" w:eastAsia="仿宋_gb2312"/>
                <w:sz w:val="32"/>
              </w:rPr>
              <w:t>体现文化底蕴：深入挖掘陕西省人民医院的历史文化，内容策划与设计、空间布局、实物展览等，要充分展示出陕西省人民医院文化底蕴。</w:t>
            </w:r>
          </w:p>
          <w:p>
            <w:pPr>
              <w:pStyle w:val="null3"/>
              <w:ind w:firstLine="640"/>
              <w:jc w:val="both"/>
            </w:pPr>
            <w:r>
              <w:rPr>
                <w:rFonts w:ascii="仿宋_gb2312" w:hAnsi="仿宋_gb2312" w:cs="仿宋_gb2312" w:eastAsia="仿宋_gb2312"/>
                <w:sz w:val="32"/>
              </w:rPr>
              <w:t>布局层次鲜明：既要反映医院历史足迹和历史地位，更要体现医院近十年来所取得的重要成果与成就，同时也要为未来重要事件预留合理篇章和展示空间。在展陈中充分考虑内容与实物有效结合，体现多层次展呈效果。</w:t>
            </w:r>
          </w:p>
          <w:p>
            <w:pPr>
              <w:pStyle w:val="null3"/>
              <w:ind w:firstLine="640"/>
              <w:jc w:val="both"/>
            </w:pPr>
            <w:r>
              <w:rPr>
                <w:rFonts w:ascii="仿宋_gb2312" w:hAnsi="仿宋_gb2312" w:cs="仿宋_gb2312" w:eastAsia="仿宋_gb2312"/>
                <w:sz w:val="32"/>
              </w:rPr>
              <w:t>展陈现代科技：根据展陈内容，有机结合最新的高科技展陈方式，展示陕西省人民医院近年来的发展成果和成就，让参观者有耳目一新的感受。</w:t>
            </w:r>
          </w:p>
          <w:p>
            <w:pPr>
              <w:pStyle w:val="null3"/>
              <w:ind w:firstLine="640"/>
              <w:jc w:val="both"/>
            </w:pPr>
            <w:r>
              <w:rPr>
                <w:rFonts w:ascii="仿宋_gb2312" w:hAnsi="仿宋_gb2312" w:cs="仿宋_gb2312" w:eastAsia="仿宋_gb2312"/>
                <w:sz w:val="32"/>
              </w:rPr>
              <w:t>互动体验：在展呈中充分体现参观者的互动感与体验感，运用多媒体、互动设备等，提升参观者的参与度与互动度。</w:t>
            </w:r>
          </w:p>
          <w:p>
            <w:pPr>
              <w:pStyle w:val="null3"/>
              <w:ind w:firstLine="643"/>
              <w:jc w:val="both"/>
            </w:pPr>
            <w:r>
              <w:rPr>
                <w:rFonts w:ascii="仿宋_gb2312" w:hAnsi="仿宋_gb2312" w:cs="仿宋_gb2312" w:eastAsia="仿宋_gb2312"/>
                <w:b/>
                <w:sz w:val="32"/>
              </w:rPr>
              <w:t>2.内容策划</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1）深入解读医院历史文化、学科特色、发展规划等内容，并在此基础上</w:t>
            </w:r>
            <w:r>
              <w:rPr>
                <w:rFonts w:ascii="仿宋_gb2312" w:hAnsi="仿宋_gb2312" w:cs="仿宋_gb2312" w:eastAsia="仿宋_gb2312"/>
                <w:sz w:val="32"/>
              </w:rPr>
              <w:t>编写</w:t>
            </w:r>
            <w:r>
              <w:rPr>
                <w:rFonts w:ascii="仿宋_gb2312" w:hAnsi="仿宋_gb2312" w:cs="仿宋_gb2312" w:eastAsia="仿宋_gb2312"/>
                <w:sz w:val="32"/>
              </w:rPr>
              <w:t>符合医院</w:t>
            </w:r>
            <w:r>
              <w:rPr>
                <w:rFonts w:ascii="仿宋_gb2312" w:hAnsi="仿宋_gb2312" w:cs="仿宋_gb2312" w:eastAsia="仿宋_gb2312"/>
                <w:sz w:val="32"/>
              </w:rPr>
              <w:t>特点</w:t>
            </w:r>
            <w:r>
              <w:rPr>
                <w:rFonts w:ascii="仿宋_gb2312" w:hAnsi="仿宋_gb2312" w:cs="仿宋_gb2312" w:eastAsia="仿宋_gb2312"/>
                <w:sz w:val="32"/>
              </w:rPr>
              <w:t>的展陈大纲，大纲需展现陕西省人民医院历史、</w:t>
            </w:r>
            <w:r>
              <w:rPr>
                <w:rFonts w:ascii="仿宋_gb2312" w:hAnsi="仿宋_gb2312" w:cs="仿宋_gb2312" w:eastAsia="仿宋_gb2312"/>
                <w:sz w:val="32"/>
              </w:rPr>
              <w:t>文化传统、特色</w:t>
            </w:r>
            <w:r>
              <w:rPr>
                <w:rFonts w:ascii="仿宋_gb2312" w:hAnsi="仿宋_gb2312" w:cs="仿宋_gb2312" w:eastAsia="仿宋_gb2312"/>
                <w:sz w:val="32"/>
              </w:rPr>
              <w:t>亮点，包含但不限于医院发展历程、医护队伍、</w:t>
            </w:r>
            <w:r>
              <w:rPr>
                <w:rFonts w:ascii="仿宋_gb2312" w:hAnsi="仿宋_gb2312" w:cs="仿宋_gb2312" w:eastAsia="仿宋_gb2312"/>
                <w:sz w:val="32"/>
              </w:rPr>
              <w:t>学科发展、</w:t>
            </w:r>
            <w:r>
              <w:rPr>
                <w:rFonts w:ascii="仿宋_gb2312" w:hAnsi="仿宋_gb2312" w:cs="仿宋_gb2312" w:eastAsia="仿宋_gb2312"/>
                <w:sz w:val="32"/>
              </w:rPr>
              <w:t>科研实力、荣誉成果、未来规划等方面。</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2）展陈整体方案创意策划(含多媒体展示内容策划)。</w:t>
            </w:r>
          </w:p>
          <w:p>
            <w:pPr>
              <w:pStyle w:val="null3"/>
              <w:ind w:firstLine="643"/>
              <w:jc w:val="both"/>
            </w:pPr>
            <w:r>
              <w:rPr>
                <w:rFonts w:ascii="仿宋_gb2312" w:hAnsi="仿宋_gb2312" w:cs="仿宋_gb2312" w:eastAsia="仿宋_gb2312"/>
                <w:b/>
                <w:sz w:val="32"/>
              </w:rPr>
              <w:t>3.展陈设计</w:t>
            </w:r>
          </w:p>
          <w:p>
            <w:pPr>
              <w:pStyle w:val="null3"/>
              <w:ind w:firstLine="640"/>
              <w:jc w:val="both"/>
            </w:pPr>
            <w:r>
              <w:rPr>
                <w:rFonts w:ascii="仿宋_gb2312" w:hAnsi="仿宋_gb2312" w:cs="仿宋_gb2312" w:eastAsia="仿宋_gb2312"/>
                <w:sz w:val="32"/>
              </w:rPr>
              <w:t>按照总体设计原则和内容布局，结合本项目进行的实地勘察、走访和多方查询、文献资料查证等，要求供应商提出创意新颖、具有较高科技含金量、表现手法先进的展馆设计方案，提供制作全新的、品质优的，且与陕西省人民医院文化相匹配的各类配套设备设施，构建新颖独创的展示空间，完成施工图设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）布展陈列立意高远，主题明确，创意新颖，展陈大纲逻辑清晰，内容梳理精准，文字准确凝练，图片及展品选取合理，展陈呈现方式丰富多样，能系统展示医院</w:t>
            </w:r>
            <w:r>
              <w:rPr>
                <w:rFonts w:ascii="仿宋_gb2312" w:hAnsi="仿宋_gb2312" w:cs="仿宋_gb2312" w:eastAsia="仿宋_gb2312"/>
                <w:sz w:val="32"/>
              </w:rPr>
              <w:t>90余年发展历程和丰硕建设成果，出具展陈设计方案、空间布局方案</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综合利用多媒体展示系统、音响系统、灯光系统等营造丰富的声光电效果，提供现代化、有创意的展览体验。综合运用自然光源与人造光源，实现展陈灯光及多媒体展示系统可展陈与非展陈</w:t>
            </w:r>
            <w:r>
              <w:rPr>
                <w:rFonts w:ascii="仿宋_gb2312" w:hAnsi="仿宋_gb2312" w:cs="仿宋_gb2312" w:eastAsia="仿宋_gb2312"/>
                <w:sz w:val="32"/>
              </w:rPr>
              <w:t>2个时段切换。</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根据现有场地规划展陈空间，除满足院史馆展示、教育和交流功能外，还需兼顾学术报告会间休息之需求，展陈空间要做到动线流畅，布局合理，天花、地面、展壁设计风格统一。</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4）根据展陈空间规划，设计展墙搭建及展示平面、造型装置、展柜及多媒体设备。展示平面</w:t>
            </w:r>
            <w:r>
              <w:rPr>
                <w:rFonts w:ascii="仿宋_gb2312" w:hAnsi="仿宋_gb2312" w:cs="仿宋_gb2312" w:eastAsia="仿宋_gb2312"/>
                <w:sz w:val="32"/>
              </w:rPr>
              <w:t>设计要与展陈大纲、空间、主题、风格相匹配，展柜设计实用、美观、安全，</w:t>
            </w:r>
            <w:r>
              <w:rPr>
                <w:rFonts w:ascii="仿宋_gb2312" w:hAnsi="仿宋_gb2312" w:cs="仿宋_gb2312" w:eastAsia="仿宋_gb2312"/>
                <w:sz w:val="32"/>
              </w:rPr>
              <w:t>展陈</w:t>
            </w:r>
            <w:r>
              <w:rPr>
                <w:rFonts w:ascii="仿宋_gb2312" w:hAnsi="仿宋_gb2312" w:cs="仿宋_gb2312" w:eastAsia="仿宋_gb2312"/>
                <w:sz w:val="32"/>
              </w:rPr>
              <w:t>材料选择恰当，制作工艺先进，施工安装精细。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）供应商需深入了解医院发展历程以及留存的各类文字、图片、视频及实物资料，收集修复整理实物展品，按照展陈设计和专业要求进行陈列摆放，并撰写物件说明和背景故事。</w:t>
            </w:r>
          </w:p>
          <w:p>
            <w:pPr>
              <w:pStyle w:val="null3"/>
              <w:ind w:firstLine="643"/>
              <w:jc w:val="both"/>
            </w:pPr>
            <w:r>
              <w:rPr>
                <w:rFonts w:ascii="仿宋_gb2312" w:hAnsi="仿宋_gb2312" w:cs="仿宋_gb2312" w:eastAsia="仿宋_gb2312"/>
                <w:b/>
                <w:sz w:val="32"/>
              </w:rPr>
              <w:t>4.基础装修</w:t>
            </w:r>
          </w:p>
          <w:p>
            <w:pPr>
              <w:pStyle w:val="null3"/>
              <w:ind w:firstLine="640"/>
              <w:jc w:val="both"/>
            </w:pPr>
            <w:r>
              <w:rPr>
                <w:rFonts w:ascii="仿宋_gb2312" w:hAnsi="仿宋_gb2312" w:cs="仿宋_gb2312" w:eastAsia="仿宋_gb2312"/>
                <w:sz w:val="32"/>
              </w:rPr>
              <w:t>墙、顶、地基础装修（含</w:t>
            </w:r>
            <w:r>
              <w:rPr>
                <w:rFonts w:ascii="仿宋_gb2312" w:hAnsi="仿宋_gb2312" w:cs="仿宋_gb2312" w:eastAsia="仿宋_gb2312"/>
                <w:sz w:val="32"/>
              </w:rPr>
              <w:t>A、D二区电梯入口立面，C区新增墙体），消防、暖通、强弱电系统改造，展厅展示墙、平面、展柜、展品、装置及立体影像设计、制作与安装，展示系统（含灯光、影音播放系统）及设备软硬件集成，一键控制。按交钥匙工程方式完成全部内容，在质保期免费提供保修服务和其他售后服务。</w:t>
            </w:r>
          </w:p>
          <w:p>
            <w:pPr>
              <w:pStyle w:val="null3"/>
              <w:ind w:firstLine="640"/>
              <w:jc w:val="both"/>
            </w:pPr>
            <w:r>
              <w:rPr>
                <w:rFonts w:ascii="仿宋_gb2312" w:hAnsi="仿宋_gb2312" w:cs="仿宋_gb2312" w:eastAsia="仿宋_gb2312"/>
                <w:sz w:val="32"/>
              </w:rPr>
              <w:t>整体的基础装修要以报告厅装修为基准，不可破坏或拆除与报告厅衔接处的任何已完工的基础装修；充分考虑消防、暖通、弱电系统衔接要求。装修范围内的消防在原喷淋基础上进行改造和调整</w:t>
            </w:r>
            <w:r>
              <w:rPr>
                <w:rFonts w:ascii="仿宋_gb2312" w:hAnsi="仿宋_gb2312" w:cs="仿宋_gb2312" w:eastAsia="仿宋_gb2312"/>
                <w:sz w:val="32"/>
              </w:rPr>
              <w:t>,以满足现行有关消防的标准和规定。</w:t>
            </w:r>
          </w:p>
          <w:p>
            <w:pPr>
              <w:pStyle w:val="null3"/>
              <w:ind w:firstLine="640"/>
              <w:jc w:val="both"/>
            </w:pPr>
            <w:r>
              <w:rPr>
                <w:rFonts w:ascii="仿宋_gb2312" w:hAnsi="仿宋_gb2312" w:cs="仿宋_gb2312" w:eastAsia="仿宋_gb2312"/>
                <w:sz w:val="32"/>
              </w:rPr>
              <w:t>如现有电源负荷不能满足设计施工以及电气、暖通、多媒体设备运行要求，中标施工单位根据实际情况，从原有主电源处重新铺设新的动力电源至院史馆。</w:t>
            </w:r>
          </w:p>
          <w:p>
            <w:pPr>
              <w:pStyle w:val="null3"/>
              <w:ind w:firstLine="643"/>
              <w:jc w:val="both"/>
            </w:pPr>
            <w:r>
              <w:rPr>
                <w:rFonts w:ascii="仿宋_gb2312" w:hAnsi="仿宋_gb2312" w:cs="仿宋_gb2312" w:eastAsia="仿宋_gb2312"/>
                <w:b/>
                <w:sz w:val="32"/>
              </w:rPr>
              <w:t>5.多媒体系统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以展陈内容为核心，合理规划设计应用如显示/互动屏、投影、虚拟现实、情景交互、数字导览等多媒体技术，使展示形式与展示内容有机融合。要求多媒体技术使用合理，展示目的明确，规划设计恰当，多媒体展示系统性能先进，易于维护与保养。充分考虑空间环境、参观角度和视觉感受，选择适合的多媒体设备尺寸、规格、型号，搭建合理的软硬件架构。多媒体</w:t>
            </w:r>
            <w:r>
              <w:rPr>
                <w:rFonts w:ascii="仿宋_gb2312" w:hAnsi="仿宋_gb2312" w:cs="仿宋_gb2312" w:eastAsia="仿宋_gb2312"/>
                <w:sz w:val="32"/>
              </w:rPr>
              <w:t>展示</w:t>
            </w:r>
            <w:r>
              <w:rPr>
                <w:rFonts w:ascii="仿宋_gb2312" w:hAnsi="仿宋_gb2312" w:cs="仿宋_gb2312" w:eastAsia="仿宋_gb2312"/>
                <w:sz w:val="32"/>
              </w:rPr>
              <w:t>内容概念设计清晰，资料搜集全面，脚本策划重点突出、创意新颖，内容设计制作精细，亮度、画质、流畅度高，音效好，界面简单，交互设计人性化。</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展厅中控系统可对电器设备、多媒体设备、数字内容播放进行集中管控。要求系统选用WINDOWS电脑主机，具有较强稳定性和扩展性，兼容电脑、IPAD、Andriod平板和手机作为控制终端设备，配套软件丰富，可实现多指令联动控制，系统界面美观简洁，支持功能和UI界面定制。</w:t>
            </w:r>
          </w:p>
          <w:p>
            <w:pPr>
              <w:pStyle w:val="null3"/>
              <w:ind w:firstLine="643"/>
              <w:jc w:val="both"/>
            </w:pPr>
            <w:r>
              <w:rPr>
                <w:rFonts w:ascii="仿宋_gb2312" w:hAnsi="仿宋_gb2312" w:cs="仿宋_gb2312" w:eastAsia="仿宋_gb2312"/>
                <w:b/>
                <w:sz w:val="32"/>
              </w:rPr>
              <w:t>6.相关材料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1）网络联通要同时满足有线模块和无线模块同时支持内容传输。在条件允许下，需接入外网或预留外网配置接口。综合布线网线采用6类康普网线或及以上，6类康普模块或及以上，6类康普配线架或及以上。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2）配电箱进线电缆采用低烟无卤矿物电缆或及以上，结合实际情况配电箱安装浪涌，插座回路安装漏保。配电箱增设停电保护装置，确保多媒体设备在突然断电情况下能够延时自动正常关闭。</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3）普通照明光源采用LED，必须使用国家认证的节能产品。如部署监控，须采用高清摄像头。</w:t>
            </w:r>
          </w:p>
          <w:p>
            <w:pPr>
              <w:pStyle w:val="null3"/>
              <w:ind w:firstLine="640"/>
              <w:jc w:val="both"/>
            </w:pPr>
            <w:r>
              <w:rPr>
                <w:rFonts w:ascii="仿宋_gb2312" w:hAnsi="仿宋_gb2312" w:cs="仿宋_gb2312" w:eastAsia="仿宋_gb2312"/>
                <w:b/>
                <w:sz w:val="32"/>
              </w:rPr>
              <w:t>7.供应商须在磋商响应文件中提交以下方案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1）展陈创意策划及展陈大纲；</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2）设计方案；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3）展陈服务方案；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4）施工方案；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5）确保工期、工程质量、文明施工的措施；</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6）施工机械配备和材料投入计划；</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7）报价清单深化设计；</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3.1施工图预算编制及施工图审核原则 1、中标人应在勘察结果、项目初步设计及本招标文件要求及国家法律法规规定的范围内进行设计。 2、施工图纸设计完成并经招标人对施工图纸（符合招标人设计需求）设计的功能性审核确认无误后，投标人应及时报送采购人协商办理施工图审查手续，施工图审查完成后，投标人应及时编制施工图预算。以上施工图设计经招标人审核的时间不计入工期。 3、施工图预算编制及施工图预算审核原则： 施工图预算及审核应当使用广联达计价软件根据《2009 陕西省建设工程工程量清单计价规则》及相关计价依据，按照工程量清单差价模式进行计算。计价依据为：依据《陕西省建筑装饰工程价目表 2009》、《陕西省安装工程价目表 2009》、《陕西省市政工程价目表 2009》、《陕西省园林绿化工程价目表》和工程所在地最新月份信息价或市场价。施工图预算编制完成后向采购人提交电子版及纸质版造价文件，办理预算审核程序。 4、每个投标人对本工程只允许有一个报价，招标方不接受有任何选择的报价。投标人应提交与招标文件包括技术规格书的要求相符的投标。 5、投标人填报投标总报价及分项报价不得超过本项目采购预算及最高限价，否则按照否决投标处理。</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采购包1：</w:t>
            </w:r>
          </w:p>
          <w:p>
            <w:pPr>
              <w:pStyle w:val="null3"/>
            </w:pPr>
            <w:r>
              <w:rPr/>
              <w:t>职称：二级注册建造师</w:t>
            </w:r>
          </w:p>
          <w:p>
            <w:pPr>
              <w:pStyle w:val="null3"/>
            </w:pPr>
            <w:r>
              <w:rPr/>
              <w:t>专业：建筑工程</w:t>
            </w:r>
          </w:p>
          <w:p>
            <w:pPr>
              <w:pStyle w:val="null3"/>
            </w:pPr>
            <w:r>
              <w:rPr/>
              <w:t>补充说明：无</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3.3.1报价要求： 1、本项目为交钥匙工程，投标总价一次性包死。所有项目支出均含在投标报价中（勘察，设计，施工，设备，安装等完成项目所必须的全部费用），投标人应在充分了解项目全部情况，保障项目完整性。 2、合同价格类型为固定总价合同，除招标人在施工图确定后明确要求进行设计变更或在施工图设计过程中招标人对工程范围、标准等要求做出变更的情况外，一律不做变更。 3、当施工图纸设计完成经招标人审核确认无误后，出现建筑安装工程费明显不足或超出中标单位报价的情况，由中标人承担解决。 4、由于设计不合理或不能满足招标人要求造成的返工、变更或工期延误等，应当由中标人承担的相应风险及责任。 3.3.2工期：自合同签订之日起90日历天。3.3.3质保期：验收合格起不少于1年。</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具备建筑工程专业二级注册建造师或以上建造师执业资格。</w:t>
            </w:r>
          </w:p>
        </w:tc>
        <w:tc>
          <w:tcPr>
            <w:tcW w:type="dxa" w:w="1661"/>
          </w:tcPr>
          <w:p>
            <w:pPr>
              <w:pStyle w:val="null3"/>
            </w:pPr>
            <w:r>
              <w:rPr/>
              <w:t>项目管理机构组成表 供应商应提交的相关资格证明材料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要求供应商以联合体参加，且联合体中中小企业达到100%或参与的供应商（联合体）工程的施工单位全部为符合政策要求的中小企业。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法定代表人身份证明/法定代表人授权书</w:t>
            </w:r>
          </w:p>
        </w:tc>
        <w:tc>
          <w:tcPr>
            <w:tcW w:type="dxa" w:w="3322"/>
          </w:tcPr>
          <w:p>
            <w:pPr>
              <w:pStyle w:val="null3"/>
            </w:pPr>
            <w:r>
              <w:rPr/>
              <w:t>法定代表人授权书：提供法定代表人授权书（附法定代表人、被授权人身份证复印件），（法定代表人直接参加投标，须提供法定代表人身份证明）；</w:t>
            </w:r>
          </w:p>
        </w:tc>
        <w:tc>
          <w:tcPr>
            <w:tcW w:type="dxa" w:w="1661"/>
          </w:tcPr>
          <w:p>
            <w:pPr>
              <w:pStyle w:val="null3"/>
            </w:pPr>
            <w:r>
              <w:rPr/>
              <w:t>法定代表人身份证明及法定代表人授权书 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参加政府采购活动前3年内在经营活动中没有重大违法纪录的书面声明 供应商应提交的相关资格证明材料</w:t>
            </w:r>
          </w:p>
        </w:tc>
      </w:tr>
      <w:tr>
        <w:tc>
          <w:tcPr>
            <w:tcW w:type="dxa" w:w="831"/>
          </w:tcPr>
          <w:p>
            <w:pPr>
              <w:pStyle w:val="null3"/>
            </w:pPr>
            <w:r>
              <w:rPr/>
              <w:t>6</w:t>
            </w:r>
          </w:p>
        </w:tc>
        <w:tc>
          <w:tcPr>
            <w:tcW w:type="dxa" w:w="2492"/>
          </w:tcPr>
          <w:p>
            <w:pPr>
              <w:pStyle w:val="null3"/>
            </w:pPr>
            <w:r>
              <w:rPr/>
              <w:t>资质</w:t>
            </w:r>
          </w:p>
        </w:tc>
        <w:tc>
          <w:tcPr>
            <w:tcW w:type="dxa" w:w="3322"/>
          </w:tcPr>
          <w:p>
            <w:pPr>
              <w:pStyle w:val="null3"/>
            </w:pPr>
            <w:r>
              <w:rPr/>
              <w:t>供应商应具有建筑装修装饰工程专业承包贰级及以上（含贰级）资质，并具备有效的安全生产许可证；供应商应具有建筑装饰工程专项设计乙级及以上（含乙级）资质；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具有履行本合同所必需的设备和专业技术能力的书面声明 供应商应提交的相关资格证明材料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供应商须提供中小企业声明函且必须为中型、小型或微型企业；</w:t>
            </w:r>
          </w:p>
        </w:tc>
        <w:tc>
          <w:tcPr>
            <w:tcW w:type="dxa" w:w="1661"/>
          </w:tcPr>
          <w:p>
            <w:pPr>
              <w:pStyle w:val="null3"/>
            </w:pPr>
            <w:r>
              <w:rPr/>
              <w:t>中小企业声明函</w:t>
            </w:r>
          </w:p>
        </w:tc>
      </w:tr>
      <w:tr>
        <w:tc>
          <w:tcPr>
            <w:tcW w:type="dxa" w:w="831"/>
          </w:tcPr>
          <w:p>
            <w:pPr>
              <w:pStyle w:val="null3"/>
            </w:pPr>
            <w:r>
              <w:rPr/>
              <w:t>9</w:t>
            </w:r>
          </w:p>
        </w:tc>
        <w:tc>
          <w:tcPr>
            <w:tcW w:type="dxa" w:w="2492"/>
          </w:tcPr>
          <w:p>
            <w:pPr>
              <w:pStyle w:val="null3"/>
            </w:pPr>
            <w:r>
              <w:rPr/>
              <w:t>陕西省建筑市场一体化平台查询截图</w:t>
            </w:r>
          </w:p>
        </w:tc>
        <w:tc>
          <w:tcPr>
            <w:tcW w:type="dxa" w:w="3322"/>
          </w:tcPr>
          <w:p>
            <w:pPr>
              <w:pStyle w:val="null3"/>
            </w:pPr>
            <w:r>
              <w:rPr/>
              <w:t>在陕西省建筑市场一体化平台（陕西建设网）企业库可查询（提供查询截图）；</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联合体协议</w:t>
            </w:r>
          </w:p>
        </w:tc>
        <w:tc>
          <w:tcPr>
            <w:tcW w:type="dxa" w:w="3322"/>
          </w:tcPr>
          <w:p>
            <w:pPr>
              <w:pStyle w:val="null3"/>
            </w:pPr>
            <w:r>
              <w:rPr/>
              <w:t>本项目允许联合体磋商（设计及施工），设计单位为联合体牵头人，施工单位为联合体成员。中标后，甲方与联合体牵头人签订合同，不再另行与联合体成员签订合同（提供联合体协议书）。</w:t>
            </w:r>
          </w:p>
        </w:tc>
        <w:tc>
          <w:tcPr>
            <w:tcW w:type="dxa" w:w="1661"/>
          </w:tcPr>
          <w:p>
            <w:pPr>
              <w:pStyle w:val="null3"/>
            </w:pPr>
            <w:r>
              <w:rPr/>
              <w:t>供应商应提交的相关资格证明材料 联合体协议书</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按照磋商文件格式要求进行签署盖章。</w:t>
            </w:r>
          </w:p>
        </w:tc>
        <w:tc>
          <w:tcPr>
            <w:tcW w:type="dxa" w:w="1661"/>
          </w:tcPr>
          <w:p>
            <w:pPr>
              <w:pStyle w:val="null3"/>
            </w:pPr>
            <w:r>
              <w:rPr/>
              <w:t>法定代表人身份证明及法定代表人授权书 中小企业声明函 技术服务合同条款及其他商务要求应答表 供应商应提交的相关资格证明材料 联合体协议书 磋商方案说明书 响应文件封面 具有履行本合同所必需的设备和专业技术能力的书面声明 项目管理机构组成表 参加政府采购活动前3年内在经营活动中没有重大违法纪录的书面声明 残疾人福利性单位声明函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符合“磋商响应文件格式” 的规定</w:t>
            </w:r>
          </w:p>
        </w:tc>
        <w:tc>
          <w:tcPr>
            <w:tcW w:type="dxa" w:w="1661"/>
          </w:tcPr>
          <w:p>
            <w:pPr>
              <w:pStyle w:val="null3"/>
            </w:pPr>
            <w:r>
              <w:rPr/>
              <w:t>法定代表人身份证明及法定代表人授权书 中小企业声明函 技术服务合同条款及其他商务要求应答表 供应商应提交的相关资格证明材料 联合体协议书 磋商方案说明书 响应文件封面 具有履行本合同所必需的设备和专业技术能力的书面声明 项目管理机构组成表 参加政府采购活动前3年内在经营活动中没有重大违法纪录的书面声明 残疾人福利性单位声明函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报价函</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技术服务合同条款及其他商务要求应答表</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投标人应提供2020年1月起至今的展陈类或环境文化类同类设计或施工项目业绩的证明材料，时间以合同签订日期为准，（文件中附成交/中标通知书或合同复印件），每提供一项上述业绩的得1分，最高得7分。证明材料不全的不予赋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供应商类似项目业绩一览表</w:t>
            </w:r>
          </w:p>
          <w:p>
            <w:pPr>
              <w:pStyle w:val="null3"/>
            </w:pPr>
            <w:r>
              <w:rPr/>
              <w:t>磋商方案说明书</w:t>
            </w:r>
          </w:p>
        </w:tc>
      </w:tr>
      <w:tr>
        <w:tc>
          <w:tcPr>
            <w:tcW w:type="dxa" w:w="831"/>
            <w:vMerge/>
          </w:tcPr>
          <w:p/>
        </w:tc>
        <w:tc>
          <w:tcPr>
            <w:tcW w:type="dxa" w:w="1661"/>
          </w:tcPr>
          <w:p>
            <w:pPr>
              <w:pStyle w:val="null3"/>
            </w:pPr>
            <w:r>
              <w:rPr/>
              <w:t>认证体系</w:t>
            </w:r>
          </w:p>
        </w:tc>
        <w:tc>
          <w:tcPr>
            <w:tcW w:type="dxa" w:w="2492"/>
          </w:tcPr>
          <w:p>
            <w:pPr>
              <w:pStyle w:val="null3"/>
            </w:pPr>
            <w:r>
              <w:rPr/>
              <w:t>企业管理体系认证情况： （1）供应商具有质量管理体系认证证书（有效期内）的，得1分，否则不得分。 （2）供应商具有环境管理体系认证证书（有效期内）的，得1分，否则不得分。 （3）供应商具有职业健康安全管理体系认证证书（有效期内）的，得1分，否则不得分。 证明材料：提供认证证书复印件。</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项目部组成人员</w:t>
            </w:r>
          </w:p>
        </w:tc>
        <w:tc>
          <w:tcPr>
            <w:tcW w:type="dxa" w:w="2492"/>
          </w:tcPr>
          <w:p>
            <w:pPr>
              <w:pStyle w:val="null3"/>
            </w:pPr>
            <w:r>
              <w:rPr/>
              <w:t>项目团队技术人员配备合理，满足本项目需求，依据配备情况得1~3分。 1.设计负责人具备二级及（含二级）以上注册建筑师资格的加1分。 2.项目部组成人员获过设计类或施工类项目国家级奖项的加1分（提供获奖证书复印件）。</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磋商方案说明书</w:t>
            </w:r>
          </w:p>
        </w:tc>
      </w:tr>
      <w:tr>
        <w:tc>
          <w:tcPr>
            <w:tcW w:type="dxa" w:w="831"/>
            <w:vMerge/>
          </w:tcPr>
          <w:p/>
        </w:tc>
        <w:tc>
          <w:tcPr>
            <w:tcW w:type="dxa" w:w="1661"/>
          </w:tcPr>
          <w:p>
            <w:pPr>
              <w:pStyle w:val="null3"/>
            </w:pPr>
            <w:r>
              <w:rPr/>
              <w:t>展陈创意策划及展陈大纲</w:t>
            </w:r>
          </w:p>
        </w:tc>
        <w:tc>
          <w:tcPr>
            <w:tcW w:type="dxa" w:w="2492"/>
          </w:tcPr>
          <w:p>
            <w:pPr>
              <w:pStyle w:val="null3"/>
            </w:pPr>
            <w:r>
              <w:rPr/>
              <w:t>1.能深入挖掘陕西省人民医院历史文化，在内容设计、空间布局、实物展览等风格上要充分体现出陕西省人民医院的文化底蕴。（0-4分） 2.历史分期科学、展陈层次鲜明，既要反映医院的历史足迹和历史地位，更要体现医院建院以来来所取得的重要成果与成就，同时也要为未来的重要事件留有篇章和展示空间。（0-4分） 3.展陈大纲结构完整、内容完备，文字提炼及总结准确到位。（0-4分） 4.展陈策划理念先进，创意新颖，内容与形式有机融合。（0-3分）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设计方案现场展示</w:t>
            </w:r>
          </w:p>
        </w:tc>
        <w:tc>
          <w:tcPr>
            <w:tcW w:type="dxa" w:w="2492"/>
          </w:tcPr>
          <w:p>
            <w:pPr>
              <w:pStyle w:val="null3"/>
            </w:pPr>
            <w:r>
              <w:rPr/>
              <w:t>展示内容包括但不限于展陈创意策划及展陈大纲、展陈空间设计方案、平面设计方案、展览整体氛围设计方案等。展示形式不限于视频、蓝图等，磋商小组依据供应商提供的设计方案，综合赋分，展示讲解时间限时15分钟。（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设计方案</w:t>
            </w:r>
          </w:p>
        </w:tc>
        <w:tc>
          <w:tcPr>
            <w:tcW w:type="dxa" w:w="2492"/>
          </w:tcPr>
          <w:p>
            <w:pPr>
              <w:pStyle w:val="null3"/>
            </w:pPr>
            <w:r>
              <w:rPr/>
              <w:t>1.出具展陈空间设计方案，对参观流线及各空间之间的关系进行合理处理，根据设计方案的科学性、合理性及创造性进行评分。（0-4分） 2.出具初步的平面设计方案，对其与展陈大纲、空间、主题、风格的匹配度及美观性进行评分。（0-4分） 3.根据展陈需要，设计展览整体灯光、氛围营造，根据设计方案的合理性及艺术性进行评分。（0-4分） 4.展厅多媒体呈现设计，运用多媒体等设备提升参观者的体验感与展览的互动性。根据设计方案的合理性进行评分。（0-3分）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展陈服务</w:t>
            </w:r>
          </w:p>
        </w:tc>
        <w:tc>
          <w:tcPr>
            <w:tcW w:type="dxa" w:w="2492"/>
          </w:tcPr>
          <w:p>
            <w:pPr>
              <w:pStyle w:val="null3"/>
            </w:pPr>
            <w:r>
              <w:rPr/>
              <w:t>展品搜集、整理及保护方式方法得当，陈列摆放科学规范，能准确描述物件说明和背景故事。（0-4分）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施工方案</w:t>
            </w:r>
          </w:p>
        </w:tc>
        <w:tc>
          <w:tcPr>
            <w:tcW w:type="dxa" w:w="2492"/>
          </w:tcPr>
          <w:p>
            <w:pPr>
              <w:pStyle w:val="null3"/>
            </w:pPr>
            <w:r>
              <w:rPr/>
              <w:t>按照本项目要求提供详细完善的装修改造、设备安装施工方案。方案科学合理、可行性强，并有针对性且符合国家要求的计 2.1-5分；方案基本完整、可行性较差计0-2 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确保工期的技术组织措施。措施完善、合理可行计 1.1-2分；措施欠缺、不利于项目实施计 0.1-1 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确保工程质量技术组织措施</w:t>
            </w:r>
          </w:p>
        </w:tc>
        <w:tc>
          <w:tcPr>
            <w:tcW w:type="dxa" w:w="2492"/>
          </w:tcPr>
          <w:p>
            <w:pPr>
              <w:pStyle w:val="null3"/>
            </w:pPr>
            <w:r>
              <w:rPr/>
              <w:t>确保工程质量技术组织措施。措施完善、合理可行计1.1-2 分；措施欠缺、不利于项目实施计 0.1-1分。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确保文明施工措施及施工期间不影响采购单位秩序的保证措施</w:t>
            </w:r>
          </w:p>
        </w:tc>
        <w:tc>
          <w:tcPr>
            <w:tcW w:type="dxa" w:w="2492"/>
          </w:tcPr>
          <w:p>
            <w:pPr>
              <w:pStyle w:val="null3"/>
            </w:pPr>
            <w:r>
              <w:rPr/>
              <w:t>确保文明施工措施及施工期间不影响采购单位秩序的保证措施，保证措施科学合理，可操作性强计 1.1-2，保证措施基本合理，可操作性一般计 0.1-1 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提供拟配备施工机械及拟投入材料明细，提供完整计 1.1-2分，过于简单计 0.1-1分，未提供不得分。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报价清单的深化设计</w:t>
            </w:r>
          </w:p>
        </w:tc>
        <w:tc>
          <w:tcPr>
            <w:tcW w:type="dxa" w:w="2492"/>
          </w:tcPr>
          <w:p>
            <w:pPr>
              <w:pStyle w:val="null3"/>
            </w:pPr>
            <w:r>
              <w:rPr/>
              <w:t>供应商根据意向设计，在“主要工作内容清单”的基础上进行深化，提供完整、详细、具有可操作性的报价清单。（0-2分）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1.经评审合格的磋商响应文件，其磋商最终报价为有效投标报价进行价格评审。 2.有效最低报价为基准价得30分。 3.按（有效最低报价/有效磋商报价）×30的公式计算其得分。 4.磋商报价不完整的，不进入评标基准价的计算，本项得0分。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详见附件：参加政府采购活动前3年内在经营活动中没有重大违法纪录的书面声明</w:t>
      </w:r>
    </w:p>
    <w:p>
      <w:pPr>
        <w:pStyle w:val="null3"/>
        <w:ind w:firstLine="960"/>
      </w:pPr>
      <w:r>
        <w:rPr/>
        <w:t>详见附件：磋商方案说明书</w:t>
      </w:r>
    </w:p>
    <w:p>
      <w:pPr>
        <w:pStyle w:val="null3"/>
        <w:ind w:firstLine="960"/>
      </w:pPr>
      <w:r>
        <w:rPr/>
        <w:t>详见附件：具有履行本合同所必需的设备和专业技术能力的书面声明</w:t>
      </w:r>
    </w:p>
    <w:p>
      <w:pPr>
        <w:pStyle w:val="null3"/>
        <w:ind w:firstLine="960"/>
      </w:pPr>
      <w:r>
        <w:rPr/>
        <w:t>详见附件：联合体协议书</w:t>
      </w:r>
    </w:p>
    <w:p>
      <w:pPr>
        <w:pStyle w:val="null3"/>
        <w:ind w:firstLine="960"/>
      </w:pPr>
      <w:r>
        <w:rPr/>
        <w:t>详见附件：陕西省政府采购供应商拒绝政府采购领域商业贿赂承诺书</w:t>
      </w:r>
    </w:p>
    <w:p>
      <w:pPr>
        <w:pStyle w:val="null3"/>
        <w:ind w:firstLine="960"/>
      </w:pPr>
      <w:r>
        <w:rPr/>
        <w:t>详见附件：法定代表人身份证明及法定代表人授权书</w:t>
      </w:r>
    </w:p>
    <w:p>
      <w:pPr>
        <w:pStyle w:val="null3"/>
      </w:pPr>
      <w:r>
        <w:rPr/>
        <w:t xml:space="preserve"> </w:t>
      </w:r>
    </w:p>
    <w:p>
      <w:pPr>
        <w:pStyle w:val="null3"/>
        <w:jc w:val="center"/>
        <w:outlineLvl w:val="1"/>
      </w:pPr>
      <w:r>
        <w:rPr>
          <w:b/>
          <w:sz w:val="36"/>
        </w:rPr>
        <w:t>第八章 拟签订采购合同文本</w:t>
      </w:r>
    </w:p>
    <w:p>
      <w:pPr>
        <w:pStyle w:val="null3"/>
      </w:pPr>
      <w:r>
        <w:rPr/>
        <w:t>详见附件：拟签订的合同文本.docx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