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热敏灸治疗仪等3种设备采购项目</w:t>
      </w:r>
    </w:p>
    <w:p>
      <w:pPr>
        <w:pStyle w:val="null3"/>
        <w:jc w:val="center"/>
        <w:outlineLvl w:val="2"/>
      </w:pPr>
      <w:r>
        <w:rPr>
          <w:b/>
          <w:sz w:val="28"/>
        </w:rPr>
        <w:t>采购项目编号：</w:t>
      </w:r>
      <w:r>
        <w:rPr>
          <w:b/>
          <w:sz w:val="28"/>
        </w:rPr>
        <w:t>HRC-ZBDL-2023-01967</w:t>
      </w:r>
      <w:r>
        <w:br/>
      </w:r>
      <w:r>
        <w:br/>
      </w:r>
      <w:r>
        <w:br/>
      </w:r>
    </w:p>
    <w:p>
      <w:pPr>
        <w:pStyle w:val="null3"/>
        <w:jc w:val="center"/>
        <w:outlineLvl w:val="2"/>
      </w:pPr>
      <w:r>
        <w:rPr>
          <w:b/>
          <w:sz w:val="28"/>
        </w:rPr>
        <w:t>陕西省中医医院</w:t>
      </w:r>
    </w:p>
    <w:p>
      <w:pPr>
        <w:pStyle w:val="null3"/>
        <w:jc w:val="center"/>
        <w:outlineLvl w:val="2"/>
      </w:pPr>
      <w:r>
        <w:rPr>
          <w:b/>
          <w:sz w:val="28"/>
        </w:rPr>
        <w:t>华睿诚项目管理有限公司</w:t>
      </w:r>
      <w:r>
        <w:rPr>
          <w:b/>
          <w:sz w:val="28"/>
        </w:rPr>
        <w:t>共同编制</w:t>
      </w:r>
    </w:p>
    <w:p>
      <w:pPr>
        <w:pStyle w:val="null3"/>
        <w:jc w:val="center"/>
        <w:outlineLvl w:val="2"/>
      </w:pPr>
      <w:r>
        <w:rPr>
          <w:b/>
          <w:sz w:val="28"/>
        </w:rPr>
        <w:t>2024年02月06日</w:t>
      </w:r>
    </w:p>
    <w:p>
      <w:pPr>
        <w:pStyle w:val="null3"/>
      </w:pPr>
      <w:r>
        <w:rPr/>
        <w:t xml:space="preserve"> </w:t>
      </w:r>
    </w:p>
    <w:p>
      <w:pPr>
        <w:pStyle w:val="null3"/>
        <w:jc w:val="center"/>
        <w:outlineLvl w:val="1"/>
      </w:pPr>
      <w:r>
        <w:rPr>
          <w:b/>
          <w:sz w:val="36"/>
        </w:rPr>
        <w:t>第一章 投标邀请</w:t>
      </w:r>
    </w:p>
    <w:p>
      <w:pPr>
        <w:pStyle w:val="null3"/>
        <w:ind w:firstLine="480"/>
      </w:pPr>
      <w:r>
        <w:rPr/>
        <w:t>华睿诚项目管理有限公司</w:t>
      </w:r>
      <w:r>
        <w:rPr/>
        <w:t>（以下简称“代理机构”）受</w:t>
      </w:r>
      <w:r>
        <w:rPr/>
        <w:t>陕西省中医医院</w:t>
      </w:r>
      <w:r>
        <w:rPr/>
        <w:t>委托，拟对</w:t>
      </w:r>
      <w:r>
        <w:rPr/>
        <w:t>热敏灸治疗仪等3种设备采购项目</w:t>
      </w:r>
      <w:r>
        <w:rPr/>
        <w:t>进行国内公开招标，兹邀请符合本次招标要求的供应商参加投标。</w:t>
      </w:r>
    </w:p>
    <w:p>
      <w:pPr>
        <w:pStyle w:val="null3"/>
        <w:outlineLvl w:val="2"/>
      </w:pPr>
      <w:r>
        <w:rPr>
          <w:b/>
          <w:sz w:val="28"/>
        </w:rPr>
        <w:t>一、采购项目编号：</w:t>
      </w:r>
      <w:r>
        <w:rPr>
          <w:b/>
          <w:sz w:val="28"/>
        </w:rPr>
        <w:t>HRC-ZBDL-2023-01967</w:t>
      </w:r>
    </w:p>
    <w:p>
      <w:pPr>
        <w:pStyle w:val="null3"/>
        <w:outlineLvl w:val="2"/>
      </w:pPr>
      <w:r>
        <w:rPr>
          <w:b/>
          <w:sz w:val="28"/>
        </w:rPr>
        <w:t>二、采购项目名称：</w:t>
      </w:r>
      <w:r>
        <w:rPr>
          <w:b/>
          <w:sz w:val="28"/>
        </w:rPr>
        <w:t>热敏灸治疗仪等3种设备采购项目</w:t>
      </w:r>
    </w:p>
    <w:p>
      <w:pPr>
        <w:pStyle w:val="null3"/>
        <w:outlineLvl w:val="2"/>
      </w:pPr>
      <w:r>
        <w:rPr>
          <w:b/>
          <w:sz w:val="28"/>
        </w:rPr>
        <w:t>三、招标项目简介</w:t>
      </w:r>
    </w:p>
    <w:p>
      <w:pPr>
        <w:pStyle w:val="null3"/>
        <w:ind w:firstLine="480"/>
      </w:pPr>
      <w:r>
        <w:rPr/>
        <w:t>热敏灸治疗仪等3种设备采购等，具体内容详见采购文件。</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采购包1（转运呼吸机、心肺复苏机）：属于专门面向中小企业采购。</w:t>
      </w:r>
    </w:p>
    <w:p>
      <w:pPr>
        <w:pStyle w:val="null3"/>
      </w:pPr>
      <w:r>
        <w:rPr/>
        <w:t>采购包2（热敏灸治疗仪）：属于专门面向中小企业采购。</w:t>
      </w:r>
    </w:p>
    <w:p>
      <w:pPr>
        <w:pStyle w:val="null3"/>
        <w:ind w:firstLine="480"/>
      </w:pPr>
      <w:r>
        <w:rPr/>
        <w:t>（三）本项目的特定资格要求：</w:t>
      </w:r>
    </w:p>
    <w:p>
      <w:pPr>
        <w:pStyle w:val="null3"/>
      </w:pPr>
      <w:r>
        <w:rPr/>
        <w:t>采购包1：</w:t>
      </w:r>
    </w:p>
    <w:p>
      <w:pPr>
        <w:pStyle w:val="null3"/>
      </w:pPr>
      <w:r>
        <w:rPr/>
        <w:t>1、投标人资格要求：投标人为制造厂家的应出具医疗器械生产许可证（提供的设备须在其生产范围内）和所投设备医疗器械注册证；投标人为经销商的应出具医疗器械经营许可证或《第二类医疗器械经营备案凭证》（提供的设备须在其经营范围内）和所投产品《医疗器械注册证》</w:t>
      </w:r>
    </w:p>
    <w:p>
      <w:pPr>
        <w:pStyle w:val="null3"/>
      </w:pPr>
      <w:r>
        <w:rPr/>
        <w:t>2、投标人资格要求：投标保证金缴纳凭证</w:t>
      </w:r>
    </w:p>
    <w:p>
      <w:pPr>
        <w:pStyle w:val="null3"/>
      </w:pPr>
      <w:r>
        <w:rPr/>
        <w:t>3、投标人信用要求：截止至投标文件递交截止时间之前，投标人不得在“信用中国”网站（www.creditchina.gov.cn）中被列入严重失信z主体名单查询、未在“中国执行信息公开网”（http：/zxgk.court.gov.cn/shixin/）中被列入失信被执行人、“中国政府采购网(www.ccgp.gov.cn)” 不得被列入政府采购严重违法失信行为记录名单；</w:t>
      </w:r>
    </w:p>
    <w:p>
      <w:pPr>
        <w:pStyle w:val="null3"/>
      </w:pPr>
      <w:r>
        <w:rPr/>
        <w:t>采购包2：</w:t>
      </w:r>
    </w:p>
    <w:p>
      <w:pPr>
        <w:pStyle w:val="null3"/>
      </w:pPr>
      <w:r>
        <w:rPr/>
        <w:t>1、投标人资格要求：投标人为制造厂家的应出具医疗器械生产许可证（提供的设备须在其生产范围内）和所投设备医疗器械注册证；投标人为经销商的应出具医疗器械经营许可证或《第二类医疗器械经营备案凭证》（提供的设备须在其经营范围内）和所投产品《医疗器械注册证》</w:t>
      </w:r>
    </w:p>
    <w:p>
      <w:pPr>
        <w:pStyle w:val="null3"/>
      </w:pPr>
      <w:r>
        <w:rPr/>
        <w:t>2、投标人资格要求：投标保证金缴纳凭证</w:t>
      </w:r>
    </w:p>
    <w:p>
      <w:pPr>
        <w:pStyle w:val="null3"/>
      </w:pPr>
      <w:r>
        <w:rPr/>
        <w:t>3、投标人信用要求：截止至投标文件递交截止时间之前，投标人不得在“信用中国”网站（www.creditchina.gov.cn）中被列入严重失信z主体名单查询、未在“中国执行信息公开网”（http：/zxgk.court.gov.cn/shixin/）中被列入失信被执行人、“中国政府采购网(www.ccgp.gov.cn)” 不得被列入政府采购严重违法失信行为记录名单；</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陕西省中医医院</w:t>
      </w:r>
    </w:p>
    <w:p>
      <w:pPr>
        <w:pStyle w:val="null3"/>
      </w:pPr>
      <w:r>
        <w:rPr/>
        <w:t xml:space="preserve"> 地址： </w:t>
      </w:r>
      <w:r>
        <w:rPr/>
        <w:t>陕西省西安市西华门2号</w:t>
      </w:r>
    </w:p>
    <w:p>
      <w:pPr>
        <w:pStyle w:val="null3"/>
      </w:pPr>
      <w:r>
        <w:rPr/>
        <w:t xml:space="preserve"> 邮编： </w:t>
      </w:r>
      <w:r>
        <w:rPr/>
        <w:t>710000</w:t>
      </w:r>
    </w:p>
    <w:p>
      <w:pPr>
        <w:pStyle w:val="null3"/>
      </w:pPr>
      <w:r>
        <w:rPr/>
        <w:t xml:space="preserve"> 联系人： </w:t>
      </w:r>
      <w:r>
        <w:rPr/>
        <w:t>刘老师</w:t>
      </w:r>
    </w:p>
    <w:p>
      <w:pPr>
        <w:pStyle w:val="null3"/>
      </w:pPr>
      <w:r>
        <w:rPr/>
        <w:t xml:space="preserve"> 联系电话： </w:t>
      </w:r>
      <w:r>
        <w:rPr/>
        <w:t>029-87252581</w:t>
      </w:r>
    </w:p>
    <w:p>
      <w:pPr>
        <w:pStyle w:val="null3"/>
        <w:outlineLvl w:val="2"/>
      </w:pPr>
      <w:r>
        <w:rPr>
          <w:b/>
          <w:sz w:val="28"/>
        </w:rPr>
        <w:t>代理机构：</w:t>
      </w:r>
      <w:r>
        <w:rPr>
          <w:b/>
          <w:sz w:val="28"/>
        </w:rPr>
        <w:t>华睿诚项目管理有限公司</w:t>
      </w:r>
    </w:p>
    <w:p>
      <w:pPr>
        <w:pStyle w:val="null3"/>
      </w:pPr>
      <w:r>
        <w:rPr/>
        <w:t xml:space="preserve"> 地址： </w:t>
      </w:r>
      <w:r>
        <w:rPr/>
        <w:t>西安市曲江新区雁翔路3269号旺座曲江E座29层</w:t>
      </w:r>
    </w:p>
    <w:p>
      <w:pPr>
        <w:pStyle w:val="null3"/>
      </w:pPr>
      <w:r>
        <w:rPr/>
        <w:t xml:space="preserve"> 邮编： </w:t>
      </w:r>
      <w:r>
        <w:rPr/>
        <w:t>710000</w:t>
      </w:r>
    </w:p>
    <w:p>
      <w:pPr>
        <w:pStyle w:val="null3"/>
      </w:pPr>
      <w:r>
        <w:rPr/>
        <w:t xml:space="preserve"> 联系人： </w:t>
      </w:r>
      <w:r>
        <w:rPr/>
        <w:t>赵小东</w:t>
      </w:r>
    </w:p>
    <w:p>
      <w:pPr>
        <w:pStyle w:val="null3"/>
      </w:pPr>
      <w:r>
        <w:rPr/>
        <w:t xml:space="preserve"> 联系电话： </w:t>
      </w:r>
      <w:r>
        <w:rPr/>
        <w:t>17392830294</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采购包1：450,000.00元</w:t>
            </w:r>
          </w:p>
          <w:p>
            <w:pPr>
              <w:pStyle w:val="null3"/>
            </w:pPr>
            <w:r>
              <w:rPr/>
              <w:t>采购包2：280,000.00元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采购包1保证金金额：8,000.00元</w:t>
            </w:r>
          </w:p>
          <w:p>
            <w:pPr>
              <w:pStyle w:val="null3"/>
            </w:pPr>
            <w:r>
              <w:rPr/>
              <w:t>采购包2保证金金额：5,000.00元</w:t>
            </w:r>
          </w:p>
          <w:p>
            <w:pPr>
              <w:pStyle w:val="null3"/>
            </w:pPr>
            <w:r>
              <w:rPr/>
              <w:t>缴交渠道：转账、支票、汇票等（需通过实体账户、户名及开户行信息）</w:t>
            </w:r>
          </w:p>
          <w:p>
            <w:pPr>
              <w:pStyle w:val="null3"/>
            </w:pPr>
            <w:r>
              <w:rPr/>
              <w:t>开户名称：华睿诚项目管理有限公司</w:t>
            </w:r>
          </w:p>
          <w:p>
            <w:pPr>
              <w:pStyle w:val="null3"/>
            </w:pPr>
            <w:r>
              <w:rPr/>
              <w:t>开户银行：平安银行西安分行营业部/平安银行西安分行</w:t>
            </w:r>
          </w:p>
          <w:p>
            <w:pPr>
              <w:pStyle w:val="null3"/>
            </w:pPr>
            <w:r>
              <w:rPr/>
              <w:t>银行账号：30205868005353</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依据《国家计委关于印发招标代理服务收费管理暂行办法的通知》（计价格〔2002〕1980号）和国家发改委办公厅《关于招标代理服务收费有关问题的通知》（发改办价格〔2003〕857号）文件规定标准下浮20%收取。具体收费金额将在中标公告中公布。</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陕西省中医医院</w:t>
      </w:r>
      <w:r>
        <w:rPr/>
        <w:t>和</w:t>
      </w:r>
      <w:r>
        <w:rPr/>
        <w:t>华睿诚项目管理有限公司</w:t>
      </w:r>
      <w:r>
        <w:rPr/>
        <w:t>享有。对招标文件中供应商参加本次政府采购活动应当具备的条件，招标项目技术、服务、商务及其他要求，评标细则及标准由</w:t>
      </w:r>
      <w:r>
        <w:rPr/>
        <w:t>陕西省中医医院</w:t>
      </w:r>
      <w:r>
        <w:rPr/>
        <w:t>负责解释。除上述招标文件内容，其他内容由</w:t>
      </w:r>
      <w:r>
        <w:rPr/>
        <w:t>华睿诚项目管理有限公司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陕西省中医医院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华睿诚项目管理有限公司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验收依据合同文本；国家有关的验收标准及规范；招标文件；投标文件。</w:t>
      </w:r>
    </w:p>
    <w:p>
      <w:pPr>
        <w:pStyle w:val="null3"/>
      </w:pPr>
      <w:r>
        <w:rPr/>
        <w:t>采购包2：</w:t>
      </w:r>
    </w:p>
    <w:p>
      <w:pPr>
        <w:pStyle w:val="null3"/>
      </w:pPr>
      <w:r>
        <w:rPr/>
        <w:t>验收依据合同文本；国家有关的验收标准及规范；招标文件；投标文件。</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华睿诚项目管理有限公司</w:t>
      </w:r>
      <w:r>
        <w:rPr/>
        <w:t xml:space="preserve"> 负责答复；供应商对除采购需求外的采购文件的询问、质疑由</w:t>
      </w:r>
      <w:r>
        <w:rPr/>
        <w:t>华睿诚项目管理有限公司</w:t>
      </w:r>
      <w:r>
        <w:rPr/>
        <w:t xml:space="preserve"> 负责答复；供应商对采购过程、采购结果的询问、质疑由 </w:t>
      </w:r>
      <w:r>
        <w:rPr/>
        <w:t>华睿诚项目管理有限公司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联系人：赵小东</w:t>
      </w:r>
    </w:p>
    <w:p>
      <w:pPr>
        <w:pStyle w:val="null3"/>
      </w:pPr>
      <w:r>
        <w:rPr/>
        <w:t>联系电话：17392830294</w:t>
      </w:r>
    </w:p>
    <w:p>
      <w:pPr>
        <w:pStyle w:val="null3"/>
      </w:pPr>
      <w:r>
        <w:rPr/>
        <w:t>地址：西安市曲江新区雁翔路3269号旺座曲江E座29层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rFonts w:ascii="宋体" w:hAnsi="宋体" w:cs="宋体" w:eastAsia="宋体"/>
          <w:sz w:val="21"/>
        </w:rPr>
        <w:t>热敏灸治疗仪等3种设备采购</w:t>
      </w:r>
    </w:p>
    <w:p>
      <w:pPr>
        <w:pStyle w:val="null3"/>
        <w:outlineLvl w:val="2"/>
      </w:pPr>
      <w:r>
        <w:rPr>
          <w:b/>
          <w:sz w:val="28"/>
        </w:rPr>
        <w:t>3.2采购内容</w:t>
      </w:r>
    </w:p>
    <w:p>
      <w:pPr>
        <w:pStyle w:val="null3"/>
      </w:pPr>
      <w:r>
        <w:rPr/>
        <w:t>采购包1：</w:t>
      </w:r>
    </w:p>
    <w:p>
      <w:pPr>
        <w:pStyle w:val="null3"/>
      </w:pPr>
      <w:r>
        <w:rPr/>
        <w:t>采购包预算金额（元）: 450,000.00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转运呼吸机</w:t>
            </w:r>
          </w:p>
        </w:tc>
        <w:tc>
          <w:tcPr>
            <w:tcW w:type="dxa" w:w="831"/>
          </w:tcPr>
          <w:p>
            <w:pPr>
              <w:pStyle w:val="null3"/>
              <w:jc w:val="right"/>
            </w:pPr>
            <w:r>
              <w:rPr/>
              <w:t>1.00</w:t>
            </w:r>
          </w:p>
        </w:tc>
        <w:tc>
          <w:tcPr>
            <w:tcW w:type="dxa" w:w="831"/>
          </w:tcPr>
          <w:p>
            <w:pPr>
              <w:pStyle w:val="null3"/>
              <w:jc w:val="right"/>
            </w:pPr>
            <w:r>
              <w:rPr/>
              <w:t>200,000.00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心肺复苏机</w:t>
            </w:r>
          </w:p>
        </w:tc>
        <w:tc>
          <w:tcPr>
            <w:tcW w:type="dxa" w:w="831"/>
          </w:tcPr>
          <w:p>
            <w:pPr>
              <w:pStyle w:val="null3"/>
              <w:jc w:val="right"/>
            </w:pPr>
            <w:r>
              <w:rPr/>
              <w:t>1.00</w:t>
            </w:r>
          </w:p>
        </w:tc>
        <w:tc>
          <w:tcPr>
            <w:tcW w:type="dxa" w:w="831"/>
          </w:tcPr>
          <w:p>
            <w:pPr>
              <w:pStyle w:val="null3"/>
              <w:jc w:val="right"/>
            </w:pPr>
            <w:r>
              <w:rPr/>
              <w:t>250,000.00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280,000.00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热敏灸治疗仪</w:t>
            </w:r>
          </w:p>
        </w:tc>
        <w:tc>
          <w:tcPr>
            <w:tcW w:type="dxa" w:w="831"/>
          </w:tcPr>
          <w:p>
            <w:pPr>
              <w:pStyle w:val="null3"/>
              <w:jc w:val="right"/>
            </w:pPr>
            <w:r>
              <w:rPr/>
              <w:t>2.00</w:t>
            </w:r>
          </w:p>
        </w:tc>
        <w:tc>
          <w:tcPr>
            <w:tcW w:type="dxa" w:w="831"/>
          </w:tcPr>
          <w:p>
            <w:pPr>
              <w:pStyle w:val="null3"/>
              <w:jc w:val="right"/>
            </w:pPr>
            <w:r>
              <w:rPr/>
              <w:t>280,000.00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标的名称：转运呼吸机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pPr>
            <w:r>
              <w:rPr>
                <w:rFonts w:ascii="宋体" w:hAnsi="宋体" w:cs="宋体" w:eastAsia="宋体"/>
                <w:sz w:val="21"/>
              </w:rPr>
              <w:t>▲</w:t>
            </w:r>
            <w:r>
              <w:rPr>
                <w:rFonts w:ascii="宋体" w:hAnsi="宋体" w:cs="宋体" w:eastAsia="宋体"/>
                <w:sz w:val="18"/>
              </w:rPr>
              <w:t>2.电动电控呼吸机（内置涡轮驱动产生空气气源），无须气源驱动。</w:t>
            </w:r>
          </w:p>
          <w:p>
            <w:pPr>
              <w:pStyle w:val="null3"/>
            </w:pPr>
            <w:r>
              <w:rPr>
                <w:rFonts w:ascii="宋体" w:hAnsi="宋体" w:cs="宋体" w:eastAsia="宋体"/>
                <w:sz w:val="18"/>
              </w:rPr>
              <w:t>4.设置参数</w:t>
            </w:r>
          </w:p>
          <w:p>
            <w:pPr>
              <w:pStyle w:val="null3"/>
            </w:pPr>
            <w:r>
              <w:rPr>
                <w:rFonts w:ascii="宋体" w:hAnsi="宋体" w:cs="宋体" w:eastAsia="宋体"/>
                <w:sz w:val="21"/>
              </w:rPr>
              <w:t>▲</w:t>
            </w:r>
            <w:r>
              <w:rPr>
                <w:rFonts w:ascii="宋体" w:hAnsi="宋体" w:cs="宋体" w:eastAsia="宋体"/>
                <w:sz w:val="18"/>
              </w:rPr>
              <w:t>4.1潮气量：20ml-2200ml</w:t>
            </w:r>
          </w:p>
          <w:p>
            <w:pPr>
              <w:pStyle w:val="null3"/>
            </w:pPr>
            <w:r>
              <w:rPr>
                <w:rFonts w:ascii="宋体" w:hAnsi="宋体" w:cs="宋体" w:eastAsia="宋体"/>
                <w:sz w:val="21"/>
              </w:rPr>
              <w:t>▲</w:t>
            </w:r>
            <w:r>
              <w:rPr>
                <w:rFonts w:ascii="宋体" w:hAnsi="宋体" w:cs="宋体" w:eastAsia="宋体"/>
                <w:sz w:val="18"/>
              </w:rPr>
              <w:t>5.具有智能同步技术：根据病人的肺特性，智能动态调节【呼气触发】至最佳值。</w:t>
            </w:r>
          </w:p>
          <w:p>
            <w:pPr>
              <w:pStyle w:val="null3"/>
            </w:pPr>
            <w:r>
              <w:rPr>
                <w:rFonts w:ascii="宋体" w:hAnsi="宋体" w:cs="宋体" w:eastAsia="宋体"/>
                <w:sz w:val="21"/>
              </w:rPr>
              <w:t>▲</w:t>
            </w:r>
            <w:r>
              <w:rPr>
                <w:rFonts w:ascii="宋体" w:hAnsi="宋体" w:cs="宋体" w:eastAsia="宋体"/>
                <w:sz w:val="18"/>
              </w:rPr>
              <w:t>8.配备内源性PEEP（PEEPi）测定及P-V工具，帮助择定最佳PEEP值。</w:t>
            </w:r>
          </w:p>
          <w:p>
            <w:pPr>
              <w:pStyle w:val="null3"/>
            </w:pPr>
            <w:r>
              <w:rPr/>
              <w:t xml:space="preserve"> </w:t>
            </w:r>
          </w:p>
        </w:tc>
      </w:tr>
      <w:tr>
        <w:tc>
          <w:tcPr>
            <w:tcW w:type="dxa" w:w="2769"/>
          </w:tcPr>
          <w:p/>
        </w:tc>
        <w:tc>
          <w:tcPr>
            <w:tcW w:type="dxa" w:w="2769"/>
          </w:tcPr>
          <w:p>
            <w:pPr>
              <w:pStyle w:val="null3"/>
            </w:pPr>
            <w:r>
              <w:rPr/>
              <w:t>2</w:t>
            </w:r>
          </w:p>
        </w:tc>
        <w:tc>
          <w:tcPr>
            <w:tcW w:type="dxa" w:w="2769"/>
          </w:tcPr>
          <w:p>
            <w:pPr>
              <w:pStyle w:val="null3"/>
            </w:pPr>
            <w:r>
              <w:rPr>
                <w:rFonts w:ascii="宋体" w:hAnsi="宋体" w:cs="宋体" w:eastAsia="宋体"/>
                <w:sz w:val="18"/>
              </w:rPr>
              <w:t>1．专用于成人、儿童的急救转运呼吸机</w:t>
            </w:r>
          </w:p>
          <w:p>
            <w:pPr>
              <w:pStyle w:val="null3"/>
            </w:pPr>
            <w:r>
              <w:rPr>
                <w:rFonts w:ascii="宋体" w:hAnsi="宋体" w:cs="宋体" w:eastAsia="宋体"/>
                <w:sz w:val="18"/>
              </w:rPr>
              <w:t>3.通气模式：标配P-A/C、P-SIMV、CPAP/PSV、PRVC，可选DuoVent、APRV、PRVC-SIMV、PSV-S/T等高级通气模式。</w:t>
            </w:r>
          </w:p>
          <w:p>
            <w:pPr>
              <w:pStyle w:val="null3"/>
            </w:pPr>
            <w:r>
              <w:rPr>
                <w:rFonts w:ascii="宋体" w:hAnsi="宋体" w:cs="宋体" w:eastAsia="宋体"/>
                <w:sz w:val="18"/>
              </w:rPr>
              <w:t>4.设置参数</w:t>
            </w:r>
          </w:p>
          <w:p>
            <w:pPr>
              <w:pStyle w:val="null3"/>
            </w:pPr>
            <w:r>
              <w:rPr>
                <w:rFonts w:ascii="宋体" w:hAnsi="宋体" w:cs="宋体" w:eastAsia="宋体"/>
                <w:sz w:val="18"/>
              </w:rPr>
              <w:t>4.2 呼吸频率：1-80次/min</w:t>
            </w:r>
          </w:p>
          <w:p>
            <w:pPr>
              <w:pStyle w:val="null3"/>
            </w:pPr>
            <w:r>
              <w:rPr>
                <w:rFonts w:ascii="宋体" w:hAnsi="宋体" w:cs="宋体" w:eastAsia="宋体"/>
                <w:sz w:val="18"/>
              </w:rPr>
              <w:t>4.3 吸/呼比：4:1-1:10</w:t>
            </w:r>
          </w:p>
          <w:p>
            <w:pPr>
              <w:pStyle w:val="null3"/>
            </w:pPr>
            <w:r>
              <w:rPr>
                <w:rFonts w:ascii="宋体" w:hAnsi="宋体" w:cs="宋体" w:eastAsia="宋体"/>
                <w:sz w:val="18"/>
              </w:rPr>
              <w:t>4.4 呼末正压：0-40mmHg</w:t>
            </w:r>
          </w:p>
          <w:p>
            <w:pPr>
              <w:pStyle w:val="null3"/>
            </w:pPr>
            <w:r>
              <w:rPr>
                <w:rFonts w:ascii="宋体" w:hAnsi="宋体" w:cs="宋体" w:eastAsia="宋体"/>
                <w:sz w:val="18"/>
              </w:rPr>
              <w:t>4.5 压力上升时间：0-2000 ms</w:t>
            </w:r>
          </w:p>
          <w:p>
            <w:pPr>
              <w:pStyle w:val="null3"/>
            </w:pPr>
            <w:r>
              <w:rPr>
                <w:rFonts w:ascii="宋体" w:hAnsi="宋体" w:cs="宋体" w:eastAsia="宋体"/>
                <w:sz w:val="18"/>
              </w:rPr>
              <w:t>4.6 压力支持：3-65cmH2O</w:t>
            </w:r>
          </w:p>
          <w:p>
            <w:pPr>
              <w:pStyle w:val="null3"/>
            </w:pPr>
            <w:r>
              <w:rPr>
                <w:rFonts w:ascii="宋体" w:hAnsi="宋体" w:cs="宋体" w:eastAsia="宋体"/>
                <w:sz w:val="18"/>
              </w:rPr>
              <w:t>4.7 氧浓度：21-100%</w:t>
            </w:r>
          </w:p>
          <w:p>
            <w:pPr>
              <w:pStyle w:val="null3"/>
            </w:pPr>
            <w:r>
              <w:rPr>
                <w:rFonts w:ascii="宋体" w:hAnsi="宋体" w:cs="宋体" w:eastAsia="宋体"/>
                <w:sz w:val="18"/>
              </w:rPr>
              <w:t>6.具有动态肺视图界面。</w:t>
            </w:r>
          </w:p>
          <w:p>
            <w:pPr>
              <w:pStyle w:val="null3"/>
            </w:pPr>
            <w:r>
              <w:rPr>
                <w:rFonts w:ascii="宋体" w:hAnsi="宋体" w:cs="宋体" w:eastAsia="宋体"/>
                <w:sz w:val="18"/>
              </w:rPr>
              <w:t>7.可选肺复张工具。</w:t>
            </w:r>
          </w:p>
          <w:p>
            <w:pPr>
              <w:pStyle w:val="null3"/>
            </w:pPr>
            <w:r>
              <w:rPr>
                <w:rFonts w:ascii="宋体" w:hAnsi="宋体" w:cs="宋体" w:eastAsia="宋体"/>
                <w:sz w:val="18"/>
              </w:rPr>
              <w:t>9.配备呼末 CO₂监测，同时监测气道死腔 VDaw 和肺泡通气量 Vtalv 等参数，可以监测容积 - 二氧化碳（V-CO2）环图。</w:t>
            </w:r>
          </w:p>
          <w:p>
            <w:pPr>
              <w:pStyle w:val="null3"/>
            </w:pPr>
            <w:r>
              <w:rPr>
                <w:rFonts w:ascii="宋体" w:hAnsi="宋体" w:cs="宋体" w:eastAsia="宋体"/>
                <w:sz w:val="18"/>
              </w:rPr>
              <w:t>10.配备高流速氧疗功能，可以调节氧疗流速和氧浓度。</w:t>
            </w:r>
          </w:p>
          <w:p>
            <w:pPr>
              <w:pStyle w:val="null3"/>
            </w:pPr>
            <w:r>
              <w:rPr>
                <w:rFonts w:ascii="宋体" w:hAnsi="宋体" w:cs="宋体" w:eastAsia="宋体"/>
                <w:sz w:val="18"/>
              </w:rPr>
              <w:t>11.配备SpO2监测：脉搏氧饱和度SpO2、脉率Pulse的监测。</w:t>
            </w:r>
          </w:p>
          <w:p>
            <w:pPr>
              <w:pStyle w:val="null3"/>
            </w:pPr>
            <w:r>
              <w:rPr>
                <w:rFonts w:ascii="宋体" w:hAnsi="宋体" w:cs="宋体" w:eastAsia="宋体"/>
                <w:sz w:val="18"/>
              </w:rPr>
              <w:t>12.可选脱机辅助工具：口腔闭合压、浅快呼吸指数。</w:t>
            </w:r>
          </w:p>
          <w:p>
            <w:pPr>
              <w:pStyle w:val="null3"/>
            </w:pPr>
            <w:r>
              <w:rPr>
                <w:rFonts w:ascii="宋体" w:hAnsi="宋体" w:cs="宋体" w:eastAsia="宋体"/>
                <w:sz w:val="18"/>
              </w:rPr>
              <w:t>13.呼吸波形及呼吸环可截图，屏幕导出保存U盘。</w:t>
            </w:r>
          </w:p>
          <w:p>
            <w:pPr>
              <w:pStyle w:val="null3"/>
            </w:pPr>
            <w:r>
              <w:rPr>
                <w:rFonts w:ascii="宋体" w:hAnsi="宋体" w:cs="宋体" w:eastAsia="宋体"/>
                <w:sz w:val="18"/>
              </w:rPr>
              <w:t>14.呼吸机提供锁屏功能。</w:t>
            </w:r>
          </w:p>
          <w:p>
            <w:pPr>
              <w:pStyle w:val="null3"/>
            </w:pPr>
            <w:r>
              <w:rPr>
                <w:rFonts w:ascii="宋体" w:hAnsi="宋体" w:cs="宋体" w:eastAsia="宋体"/>
                <w:sz w:val="18"/>
              </w:rPr>
              <w:t>15.呼吸机配备可复消管路，手提支架，氧气瓶，过氧桥，减压阀，呼吸软管。</w:t>
            </w:r>
          </w:p>
          <w:p>
            <w:pPr>
              <w:pStyle w:val="null3"/>
            </w:pPr>
            <w:r>
              <w:rPr>
                <w:rFonts w:ascii="宋体" w:hAnsi="宋体" w:cs="宋体" w:eastAsia="宋体"/>
                <w:sz w:val="18"/>
              </w:rPr>
              <w:t>16.具有氧耗工具，显示区域可以显示当前的耗氧量、氧气预估可用剩余时间。</w:t>
            </w:r>
          </w:p>
          <w:p>
            <w:pPr>
              <w:pStyle w:val="null3"/>
            </w:pPr>
            <w:r>
              <w:rPr>
                <w:rFonts w:ascii="宋体" w:hAnsi="宋体" w:cs="宋体" w:eastAsia="宋体"/>
                <w:sz w:val="18"/>
              </w:rPr>
              <w:t>17.具有72小时的趋势图和趋势表数据存储。</w:t>
            </w:r>
          </w:p>
          <w:p>
            <w:pPr>
              <w:pStyle w:val="null3"/>
            </w:pPr>
            <w:r>
              <w:rPr>
                <w:rFonts w:ascii="宋体" w:hAnsi="宋体" w:cs="宋体" w:eastAsia="宋体"/>
                <w:sz w:val="18"/>
              </w:rPr>
              <w:t>18.具有顺应性补偿、泄漏补偿、温度补偿、海拔自动补偿功能。</w:t>
            </w:r>
          </w:p>
          <w:p>
            <w:pPr>
              <w:pStyle w:val="null3"/>
            </w:pPr>
            <w:r>
              <w:rPr>
                <w:rFonts w:ascii="宋体" w:hAnsi="宋体" w:cs="宋体" w:eastAsia="宋体"/>
                <w:sz w:val="18"/>
              </w:rPr>
              <w:t>19.内置1块锂电池，工作时长≥280分钟，可选双电池，工作时长≥560分钟。</w:t>
            </w:r>
          </w:p>
          <w:p>
            <w:pPr>
              <w:pStyle w:val="null3"/>
            </w:pPr>
            <w:r>
              <w:rPr>
                <w:rFonts w:ascii="宋体" w:hAnsi="宋体" w:cs="宋体" w:eastAsia="宋体"/>
                <w:sz w:val="18"/>
              </w:rPr>
              <w:t>20. ≥8英寸TFT 彩色液晶显示，并可切换白天或夜晚显示模式。</w:t>
            </w:r>
          </w:p>
          <w:p>
            <w:pPr>
              <w:pStyle w:val="null3"/>
              <w:jc w:val="both"/>
            </w:pPr>
            <w:r>
              <w:rPr>
                <w:rFonts w:ascii="宋体" w:hAnsi="宋体" w:cs="宋体" w:eastAsia="宋体"/>
                <w:sz w:val="18"/>
              </w:rPr>
              <w:t>21.防水等级：IPX4。</w:t>
            </w:r>
          </w:p>
        </w:tc>
      </w:tr>
    </w:tbl>
    <w:p>
      <w:pPr>
        <w:pStyle w:val="null3"/>
      </w:pPr>
      <w:r>
        <w:rPr/>
        <w:t>标的名称：心肺复苏机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pPr>
            <w:r>
              <w:rPr>
                <w:rFonts w:ascii="宋体" w:hAnsi="宋体" w:cs="宋体" w:eastAsia="宋体"/>
                <w:sz w:val="21"/>
              </w:rPr>
              <w:t>▲</w:t>
            </w:r>
            <w:r>
              <w:rPr>
                <w:rFonts w:ascii="宋体" w:hAnsi="宋体" w:cs="宋体" w:eastAsia="宋体"/>
                <w:sz w:val="18"/>
              </w:rPr>
              <w:t>3.机械结构：为双杆两侧固定结构，固定和支撑按压主机使用硬质材料制成，背部炭纤维固定板支撑，使用过程中不影响除颤仪的使用。功能操作界面在设备上方。</w:t>
            </w:r>
          </w:p>
          <w:p>
            <w:pPr>
              <w:pStyle w:val="null3"/>
            </w:pPr>
            <w:r>
              <w:rPr>
                <w:rFonts w:ascii="宋体" w:hAnsi="宋体" w:cs="宋体" w:eastAsia="宋体"/>
                <w:sz w:val="21"/>
              </w:rPr>
              <w:t>▲</w:t>
            </w:r>
            <w:r>
              <w:rPr>
                <w:rFonts w:ascii="宋体" w:hAnsi="宋体" w:cs="宋体" w:eastAsia="宋体"/>
                <w:sz w:val="18"/>
              </w:rPr>
              <w:t>5.按压深度在0-6cm范围内可调，至少具有3.6cm、4.6cm、5.6cm三种按压深度可调，误差为±0.2cm。</w:t>
            </w:r>
          </w:p>
          <w:p>
            <w:pPr>
              <w:pStyle w:val="null3"/>
            </w:pPr>
            <w:r>
              <w:rPr>
                <w:rFonts w:ascii="宋体" w:hAnsi="宋体" w:cs="宋体" w:eastAsia="宋体"/>
                <w:sz w:val="21"/>
              </w:rPr>
              <w:t>▲</w:t>
            </w:r>
            <w:r>
              <w:rPr>
                <w:rFonts w:ascii="宋体" w:hAnsi="宋体" w:cs="宋体" w:eastAsia="宋体"/>
                <w:sz w:val="18"/>
              </w:rPr>
              <w:t>12.工作时间：双电池供电系统。新电池充满电情况下，电池运行时间90分钟。交流电接入状态下，可持续工作无间断。</w:t>
            </w:r>
          </w:p>
          <w:p>
            <w:pPr>
              <w:pStyle w:val="null3"/>
            </w:pPr>
            <w:r>
              <w:rPr>
                <w:rFonts w:ascii="宋体" w:hAnsi="宋体" w:cs="宋体" w:eastAsia="宋体"/>
                <w:sz w:val="21"/>
              </w:rPr>
              <w:t>▲</w:t>
            </w:r>
            <w:r>
              <w:rPr>
                <w:rFonts w:ascii="宋体" w:hAnsi="宋体" w:cs="宋体" w:eastAsia="宋体"/>
                <w:sz w:val="18"/>
              </w:rPr>
              <w:t>16.在最大按压深度5.6cm的条件下，心肺复苏机的按压器峰值压力＞70kg（686N）。</w:t>
            </w:r>
          </w:p>
          <w:p>
            <w:pPr>
              <w:pStyle w:val="null3"/>
            </w:pPr>
            <w:r>
              <w:rPr>
                <w:rFonts w:ascii="宋体" w:hAnsi="宋体" w:cs="宋体" w:eastAsia="宋体"/>
                <w:sz w:val="21"/>
              </w:rPr>
              <w:t>▲</w:t>
            </w:r>
            <w:r>
              <w:rPr>
                <w:rFonts w:ascii="宋体" w:hAnsi="宋体" w:cs="宋体" w:eastAsia="宋体"/>
                <w:sz w:val="18"/>
              </w:rPr>
              <w:t>23.设备操控面板直观易操作，强光照射下不反光、不影响参数设定。</w:t>
            </w:r>
          </w:p>
          <w:p>
            <w:pPr>
              <w:pStyle w:val="null3"/>
            </w:pPr>
            <w:r>
              <w:rPr/>
              <w:t xml:space="preserve"> </w:t>
            </w:r>
          </w:p>
        </w:tc>
      </w:tr>
      <w:tr>
        <w:tc>
          <w:tcPr>
            <w:tcW w:type="dxa" w:w="2769"/>
          </w:tcPr>
          <w:p/>
        </w:tc>
        <w:tc>
          <w:tcPr>
            <w:tcW w:type="dxa" w:w="2769"/>
          </w:tcPr>
          <w:p>
            <w:pPr>
              <w:pStyle w:val="null3"/>
            </w:pPr>
            <w:r>
              <w:rPr/>
              <w:t>2</w:t>
            </w:r>
          </w:p>
        </w:tc>
        <w:tc>
          <w:tcPr>
            <w:tcW w:type="dxa" w:w="2769"/>
          </w:tcPr>
          <w:p>
            <w:pPr>
              <w:pStyle w:val="null3"/>
            </w:pPr>
            <w:r>
              <w:rPr>
                <w:rFonts w:ascii="宋体" w:hAnsi="宋体" w:cs="宋体" w:eastAsia="宋体"/>
                <w:sz w:val="18"/>
              </w:rPr>
              <w:t>1.按压原理：采用胸腔接触式按压方式，胸部无负荷、垂直按压、自动中心位置定位；</w:t>
            </w:r>
          </w:p>
          <w:p>
            <w:pPr>
              <w:pStyle w:val="null3"/>
            </w:pPr>
            <w:r>
              <w:rPr>
                <w:rFonts w:ascii="宋体" w:hAnsi="宋体" w:cs="宋体" w:eastAsia="宋体"/>
                <w:sz w:val="18"/>
              </w:rPr>
              <w:t>2.驱动方式：电动电控</w:t>
            </w:r>
          </w:p>
          <w:p>
            <w:pPr>
              <w:pStyle w:val="null3"/>
            </w:pPr>
            <w:r>
              <w:rPr>
                <w:rFonts w:ascii="宋体" w:hAnsi="宋体" w:cs="宋体" w:eastAsia="宋体"/>
                <w:sz w:val="18"/>
              </w:rPr>
              <w:t>4.按压频率：≥ 100 次／分钟，实际按压频率与设置值误差≤±2 次/分钟。</w:t>
            </w:r>
          </w:p>
          <w:p>
            <w:pPr>
              <w:pStyle w:val="null3"/>
            </w:pPr>
            <w:r>
              <w:rPr>
                <w:rFonts w:ascii="宋体" w:hAnsi="宋体" w:cs="宋体" w:eastAsia="宋体"/>
                <w:sz w:val="18"/>
              </w:rPr>
              <w:t>6.按压释放比:50%±2%，按压比1:1。</w:t>
            </w:r>
          </w:p>
          <w:p>
            <w:pPr>
              <w:pStyle w:val="null3"/>
            </w:pPr>
            <w:r>
              <w:rPr>
                <w:rFonts w:ascii="宋体" w:hAnsi="宋体" w:cs="宋体" w:eastAsia="宋体"/>
                <w:sz w:val="18"/>
              </w:rPr>
              <w:t>7.按压通气模式：30:2 按压模式、连续按压模式。</w:t>
            </w:r>
          </w:p>
          <w:p>
            <w:pPr>
              <w:pStyle w:val="null3"/>
            </w:pPr>
            <w:r>
              <w:rPr>
                <w:rFonts w:ascii="宋体" w:hAnsi="宋体" w:cs="宋体" w:eastAsia="宋体"/>
                <w:sz w:val="18"/>
              </w:rPr>
              <w:t>8.通气时间：30:2 模式下，通气停顿时间</w:t>
            </w:r>
            <w:r>
              <w:rPr>
                <w:rFonts w:ascii="宋体" w:hAnsi="宋体" w:cs="宋体" w:eastAsia="宋体"/>
                <w:sz w:val="18"/>
              </w:rPr>
              <w:t>≤</w:t>
            </w:r>
            <w:r>
              <w:rPr>
                <w:rFonts w:ascii="宋体" w:hAnsi="宋体" w:cs="宋体" w:eastAsia="宋体"/>
                <w:sz w:val="18"/>
              </w:rPr>
              <w:t xml:space="preserve"> </w:t>
            </w:r>
            <w:r>
              <w:rPr>
                <w:rFonts w:ascii="宋体" w:hAnsi="宋体" w:cs="宋体" w:eastAsia="宋体"/>
                <w:sz w:val="18"/>
              </w:rPr>
              <w:t>3 秒。</w:t>
            </w:r>
          </w:p>
          <w:p>
            <w:pPr>
              <w:pStyle w:val="null3"/>
            </w:pPr>
            <w:r>
              <w:rPr>
                <w:rFonts w:ascii="宋体" w:hAnsi="宋体" w:cs="宋体" w:eastAsia="宋体"/>
                <w:sz w:val="18"/>
              </w:rPr>
              <w:t>9.具有辅助通气报警功能。</w:t>
            </w:r>
          </w:p>
          <w:p>
            <w:pPr>
              <w:pStyle w:val="null3"/>
            </w:pPr>
            <w:r>
              <w:rPr>
                <w:rFonts w:ascii="宋体" w:hAnsi="宋体" w:cs="宋体" w:eastAsia="宋体"/>
                <w:sz w:val="18"/>
              </w:rPr>
              <w:t>10.工作状态：最大工作倾斜度40°，具有担架固定孔位，可固定担架上。</w:t>
            </w:r>
          </w:p>
          <w:p>
            <w:pPr>
              <w:pStyle w:val="null3"/>
            </w:pPr>
            <w:r>
              <w:rPr>
                <w:rFonts w:ascii="宋体" w:hAnsi="宋体" w:cs="宋体" w:eastAsia="宋体"/>
                <w:sz w:val="18"/>
              </w:rPr>
              <w:t>11.具有气道开放垫，具有硅胶负压吸引杯。</w:t>
            </w:r>
          </w:p>
          <w:p>
            <w:pPr>
              <w:pStyle w:val="null3"/>
            </w:pPr>
            <w:r>
              <w:rPr>
                <w:rFonts w:ascii="宋体" w:hAnsi="宋体" w:cs="宋体" w:eastAsia="宋体"/>
                <w:sz w:val="18"/>
              </w:rPr>
              <w:t>13.设备工作过程中可不停机更换备用电池。</w:t>
            </w:r>
          </w:p>
          <w:p>
            <w:pPr>
              <w:pStyle w:val="null3"/>
            </w:pPr>
            <w:r>
              <w:rPr>
                <w:rFonts w:ascii="宋体" w:hAnsi="宋体" w:cs="宋体" w:eastAsia="宋体"/>
                <w:sz w:val="18"/>
              </w:rPr>
              <w:t>14.双电池最大充电时间≤150分钟。</w:t>
            </w:r>
          </w:p>
          <w:p>
            <w:pPr>
              <w:pStyle w:val="null3"/>
            </w:pPr>
            <w:r>
              <w:rPr>
                <w:rFonts w:ascii="宋体" w:hAnsi="宋体" w:cs="宋体" w:eastAsia="宋体"/>
                <w:sz w:val="18"/>
              </w:rPr>
              <w:t>15.适用胸廓范围：最大胸宽47±2.5cm，胸骨高度范围13.3cm-30.3cm，误差±1cm，使用不受患者体重限制。</w:t>
            </w:r>
          </w:p>
          <w:p>
            <w:pPr>
              <w:pStyle w:val="null3"/>
            </w:pPr>
            <w:r>
              <w:rPr>
                <w:rFonts w:ascii="宋体" w:hAnsi="宋体" w:cs="宋体" w:eastAsia="宋体"/>
                <w:sz w:val="18"/>
              </w:rPr>
              <w:t>17.双电池负载情况下运行时间90分钟，双电池空载运行时间120。具有电池电量分段指示，低电量黄灯和声音提示后，设备运行时间≥10分钟；低电量红灯和声音报警后，设备运行时间≥5分钟。</w:t>
            </w:r>
          </w:p>
          <w:p>
            <w:pPr>
              <w:pStyle w:val="null3"/>
            </w:pPr>
            <w:r>
              <w:rPr>
                <w:rFonts w:ascii="宋体" w:hAnsi="宋体" w:cs="宋体" w:eastAsia="宋体"/>
                <w:sz w:val="18"/>
              </w:rPr>
              <w:t>18.具有电池寿命提示。需要更换电池给予提示。</w:t>
            </w:r>
          </w:p>
          <w:p>
            <w:pPr>
              <w:pStyle w:val="null3"/>
            </w:pPr>
            <w:r>
              <w:rPr>
                <w:rFonts w:ascii="宋体" w:hAnsi="宋体" w:cs="宋体" w:eastAsia="宋体"/>
                <w:sz w:val="18"/>
              </w:rPr>
              <w:t>19.设备内部故障报警功能。</w:t>
            </w:r>
          </w:p>
          <w:p>
            <w:pPr>
              <w:pStyle w:val="null3"/>
            </w:pPr>
            <w:r>
              <w:rPr>
                <w:rFonts w:ascii="宋体" w:hAnsi="宋体" w:cs="宋体" w:eastAsia="宋体"/>
                <w:sz w:val="18"/>
              </w:rPr>
              <w:t>20.通气喇叭报警功能。</w:t>
            </w:r>
          </w:p>
          <w:p>
            <w:pPr>
              <w:pStyle w:val="null3"/>
            </w:pPr>
            <w:r>
              <w:rPr>
                <w:rFonts w:ascii="宋体" w:hAnsi="宋体" w:cs="宋体" w:eastAsia="宋体"/>
                <w:sz w:val="18"/>
              </w:rPr>
              <w:t>21.紧急暂停功能。</w:t>
            </w:r>
          </w:p>
          <w:p>
            <w:pPr>
              <w:pStyle w:val="null3"/>
            </w:pPr>
            <w:r>
              <w:rPr>
                <w:rFonts w:ascii="宋体" w:hAnsi="宋体" w:cs="宋体" w:eastAsia="宋体"/>
                <w:sz w:val="18"/>
              </w:rPr>
              <w:t>22.按压头自动归位。</w:t>
            </w:r>
          </w:p>
          <w:p>
            <w:pPr>
              <w:pStyle w:val="null3"/>
            </w:pPr>
            <w:r>
              <w:rPr>
                <w:rFonts w:ascii="宋体" w:hAnsi="宋体" w:cs="宋体" w:eastAsia="宋体"/>
                <w:sz w:val="18"/>
              </w:rPr>
              <w:t>24.设备采用双杆固定结构，双杆具有胸部厚度测量标尺标示，标示范围15-26cm，误差±1cm，可指示患者实际胸厚。</w:t>
            </w:r>
          </w:p>
          <w:p>
            <w:pPr>
              <w:pStyle w:val="null3"/>
              <w:jc w:val="both"/>
            </w:pPr>
            <w:r>
              <w:rPr>
                <w:rFonts w:ascii="宋体" w:hAnsi="宋体" w:cs="宋体" w:eastAsia="宋体"/>
                <w:sz w:val="18"/>
              </w:rPr>
              <w:t>25.主机可快速上下升降。</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标的名称：热敏灸治疗仪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18"/>
              </w:rPr>
              <w:t>1.</w:t>
            </w:r>
            <w:r>
              <w:rPr>
                <w:rFonts w:ascii="宋体" w:hAnsi="宋体" w:cs="宋体" w:eastAsia="宋体"/>
                <w:sz w:val="18"/>
              </w:rPr>
              <w:t>控制面板操作参数</w:t>
            </w:r>
          </w:p>
          <w:p>
            <w:pPr>
              <w:pStyle w:val="null3"/>
              <w:jc w:val="both"/>
            </w:pPr>
            <w:r>
              <w:rPr>
                <w:rFonts w:ascii="宋体" w:hAnsi="宋体" w:cs="宋体" w:eastAsia="宋体"/>
                <w:sz w:val="18"/>
              </w:rPr>
              <w:t>2.</w:t>
            </w:r>
            <w:r>
              <w:rPr>
                <w:rFonts w:ascii="宋体" w:hAnsi="宋体" w:cs="宋体" w:eastAsia="宋体"/>
                <w:sz w:val="18"/>
              </w:rPr>
              <w:t>双路输出同时施灸</w:t>
            </w:r>
            <w:r>
              <w:rPr>
                <w:rFonts w:ascii="宋体" w:hAnsi="宋体" w:cs="宋体" w:eastAsia="宋体"/>
                <w:sz w:val="18"/>
              </w:rPr>
              <w:t>≥2个部位（穴位）</w:t>
            </w:r>
          </w:p>
          <w:p>
            <w:pPr>
              <w:pStyle w:val="null3"/>
              <w:jc w:val="both"/>
            </w:pPr>
            <w:r>
              <w:rPr>
                <w:rFonts w:ascii="宋体" w:hAnsi="宋体" w:cs="宋体" w:eastAsia="宋体"/>
                <w:sz w:val="18"/>
              </w:rPr>
              <w:t>3.</w:t>
            </w:r>
            <w:r>
              <w:rPr>
                <w:rFonts w:ascii="宋体" w:hAnsi="宋体" w:cs="宋体" w:eastAsia="宋体"/>
                <w:sz w:val="18"/>
              </w:rPr>
              <w:t>可开展热敏灸技术功能</w:t>
            </w:r>
          </w:p>
          <w:p>
            <w:pPr>
              <w:pStyle w:val="null3"/>
              <w:jc w:val="both"/>
            </w:pPr>
            <w:r>
              <w:rPr>
                <w:rFonts w:ascii="宋体" w:hAnsi="宋体" w:cs="宋体" w:eastAsia="宋体"/>
                <w:sz w:val="18"/>
              </w:rPr>
              <w:t>4.</w:t>
            </w:r>
            <w:r>
              <w:rPr>
                <w:rFonts w:ascii="宋体" w:hAnsi="宋体" w:cs="宋体" w:eastAsia="宋体"/>
                <w:sz w:val="18"/>
              </w:rPr>
              <w:t>具备球面聚焦红外输出治疗头</w:t>
            </w:r>
          </w:p>
          <w:p>
            <w:pPr>
              <w:pStyle w:val="null3"/>
              <w:jc w:val="both"/>
            </w:pPr>
            <w:r>
              <w:rPr>
                <w:rFonts w:ascii="宋体" w:hAnsi="宋体" w:cs="宋体" w:eastAsia="宋体"/>
                <w:sz w:val="18"/>
              </w:rPr>
              <w:t>5.</w:t>
            </w:r>
            <w:r>
              <w:rPr>
                <w:rFonts w:ascii="宋体" w:hAnsi="宋体" w:cs="宋体" w:eastAsia="宋体"/>
                <w:sz w:val="18"/>
              </w:rPr>
              <w:t>设备具备温度调节为高、中、低三档</w:t>
            </w:r>
          </w:p>
          <w:p>
            <w:pPr>
              <w:pStyle w:val="null3"/>
              <w:jc w:val="both"/>
            </w:pPr>
            <w:r>
              <w:rPr>
                <w:rFonts w:ascii="宋体" w:hAnsi="宋体" w:cs="宋体" w:eastAsia="宋体"/>
                <w:sz w:val="18"/>
              </w:rPr>
              <w:t>6.</w:t>
            </w:r>
            <w:r>
              <w:rPr>
                <w:rFonts w:ascii="宋体" w:hAnsi="宋体" w:cs="宋体" w:eastAsia="宋体"/>
                <w:sz w:val="18"/>
              </w:rPr>
              <w:t>控温范围低档：</w:t>
            </w:r>
            <w:r>
              <w:rPr>
                <w:rFonts w:ascii="宋体" w:hAnsi="宋体" w:cs="宋体" w:eastAsia="宋体"/>
                <w:sz w:val="18"/>
              </w:rPr>
              <w:t>40～60℃</w:t>
            </w:r>
          </w:p>
          <w:p>
            <w:pPr>
              <w:pStyle w:val="null3"/>
              <w:jc w:val="both"/>
            </w:pPr>
            <w:r>
              <w:rPr>
                <w:rFonts w:ascii="宋体" w:hAnsi="宋体" w:cs="宋体" w:eastAsia="宋体"/>
                <w:sz w:val="18"/>
              </w:rPr>
              <w:t>7.</w:t>
            </w:r>
            <w:r>
              <w:rPr>
                <w:rFonts w:ascii="宋体" w:hAnsi="宋体" w:cs="宋体" w:eastAsia="宋体"/>
                <w:sz w:val="18"/>
              </w:rPr>
              <w:t>控温范围中档：</w:t>
            </w:r>
            <w:r>
              <w:rPr>
                <w:rFonts w:ascii="宋体" w:hAnsi="宋体" w:cs="宋体" w:eastAsia="宋体"/>
                <w:sz w:val="18"/>
              </w:rPr>
              <w:t>45～65℃</w:t>
            </w:r>
          </w:p>
          <w:p>
            <w:pPr>
              <w:pStyle w:val="null3"/>
              <w:jc w:val="both"/>
            </w:pPr>
            <w:r>
              <w:rPr>
                <w:rFonts w:ascii="宋体" w:hAnsi="宋体" w:cs="宋体" w:eastAsia="宋体"/>
                <w:sz w:val="18"/>
              </w:rPr>
              <w:t>8.</w:t>
            </w:r>
            <w:r>
              <w:rPr>
                <w:rFonts w:ascii="宋体" w:hAnsi="宋体" w:cs="宋体" w:eastAsia="宋体"/>
                <w:sz w:val="18"/>
              </w:rPr>
              <w:t>控温范围高档：</w:t>
            </w:r>
            <w:r>
              <w:rPr>
                <w:rFonts w:ascii="宋体" w:hAnsi="宋体" w:cs="宋体" w:eastAsia="宋体"/>
                <w:sz w:val="18"/>
              </w:rPr>
              <w:t>50～70℃</w:t>
            </w:r>
          </w:p>
          <w:p>
            <w:pPr>
              <w:pStyle w:val="null3"/>
              <w:jc w:val="both"/>
            </w:pPr>
            <w:r>
              <w:rPr>
                <w:rFonts w:ascii="宋体" w:hAnsi="宋体" w:cs="宋体" w:eastAsia="宋体"/>
                <w:sz w:val="18"/>
              </w:rPr>
              <w:t>9.</w:t>
            </w:r>
            <w:r>
              <w:rPr>
                <w:rFonts w:ascii="宋体" w:hAnsi="宋体" w:cs="宋体" w:eastAsia="宋体"/>
                <w:sz w:val="18"/>
              </w:rPr>
              <w:t>治疗时间</w:t>
            </w:r>
            <w:r>
              <w:rPr>
                <w:rFonts w:ascii="宋体" w:hAnsi="宋体" w:cs="宋体" w:eastAsia="宋体"/>
                <w:sz w:val="18"/>
              </w:rPr>
              <w:t>10～60分钟可连续调节；</w:t>
            </w:r>
          </w:p>
          <w:p>
            <w:pPr>
              <w:pStyle w:val="null3"/>
              <w:jc w:val="both"/>
            </w:pPr>
            <w:r>
              <w:rPr>
                <w:rFonts w:ascii="宋体" w:hAnsi="宋体" w:cs="宋体" w:eastAsia="宋体"/>
                <w:sz w:val="18"/>
              </w:rPr>
              <w:t>10.</w:t>
            </w:r>
            <w:r>
              <w:rPr>
                <w:rFonts w:ascii="宋体" w:hAnsi="宋体" w:cs="宋体" w:eastAsia="宋体"/>
                <w:sz w:val="18"/>
              </w:rPr>
              <w:t>灸疗头具有风扇散热功能</w:t>
            </w:r>
          </w:p>
          <w:p>
            <w:pPr>
              <w:pStyle w:val="null3"/>
              <w:jc w:val="both"/>
            </w:pPr>
            <w:r>
              <w:rPr>
                <w:rFonts w:ascii="宋体" w:hAnsi="宋体" w:cs="宋体" w:eastAsia="宋体"/>
                <w:sz w:val="18"/>
              </w:rPr>
              <w:t>11.</w:t>
            </w:r>
            <w:r>
              <w:rPr>
                <w:rFonts w:ascii="宋体" w:hAnsi="宋体" w:cs="宋体" w:eastAsia="宋体"/>
                <w:sz w:val="18"/>
              </w:rPr>
              <w:t>具备灸疗高温过热保护</w:t>
            </w:r>
          </w:p>
          <w:p>
            <w:pPr>
              <w:pStyle w:val="null3"/>
              <w:jc w:val="both"/>
            </w:pPr>
            <w:r>
              <w:rPr>
                <w:rFonts w:ascii="宋体" w:hAnsi="宋体" w:cs="宋体" w:eastAsia="宋体"/>
                <w:sz w:val="18"/>
              </w:rPr>
              <w:t>13.</w:t>
            </w:r>
            <w:r>
              <w:rPr>
                <w:rFonts w:ascii="宋体" w:hAnsi="宋体" w:cs="宋体" w:eastAsia="宋体"/>
                <w:sz w:val="18"/>
              </w:rPr>
              <w:t>近红外光波长范围：</w:t>
            </w:r>
            <w:r>
              <w:rPr>
                <w:rFonts w:ascii="宋体" w:hAnsi="宋体" w:cs="宋体" w:eastAsia="宋体"/>
                <w:sz w:val="18"/>
              </w:rPr>
              <w:t>600nm至1500nm（提供检验报告）</w:t>
            </w:r>
          </w:p>
          <w:p>
            <w:pPr>
              <w:pStyle w:val="null3"/>
              <w:jc w:val="both"/>
            </w:pPr>
            <w:r>
              <w:rPr>
                <w:rFonts w:ascii="宋体" w:hAnsi="宋体" w:cs="宋体" w:eastAsia="宋体"/>
                <w:sz w:val="18"/>
              </w:rPr>
              <w:t>14.每个治疗头</w:t>
            </w:r>
            <w:r>
              <w:rPr>
                <w:rFonts w:ascii="宋体" w:hAnsi="宋体" w:cs="宋体" w:eastAsia="宋体"/>
                <w:sz w:val="18"/>
              </w:rPr>
              <w:t>灸材添加腔</w:t>
            </w:r>
            <w:r>
              <w:rPr>
                <w:rFonts w:ascii="宋体" w:hAnsi="宋体" w:cs="宋体" w:eastAsia="宋体"/>
                <w:sz w:val="18"/>
              </w:rPr>
              <w:t>2个</w:t>
            </w:r>
          </w:p>
          <w:p>
            <w:pPr>
              <w:pStyle w:val="null3"/>
              <w:jc w:val="both"/>
            </w:pPr>
            <w:r>
              <w:rPr>
                <w:rFonts w:ascii="宋体" w:hAnsi="宋体" w:cs="宋体" w:eastAsia="宋体"/>
                <w:sz w:val="18"/>
              </w:rPr>
              <w:t>16.具有软件APP功能</w:t>
            </w:r>
          </w:p>
          <w:p>
            <w:pPr>
              <w:pStyle w:val="null3"/>
              <w:jc w:val="both"/>
            </w:pPr>
            <w:r>
              <w:rPr>
                <w:rFonts w:ascii="宋体" w:hAnsi="宋体" w:cs="宋体" w:eastAsia="宋体"/>
                <w:sz w:val="18"/>
              </w:rPr>
              <w:t>17.</w:t>
            </w:r>
            <w:r>
              <w:rPr>
                <w:rFonts w:ascii="宋体" w:hAnsi="宋体" w:cs="宋体" w:eastAsia="宋体"/>
                <w:sz w:val="18"/>
              </w:rPr>
              <w:t>适用于中医人体穴位艾灸</w:t>
            </w:r>
            <w:r>
              <w:rPr>
                <w:rFonts w:ascii="宋体" w:hAnsi="宋体" w:cs="宋体" w:eastAsia="宋体"/>
                <w:sz w:val="18"/>
              </w:rPr>
              <w:t>(热敏灸）辅助治疗</w:t>
            </w:r>
          </w:p>
          <w:p>
            <w:pPr>
              <w:pStyle w:val="null3"/>
              <w:jc w:val="both"/>
            </w:pPr>
            <w:r>
              <w:rPr>
                <w:rFonts w:ascii="宋体" w:hAnsi="宋体" w:cs="宋体" w:eastAsia="宋体"/>
                <w:b/>
                <w:sz w:val="18"/>
              </w:rPr>
              <w:t>使用耗材：</w:t>
            </w:r>
          </w:p>
          <w:p>
            <w:pPr>
              <w:pStyle w:val="null3"/>
              <w:ind w:firstLine="361"/>
              <w:jc w:val="both"/>
            </w:pPr>
            <w:r>
              <w:rPr>
                <w:rFonts w:ascii="宋体" w:hAnsi="宋体" w:cs="宋体" w:eastAsia="宋体"/>
                <w:b/>
                <w:sz w:val="18"/>
              </w:rPr>
              <w:t>热敏灸治疗仪组件</w:t>
            </w:r>
            <w:r>
              <w:rPr>
                <w:rFonts w:ascii="宋体" w:hAnsi="宋体" w:cs="宋体" w:eastAsia="宋体"/>
                <w:b/>
                <w:sz w:val="18"/>
              </w:rPr>
              <w:t>(</w:t>
            </w:r>
            <w:r>
              <w:rPr>
                <w:rFonts w:ascii="宋体" w:hAnsi="宋体" w:cs="宋体" w:eastAsia="宋体"/>
                <w:b/>
                <w:sz w:val="18"/>
              </w:rPr>
              <w:t>灸</w:t>
            </w:r>
            <w:r>
              <w:rPr>
                <w:rFonts w:ascii="宋体" w:hAnsi="宋体" w:cs="宋体" w:eastAsia="宋体"/>
                <w:b/>
                <w:sz w:val="18"/>
              </w:rPr>
              <w:t>材</w:t>
            </w:r>
            <w:r>
              <w:rPr>
                <w:rFonts w:ascii="宋体" w:hAnsi="宋体" w:cs="宋体" w:eastAsia="宋体"/>
                <w:b/>
                <w:sz w:val="18"/>
              </w:rPr>
              <w:t>), 配合热敏灸治疗仪使用。</w:t>
            </w:r>
          </w:p>
          <w:p>
            <w:pPr>
              <w:pStyle w:val="null3"/>
              <w:ind w:firstLine="361"/>
              <w:jc w:val="both"/>
            </w:pPr>
            <w:r>
              <w:rPr>
                <w:rFonts w:ascii="宋体" w:hAnsi="宋体" w:cs="宋体" w:eastAsia="宋体"/>
                <w:b/>
                <w:sz w:val="18"/>
              </w:rPr>
              <w:t>规格</w:t>
            </w:r>
            <w:r>
              <w:rPr>
                <w:rFonts w:ascii="宋体" w:hAnsi="宋体" w:cs="宋体" w:eastAsia="宋体"/>
                <w:b/>
                <w:sz w:val="18"/>
              </w:rPr>
              <w:t>:2片/袋</w:t>
            </w:r>
          </w:p>
          <w:p>
            <w:pPr>
              <w:pStyle w:val="null3"/>
              <w:jc w:val="both"/>
            </w:pPr>
            <w:r>
              <w:rPr>
                <w:rFonts w:ascii="宋体" w:hAnsi="宋体" w:cs="宋体" w:eastAsia="宋体"/>
                <w:b/>
                <w:sz w:val="18"/>
              </w:rPr>
              <w:t xml:space="preserve">  </w:t>
            </w:r>
            <w:r>
              <w:rPr>
                <w:rFonts w:ascii="宋体" w:hAnsi="宋体" w:cs="宋体" w:eastAsia="宋体"/>
                <w:b/>
                <w:sz w:val="18"/>
              </w:rPr>
              <w:t>价格</w:t>
            </w:r>
            <w:r>
              <w:rPr>
                <w:rFonts w:ascii="宋体" w:hAnsi="宋体" w:cs="宋体" w:eastAsia="宋体"/>
                <w:b/>
                <w:sz w:val="18"/>
              </w:rPr>
              <w:t>:16元/袋</w:t>
            </w:r>
          </w:p>
          <w:p>
            <w:pPr>
              <w:pStyle w:val="null3"/>
              <w:jc w:val="both"/>
            </w:pPr>
            <w:r>
              <w:rPr>
                <w:rFonts w:ascii="宋体" w:hAnsi="宋体" w:cs="宋体" w:eastAsia="宋体"/>
                <w:b/>
                <w:sz w:val="18"/>
              </w:rPr>
              <w:t>年用量约</w:t>
            </w:r>
            <w:r>
              <w:rPr>
                <w:rFonts w:ascii="宋体" w:hAnsi="宋体" w:cs="宋体" w:eastAsia="宋体"/>
                <w:b/>
                <w:sz w:val="18"/>
              </w:rPr>
              <w:t>:10000份</w:t>
            </w:r>
          </w:p>
        </w:tc>
      </w:tr>
      <w:tr>
        <w:tc>
          <w:tcPr>
            <w:tcW w:type="dxa" w:w="2769"/>
          </w:tcPr>
          <w:p>
            <w:pPr>
              <w:pStyle w:val="null3"/>
            </w:pPr>
            <w:r>
              <w:rPr/>
              <w:t>▲</w:t>
            </w:r>
          </w:p>
        </w:tc>
        <w:tc>
          <w:tcPr>
            <w:tcW w:type="dxa" w:w="2769"/>
          </w:tcPr>
          <w:p>
            <w:pPr>
              <w:pStyle w:val="null3"/>
            </w:pPr>
            <w:r>
              <w:rPr/>
              <w:t>2</w:t>
            </w:r>
          </w:p>
        </w:tc>
        <w:tc>
          <w:tcPr>
            <w:tcW w:type="dxa" w:w="2769"/>
          </w:tcPr>
          <w:p>
            <w:pPr>
              <w:pStyle w:val="null3"/>
              <w:jc w:val="both"/>
            </w:pPr>
            <w:r>
              <w:rPr>
                <w:rFonts w:ascii="宋体" w:hAnsi="宋体" w:cs="宋体" w:eastAsia="宋体"/>
                <w:color w:val="000000"/>
                <w:sz w:val="21"/>
              </w:rPr>
              <w:t>▲</w:t>
            </w:r>
            <w:r>
              <w:rPr>
                <w:rFonts w:ascii="宋体" w:hAnsi="宋体" w:cs="宋体" w:eastAsia="宋体"/>
                <w:color w:val="000000"/>
                <w:sz w:val="18"/>
              </w:rPr>
              <w:t>12.</w:t>
            </w:r>
            <w:r>
              <w:rPr>
                <w:rFonts w:ascii="宋体" w:hAnsi="宋体" w:cs="宋体" w:eastAsia="宋体"/>
                <w:sz w:val="18"/>
              </w:rPr>
              <w:t>操作具有智能普通话提示功能</w:t>
            </w:r>
          </w:p>
          <w:p>
            <w:pPr>
              <w:pStyle w:val="null3"/>
              <w:jc w:val="both"/>
            </w:pPr>
            <w:r>
              <w:rPr>
                <w:rFonts w:ascii="宋体" w:hAnsi="宋体" w:cs="宋体" w:eastAsia="宋体"/>
                <w:color w:val="000000"/>
                <w:sz w:val="21"/>
              </w:rPr>
              <w:t>▲</w:t>
            </w:r>
            <w:r>
              <w:rPr>
                <w:rFonts w:ascii="宋体" w:hAnsi="宋体" w:cs="宋体" w:eastAsia="宋体"/>
                <w:color w:val="000000"/>
                <w:sz w:val="18"/>
              </w:rPr>
              <w:t>15.</w:t>
            </w:r>
            <w:r>
              <w:rPr>
                <w:rFonts w:ascii="宋体" w:hAnsi="宋体" w:cs="宋体" w:eastAsia="宋体"/>
                <w:sz w:val="18"/>
              </w:rPr>
              <w:t>同时可以添加</w:t>
            </w:r>
            <w:r>
              <w:rPr>
                <w:rFonts w:ascii="宋体" w:hAnsi="宋体" w:cs="宋体" w:eastAsia="宋体"/>
                <w:sz w:val="18"/>
              </w:rPr>
              <w:t>≥</w:t>
            </w:r>
            <w:r>
              <w:rPr>
                <w:rFonts w:ascii="宋体" w:hAnsi="宋体" w:cs="宋体" w:eastAsia="宋体"/>
                <w:sz w:val="18"/>
              </w:rPr>
              <w:t>4</w:t>
            </w:r>
            <w:r>
              <w:rPr>
                <w:rFonts w:ascii="宋体" w:hAnsi="宋体" w:cs="宋体" w:eastAsia="宋体"/>
                <w:sz w:val="18"/>
              </w:rPr>
              <w:t>片灸材</w:t>
            </w:r>
          </w:p>
          <w:p>
            <w:pPr>
              <w:pStyle w:val="null3"/>
              <w:jc w:val="both"/>
            </w:pPr>
            <w:r>
              <w:rPr/>
              <w:t xml:space="preserve"> </w:t>
            </w:r>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自合同签订之日起30日</w:t>
      </w:r>
    </w:p>
    <w:p>
      <w:pPr>
        <w:pStyle w:val="null3"/>
      </w:pPr>
      <w:r>
        <w:rPr/>
        <w:t>采购包2：</w:t>
      </w:r>
    </w:p>
    <w:p>
      <w:pPr>
        <w:pStyle w:val="null3"/>
      </w:pPr>
      <w:r>
        <w:rPr/>
        <w:t>自合同签订之日起30日</w:t>
      </w:r>
    </w:p>
    <w:p>
      <w:pPr>
        <w:pStyle w:val="null3"/>
        <w:outlineLvl w:val="3"/>
      </w:pPr>
      <w:r>
        <w:rPr>
          <w:b/>
          <w:sz w:val="24"/>
        </w:rPr>
        <w:t>3.4.2交货地点</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outlineLvl w:val="3"/>
      </w:pPr>
      <w:r>
        <w:rPr>
          <w:b/>
          <w:sz w:val="24"/>
        </w:rPr>
        <w:t>3.4.3支付方式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outlineLvl w:val="3"/>
      </w:pPr>
      <w:r>
        <w:rPr>
          <w:b/>
          <w:sz w:val="24"/>
        </w:rPr>
        <w:t>3.4.4支付约定</w:t>
      </w:r>
    </w:p>
    <w:p>
      <w:pPr>
        <w:pStyle w:val="null3"/>
      </w:pPr>
      <w:r>
        <w:rPr/>
        <w:t>采购包1：</w:t>
      </w:r>
      <w:r>
        <w:rPr/>
        <w:t xml:space="preserve"> 付款条件说明： </w:t>
      </w:r>
      <w:r>
        <w:rPr/>
        <w:t>货物全部运到招标人指定地方，安装完毕并经终验合格后，甲方收到发票</w:t>
      </w:r>
      <w:r>
        <w:rPr/>
        <w:t xml:space="preserve"> ，达到付款条件起 </w:t>
      </w:r>
      <w:r>
        <w:rPr/>
        <w:t>30</w:t>
      </w:r>
      <w:r>
        <w:rPr/>
        <w:t xml:space="preserve"> 日内，支付合同总金额的 </w:t>
      </w:r>
      <w:r>
        <w:rPr/>
        <w:t>90.00</w:t>
      </w:r>
      <w:r>
        <w:rPr/>
        <w:t>%。</w:t>
      </w:r>
    </w:p>
    <w:p>
      <w:pPr>
        <w:pStyle w:val="null3"/>
      </w:pPr>
      <w:r>
        <w:rPr/>
        <w:t>采购包1：</w:t>
      </w:r>
      <w:r>
        <w:rPr/>
        <w:t xml:space="preserve"> 付款条件说明： </w:t>
      </w:r>
      <w:r>
        <w:rPr/>
        <w:t>安装完毕并经终验合格后</w:t>
      </w:r>
      <w:r>
        <w:rPr/>
        <w:t xml:space="preserve"> ，达到付款条件起 </w:t>
      </w:r>
      <w:r>
        <w:rPr/>
        <w:t>90</w:t>
      </w:r>
      <w:r>
        <w:rPr/>
        <w:t xml:space="preserve"> 日内，支付合同总金额的 </w:t>
      </w:r>
      <w:r>
        <w:rPr/>
        <w:t>10.00</w:t>
      </w:r>
      <w:r>
        <w:rPr/>
        <w:t>%。</w:t>
      </w:r>
    </w:p>
    <w:p>
      <w:pPr>
        <w:pStyle w:val="null3"/>
      </w:pPr>
      <w:r>
        <w:rPr/>
        <w:t>采购包2：</w:t>
      </w:r>
      <w:r>
        <w:rPr/>
        <w:t xml:space="preserve"> 付款条件说明： </w:t>
      </w:r>
      <w:r>
        <w:rPr/>
        <w:t>货物全部运到招标人指定地方，安装完毕并经终验合格后，甲方收到发票</w:t>
      </w:r>
      <w:r>
        <w:rPr/>
        <w:t xml:space="preserve"> ，达到付款条件起 </w:t>
      </w:r>
      <w:r>
        <w:rPr/>
        <w:t>30</w:t>
      </w:r>
      <w:r>
        <w:rPr/>
        <w:t xml:space="preserve"> 日内，支付合同总金额的 </w:t>
      </w:r>
      <w:r>
        <w:rPr/>
        <w:t>90.00</w:t>
      </w:r>
      <w:r>
        <w:rPr/>
        <w:t>%。</w:t>
      </w:r>
    </w:p>
    <w:p>
      <w:pPr>
        <w:pStyle w:val="null3"/>
      </w:pPr>
      <w:r>
        <w:rPr/>
        <w:t>采购包2：</w:t>
      </w:r>
      <w:r>
        <w:rPr/>
        <w:t xml:space="preserve"> 付款条件说明： </w:t>
      </w:r>
      <w:r>
        <w:rPr/>
        <w:t>安装完毕并经终验合格后</w:t>
      </w:r>
      <w:r>
        <w:rPr/>
        <w:t xml:space="preserve"> ，达到付款条件起 </w:t>
      </w:r>
      <w:r>
        <w:rPr/>
        <w:t>90</w:t>
      </w:r>
      <w:r>
        <w:rPr/>
        <w:t xml:space="preserve"> 日内，支付合同总金额的 </w:t>
      </w:r>
      <w:r>
        <w:rPr/>
        <w:t>10.00</w:t>
      </w:r>
      <w:r>
        <w:rPr/>
        <w:t>%。</w:t>
      </w:r>
    </w:p>
    <w:p>
      <w:pPr>
        <w:pStyle w:val="null3"/>
        <w:outlineLvl w:val="3"/>
      </w:pPr>
      <w:r>
        <w:rPr>
          <w:b/>
          <w:sz w:val="24"/>
        </w:rPr>
        <w:t>3.4.5验收标准和方法</w:t>
      </w:r>
    </w:p>
    <w:p>
      <w:pPr>
        <w:pStyle w:val="null3"/>
      </w:pPr>
      <w:r>
        <w:rPr/>
        <w:t>采购包1：</w:t>
      </w:r>
    </w:p>
    <w:p>
      <w:pPr>
        <w:pStyle w:val="null3"/>
      </w:pPr>
      <w:r>
        <w:rPr/>
        <w:t>根据招标文件要求、投标文件及合同约定执行。</w:t>
      </w:r>
    </w:p>
    <w:p>
      <w:pPr>
        <w:pStyle w:val="null3"/>
      </w:pPr>
      <w:r>
        <w:rPr/>
        <w:t>采购包2：</w:t>
      </w:r>
    </w:p>
    <w:p>
      <w:pPr>
        <w:pStyle w:val="null3"/>
      </w:pPr>
      <w:r>
        <w:rPr/>
        <w:t>根据招标文件要求、投标文件及合同约定执行。</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自验收合格之日起，原厂质保2年。设备终身维修，软件终身免费使用及升级，提供永久的技术咨询、服务和备品备件。 （二）保修期内若主要配件故障，更换后配件的保修期从更换之日起重新计算。 （三）保修期过后只收取配件费用，免服务费，列出超出质保期后不同年限的主要配件的保修价格。 （四）维修响应时间：乙方接到故障报告后在 1 小时内响应， 24 小时内到达现场，提供备用机。 （五）乙方对甲方购买的设备至少每半年进行一次免费维护保养，并提供维护保养记录。</w:t>
      </w:r>
    </w:p>
    <w:p>
      <w:pPr>
        <w:pStyle w:val="null3"/>
      </w:pPr>
      <w:r>
        <w:rPr/>
        <w:t>采购包2：</w:t>
      </w:r>
    </w:p>
    <w:p>
      <w:pPr>
        <w:pStyle w:val="null3"/>
      </w:pPr>
      <w:r>
        <w:rPr/>
        <w:t>（一）自验收合格之日起，原厂质保2年。设备终身维修，软件终身免费使用及升级，提供永久的技术咨询、服务和备品备件。 （二）保修期内若主要配件故障，更换后配件的保修期从更换之日起重新计算。 （三）保修期过后只收取配件费用，免服务费，列出超出质保期后不同年限的主要配件的保修价格。 （四）维修响应时间：乙方接到故障报告后在 1 小时内响应， 24 小时内到达现场，提供备用机。 （五）乙方对甲方购买的设备至少每半年进行一次免费维护保养，并提供维护保养记录。</w:t>
      </w:r>
    </w:p>
    <w:p>
      <w:pPr>
        <w:pStyle w:val="null3"/>
        <w:outlineLvl w:val="3"/>
      </w:pPr>
      <w:r>
        <w:rPr>
          <w:b/>
          <w:sz w:val="24"/>
        </w:rPr>
        <w:t>3.4.8违约责任与解决争议的方法</w:t>
      </w:r>
    </w:p>
    <w:p>
      <w:pPr>
        <w:pStyle w:val="null3"/>
      </w:pPr>
      <w:r>
        <w:rPr/>
        <w:t>采购包1：</w:t>
      </w:r>
    </w:p>
    <w:p>
      <w:pPr>
        <w:pStyle w:val="null3"/>
      </w:pPr>
      <w:r>
        <w:rPr/>
        <w:t>（一）违约责任1.甲乙双方必须遵守本合同并执行合同中的各项规定，保证本合同的正常履行。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二）争议解决1.在执行本合同中发生的或与本合同有关的争端，双方应通过友好协商解决，经协商在XX 天内不能达成协议时，则采取以下第1种方式解决争议： （1）向甲方所在地有管辖权的人民法院提起诉讼； （2）向/ 仲裁委员会按其仲裁规则申请仲裁。2.在仲裁期间，本合同应继续履行。</w:t>
      </w:r>
    </w:p>
    <w:p>
      <w:pPr>
        <w:pStyle w:val="null3"/>
      </w:pPr>
      <w:r>
        <w:rPr/>
        <w:t>采购包2：</w:t>
      </w:r>
    </w:p>
    <w:p>
      <w:pPr>
        <w:pStyle w:val="null3"/>
      </w:pPr>
      <w:r>
        <w:rPr/>
        <w:t>（一）违约责任1.甲乙双方必须遵守本合同并执行合同中的各项规定，保证本合同的正常履行。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二）争议解决1.在执行本合同中发生的或与本合同有关的争端，双方应通过友好协商解决，经协商在XX 天内不能达成协议时，则采取以下第1种方式解决争议： （1）向甲方所在地有管辖权的人民法院提起诉讼； （2）向/ 仲裁委员会按其仲裁规则申请仲裁。2.在仲裁期间，本合同应继续履行。</w:t>
      </w:r>
    </w:p>
    <w:p>
      <w:pPr>
        <w:pStyle w:val="null3"/>
        <w:jc w:val="left"/>
        <w:outlineLvl w:val="2"/>
      </w:pPr>
      <w:r>
        <w:rPr>
          <w:b/>
          <w:sz w:val="28"/>
        </w:rPr>
        <w:t>3.5其他要求</w:t>
      </w:r>
    </w:p>
    <w:p>
      <w:pPr>
        <w:pStyle w:val="null3"/>
      </w:pPr>
      <w:r>
        <w:rPr/>
        <w:t>供应商需要在线提交所有通过电子化交易平台实施的政府采购项目的投标文件，同时，线下提交投标文件正本壹份、副本贰份、电子版壹份(U 盘或光盘，标明供应商名称，随正本密封)。若电子响应文件与纸质响应文件不一致的，以电子响应文件为准。线下递交文件截止时间：2024年2月29日09点30分（北京时间）；线下递交文件地点：西安市曲江新区雁翔路3269号旺座曲江E座30层第二会议室。</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（1）投标人的营业执照等证明文件，自然人的身份证明； （2）法定代表人（单位负责人）参加投标的，提供本人身份证复印件并出示身份证原件；法定代表人（单位负责人）授权他人参加投标的，提供法定代表人委托授权书并出示被授权代表的身份证原件； （3）财务状况报告：提供2022年度经审计的投标人财务会计报告或者银行资信证明，投标人成立不到1年的，可提供企业任意时段财务报表； （4）税收缴纳证明：提供投标人自投标前6个月以来已缴纳任意时段完税凭证或税务机关开具的完税证明（任意税种）；依法免税的应提供相关文件证明； （5）社会保障资金缴纳证明：提供投标人自投标前6个月以来已缴存的任意时段的社会保障资金缴存单据或社保机构开具的社会保险参保缴费情况证明；依法不需要缴纳社会保障资金的投标人应提供相关文件证明； （6）投标人提供具备履行合同所必需的设备和专业技术能力的承诺函； （7）投标人参加本次采购前3年内，在经营活动中没有重大违法记录的书面声明。 供应商需在项目电子化交易系统中按要求填写《投标函》完成承诺并进行电子签章。</w:t>
            </w:r>
          </w:p>
        </w:tc>
        <w:tc>
          <w:tcPr>
            <w:tcW w:type="dxa" w:w="1661"/>
          </w:tcPr>
          <w:p>
            <w:pPr>
              <w:pStyle w:val="null3"/>
            </w:pPr>
            <w:r>
              <w:rPr/>
              <w:t>资格证明文件 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提供2022年度经审计的投标人财务会计报告或者银行资信证明，投标人成立不到1年的，可提供企业任意时段财务报表，供应商需在项目电子化交易系统中按要求上传相应证明文件并进行电子签章。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（1）投标人的营业执照等证明文件，自然人的身份证明； （2）法定代表人（单位负责人）参加投标的，提供本人身份证复印件并出示身份证原件；法定代表人（单位负责人）授权他人参加投标的，提供法定代表人委托授权书并出示被授权代表的身份证原件； （3）财务状况报告：提供2022年度经审计的投标人财务会计报告或者银行资信证明，投标人成立不到1年的，可提供企业任意时段财务报表； （4）税收缴纳证明：提供投标人自投标前6个月以来已缴纳任意时段完税凭证或税务机关开具的完税证明（任意税种）；依法免税的应提供相关文件证明； （5）社会保障资金缴纳证明：提供投标人自投标前6个月以来已缴存的任意时段的社会保障资金缴存单据或社保机构开具的社会保险参保缴费情况证明；依法不需要缴纳社会保障资金的投标人应提供相关文件证明； （6）投标人提供具备履行合同所必需的设备和专业技术能力的承诺函； （7）投标人参加本次采购前3年内，在经营活动中没有重大违法记录的书面声明。 供应商需在项目电子化交易系统中按要求填写《投标函》完成承诺并进行电子签章。</w:t>
            </w:r>
          </w:p>
        </w:tc>
        <w:tc>
          <w:tcPr>
            <w:tcW w:type="dxa" w:w="1661"/>
          </w:tcPr>
          <w:p>
            <w:pPr>
              <w:pStyle w:val="null3"/>
            </w:pPr>
            <w:r>
              <w:rPr/>
              <w:t>资格证明文件 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提供2022年度经审计的投标人财务会计报告或者银行资信证明，投标人成立不到1年的，可提供企业任意时段财务报表，供应商需在项目电子化交易系统中按要求上传相应证明文件并进行电子签章。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投标人资格要求</w:t>
            </w:r>
          </w:p>
        </w:tc>
        <w:tc>
          <w:tcPr>
            <w:tcW w:type="dxa" w:w="3322"/>
          </w:tcPr>
          <w:p>
            <w:pPr>
              <w:pStyle w:val="null3"/>
            </w:pPr>
            <w:r>
              <w:rPr/>
              <w:t>投标人为制造厂家的应出具医疗器械生产许可证（提供的设备须在其生产范围内）和所投设备医疗器械注册证；投标人为经销商的应出具医疗器械经营许可证或《第二类医疗器械经营备案凭证》（提供的设备须在其经营范围内）和所投产品《医疗器械注册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投标人资格要求</w:t>
            </w:r>
          </w:p>
        </w:tc>
        <w:tc>
          <w:tcPr>
            <w:tcW w:type="dxa" w:w="3322"/>
          </w:tcPr>
          <w:p>
            <w:pPr>
              <w:pStyle w:val="null3"/>
            </w:pPr>
            <w:r>
              <w:rPr/>
              <w:t>投标保证金缴纳凭证</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投标人信用要求</w:t>
            </w:r>
          </w:p>
        </w:tc>
        <w:tc>
          <w:tcPr>
            <w:tcW w:type="dxa" w:w="3322"/>
          </w:tcPr>
          <w:p>
            <w:pPr>
              <w:pStyle w:val="null3"/>
            </w:pPr>
            <w:r>
              <w:rPr/>
              <w:t>截止至投标文件递交截止时间之前，投标人不得在“信用中国”网站（www.creditchina.gov.cn）中被列入严重失信z主体名单查询、未在“中国执行信息公开网”（http：/zxgk.court.gov.cn/shixin/）中被列入失信被执行人、“中国政府采购网(www.ccgp.gov.cn)” 不得被列入政府采购严重违法失信行为记录名单；</w:t>
            </w:r>
          </w:p>
        </w:tc>
        <w:tc>
          <w:tcPr>
            <w:tcW w:type="dxa" w:w="1661"/>
          </w:tcPr>
          <w:p>
            <w:pPr>
              <w:pStyle w:val="null3"/>
            </w:pPr>
            <w:r>
              <w:rPr/>
              <w:t>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投标人资格要求</w:t>
            </w:r>
          </w:p>
        </w:tc>
        <w:tc>
          <w:tcPr>
            <w:tcW w:type="dxa" w:w="3322"/>
          </w:tcPr>
          <w:p>
            <w:pPr>
              <w:pStyle w:val="null3"/>
            </w:pPr>
            <w:r>
              <w:rPr/>
              <w:t>投标人为制造厂家的应出具医疗器械生产许可证（提供的设备须在其生产范围内）和所投设备医疗器械注册证；投标人为经销商的应出具医疗器械经营许可证或《第二类医疗器械经营备案凭证》（提供的设备须在其经营范围内）和所投产品《医疗器械注册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投标人资格要求</w:t>
            </w:r>
          </w:p>
        </w:tc>
        <w:tc>
          <w:tcPr>
            <w:tcW w:type="dxa" w:w="3322"/>
          </w:tcPr>
          <w:p>
            <w:pPr>
              <w:pStyle w:val="null3"/>
            </w:pPr>
            <w:r>
              <w:rPr/>
              <w:t>投标保证金缴纳凭证</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投标人信用要求</w:t>
            </w:r>
          </w:p>
        </w:tc>
        <w:tc>
          <w:tcPr>
            <w:tcW w:type="dxa" w:w="3322"/>
          </w:tcPr>
          <w:p>
            <w:pPr>
              <w:pStyle w:val="null3"/>
            </w:pPr>
            <w:r>
              <w:rPr/>
              <w:t>截止至投标文件递交截止时间之前，投标人不得在“信用中国”网站（www.creditchina.gov.cn）中被列入严重失信z主体名单查询、未在“中国执行信息公开网”（http：/zxgk.court.gov.cn/shixin/）中被列入失信被执行人、“中国政府采购网(www.ccgp.gov.cn)” 不得被列入政府采购严重违法失信行为记录名单；</w:t>
            </w:r>
          </w:p>
        </w:tc>
        <w:tc>
          <w:tcPr>
            <w:tcW w:type="dxa" w:w="1661"/>
          </w:tcPr>
          <w:p>
            <w:pPr>
              <w:pStyle w:val="null3"/>
            </w:pPr>
            <w:r>
              <w:rPr/>
              <w:t>资格证明文件</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 xml:space="preserve"> </w:t>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pPr>
      <w:r>
        <w:rPr/>
        <w:t>采购包2：综合评分法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标的清单</w:t>
            </w:r>
          </w:p>
        </w:tc>
      </w:tr>
      <w:tr>
        <w:tc>
          <w:tcPr>
            <w:tcW w:type="dxa" w:w="831"/>
          </w:tcPr>
          <w:p>
            <w:pPr>
              <w:pStyle w:val="null3"/>
            </w:pPr>
            <w:r>
              <w:rPr/>
              <w:t>2</w:t>
            </w:r>
          </w:p>
        </w:tc>
        <w:tc>
          <w:tcPr>
            <w:tcW w:type="dxa" w:w="2492"/>
          </w:tcPr>
          <w:p>
            <w:pPr>
              <w:pStyle w:val="null3"/>
            </w:pPr>
            <w:r>
              <w:rPr/>
              <w:t>投标人名称是否与营业执照、资质证书一致</w:t>
            </w:r>
          </w:p>
        </w:tc>
        <w:tc>
          <w:tcPr>
            <w:tcW w:type="dxa" w:w="3322"/>
          </w:tcPr>
          <w:p>
            <w:pPr>
              <w:pStyle w:val="null3"/>
            </w:pPr>
            <w:r>
              <w:rPr/>
              <w:t>投标人名称与营业执照、资质证书一致</w:t>
            </w:r>
          </w:p>
        </w:tc>
        <w:tc>
          <w:tcPr>
            <w:tcW w:type="dxa" w:w="1661"/>
          </w:tcPr>
          <w:p>
            <w:pPr>
              <w:pStyle w:val="null3"/>
            </w:pPr>
            <w:r>
              <w:rPr/>
              <w:t>资格证明文件 投标文件封面 投标人应提交的相关资格证明材料</w:t>
            </w:r>
          </w:p>
        </w:tc>
      </w:tr>
      <w:tr>
        <w:tc>
          <w:tcPr>
            <w:tcW w:type="dxa" w:w="831"/>
          </w:tcPr>
          <w:p>
            <w:pPr>
              <w:pStyle w:val="null3"/>
            </w:pPr>
            <w:r>
              <w:rPr/>
              <w:t>3</w:t>
            </w:r>
          </w:p>
        </w:tc>
        <w:tc>
          <w:tcPr>
            <w:tcW w:type="dxa" w:w="2492"/>
          </w:tcPr>
          <w:p>
            <w:pPr>
              <w:pStyle w:val="null3"/>
            </w:pPr>
            <w:r>
              <w:rPr/>
              <w:t>投标报价是否超过预算或最高限价</w:t>
            </w:r>
          </w:p>
        </w:tc>
        <w:tc>
          <w:tcPr>
            <w:tcW w:type="dxa" w:w="3322"/>
          </w:tcPr>
          <w:p>
            <w:pPr>
              <w:pStyle w:val="null3"/>
            </w:pPr>
            <w:r>
              <w:rPr/>
              <w:t>投标报价未超过预算或最高限价</w:t>
            </w:r>
          </w:p>
        </w:tc>
        <w:tc>
          <w:tcPr>
            <w:tcW w:type="dxa" w:w="1661"/>
          </w:tcPr>
          <w:p>
            <w:pPr>
              <w:pStyle w:val="null3"/>
            </w:pPr>
            <w:r>
              <w:rPr/>
              <w:t>开标一览表</w:t>
            </w:r>
          </w:p>
        </w:tc>
      </w:tr>
      <w:tr>
        <w:tc>
          <w:tcPr>
            <w:tcW w:type="dxa" w:w="831"/>
          </w:tcPr>
          <w:p>
            <w:pPr>
              <w:pStyle w:val="null3"/>
            </w:pPr>
            <w:r>
              <w:rPr/>
              <w:t>4</w:t>
            </w:r>
          </w:p>
        </w:tc>
        <w:tc>
          <w:tcPr>
            <w:tcW w:type="dxa" w:w="2492"/>
          </w:tcPr>
          <w:p>
            <w:pPr>
              <w:pStyle w:val="null3"/>
            </w:pPr>
            <w:r>
              <w:rPr/>
              <w:t>投标文件有效期</w:t>
            </w:r>
          </w:p>
        </w:tc>
        <w:tc>
          <w:tcPr>
            <w:tcW w:type="dxa" w:w="3322"/>
          </w:tcPr>
          <w:p>
            <w:pPr>
              <w:pStyle w:val="null3"/>
            </w:pPr>
            <w:r>
              <w:rPr/>
              <w:t>均符合招标文件要求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所投内容完整</w:t>
            </w:r>
          </w:p>
        </w:tc>
        <w:tc>
          <w:tcPr>
            <w:tcW w:type="dxa" w:w="3322"/>
          </w:tcPr>
          <w:p>
            <w:pPr>
              <w:pStyle w:val="null3"/>
            </w:pPr>
            <w:r>
              <w:rPr/>
              <w:t>所投内容完整</w:t>
            </w:r>
          </w:p>
        </w:tc>
        <w:tc>
          <w:tcPr>
            <w:tcW w:type="dxa" w:w="1661"/>
          </w:tcPr>
          <w:p>
            <w:pPr>
              <w:pStyle w:val="null3"/>
            </w:pPr>
            <w:r>
              <w:rPr/>
              <w:t>产品技术参数表 商务应答表 投标文件封面</w:t>
            </w:r>
          </w:p>
        </w:tc>
      </w:tr>
      <w:tr>
        <w:tc>
          <w:tcPr>
            <w:tcW w:type="dxa" w:w="831"/>
          </w:tcPr>
          <w:p>
            <w:pPr>
              <w:pStyle w:val="null3"/>
            </w:pPr>
            <w:r>
              <w:rPr/>
              <w:t>6</w:t>
            </w:r>
          </w:p>
        </w:tc>
        <w:tc>
          <w:tcPr>
            <w:tcW w:type="dxa" w:w="2492"/>
          </w:tcPr>
          <w:p>
            <w:pPr>
              <w:pStyle w:val="null3"/>
            </w:pPr>
            <w:r>
              <w:rPr/>
              <w:t>投标文件有效性</w:t>
            </w:r>
          </w:p>
        </w:tc>
        <w:tc>
          <w:tcPr>
            <w:tcW w:type="dxa" w:w="3322"/>
          </w:tcPr>
          <w:p>
            <w:pPr>
              <w:pStyle w:val="null3"/>
            </w:pPr>
            <w:r>
              <w:rPr/>
              <w:t>符合招标文件的要求</w:t>
            </w:r>
          </w:p>
        </w:tc>
        <w:tc>
          <w:tcPr>
            <w:tcW w:type="dxa" w:w="1661"/>
          </w:tcPr>
          <w:p>
            <w:pPr>
              <w:pStyle w:val="null3"/>
            </w:pPr>
            <w:r>
              <w:rPr/>
              <w:t>开标一览表 投标文件封面</w:t>
            </w:r>
          </w:p>
        </w:tc>
      </w:tr>
      <w:tr>
        <w:tc>
          <w:tcPr>
            <w:tcW w:type="dxa" w:w="831"/>
          </w:tcPr>
          <w:p>
            <w:pPr>
              <w:pStyle w:val="null3"/>
            </w:pPr>
            <w:r>
              <w:rPr/>
              <w:t>7</w:t>
            </w:r>
          </w:p>
        </w:tc>
        <w:tc>
          <w:tcPr>
            <w:tcW w:type="dxa" w:w="2492"/>
          </w:tcPr>
          <w:p>
            <w:pPr>
              <w:pStyle w:val="null3"/>
            </w:pPr>
            <w:r>
              <w:rPr/>
              <w:t>签字盖章是否满足招标文件要求</w:t>
            </w:r>
          </w:p>
        </w:tc>
        <w:tc>
          <w:tcPr>
            <w:tcW w:type="dxa" w:w="3322"/>
          </w:tcPr>
          <w:p>
            <w:pPr>
              <w:pStyle w:val="null3"/>
            </w:pPr>
            <w:r>
              <w:rPr/>
              <w:t>签字盖章均符合招标文件要求，且无遗漏</w:t>
            </w:r>
          </w:p>
        </w:tc>
        <w:tc>
          <w:tcPr>
            <w:tcW w:type="dxa" w:w="1661"/>
          </w:tcPr>
          <w:p>
            <w:pPr>
              <w:pStyle w:val="null3"/>
            </w:pPr>
            <w:r>
              <w:rPr/>
              <w:t>开标一览表 资格证明文件 投标文件封面 拒绝政府采购领域商业贿赂承诺书 投标人应提交的相关资格证明材料</w:t>
            </w:r>
          </w:p>
        </w:tc>
      </w:tr>
      <w:tr>
        <w:tc>
          <w:tcPr>
            <w:tcW w:type="dxa" w:w="831"/>
          </w:tcPr>
          <w:p>
            <w:pPr>
              <w:pStyle w:val="null3"/>
            </w:pPr>
            <w:r>
              <w:rPr/>
              <w:t>8</w:t>
            </w:r>
          </w:p>
        </w:tc>
        <w:tc>
          <w:tcPr>
            <w:tcW w:type="dxa" w:w="2492"/>
          </w:tcPr>
          <w:p>
            <w:pPr>
              <w:pStyle w:val="null3"/>
            </w:pPr>
            <w:r>
              <w:rPr/>
              <w:t>“★”符号标明的条款为实质性要求和条件，投标文件对其中任何一条的负偏离，为实质性偏离，其投标无效</w:t>
            </w:r>
          </w:p>
        </w:tc>
        <w:tc>
          <w:tcPr>
            <w:tcW w:type="dxa" w:w="3322"/>
          </w:tcPr>
          <w:p>
            <w:pPr>
              <w:pStyle w:val="null3"/>
            </w:pPr>
            <w:r>
              <w:rPr/>
              <w:t>“★”符号标明的条款为实质性要求和条件，投标文件对其中任何一条的负偏离，为实质性偏离，其投标无效</w:t>
            </w:r>
          </w:p>
        </w:tc>
        <w:tc>
          <w:tcPr>
            <w:tcW w:type="dxa" w:w="1661"/>
          </w:tcPr>
          <w:p>
            <w:pPr>
              <w:pStyle w:val="null3"/>
            </w:pPr>
            <w:r>
              <w:rPr/>
              <w:t>产品技术参数表 商务应答表 投标文件封面</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标的清单</w:t>
            </w:r>
          </w:p>
        </w:tc>
      </w:tr>
      <w:tr>
        <w:tc>
          <w:tcPr>
            <w:tcW w:type="dxa" w:w="831"/>
          </w:tcPr>
          <w:p>
            <w:pPr>
              <w:pStyle w:val="null3"/>
            </w:pPr>
            <w:r>
              <w:rPr/>
              <w:t>2</w:t>
            </w:r>
          </w:p>
        </w:tc>
        <w:tc>
          <w:tcPr>
            <w:tcW w:type="dxa" w:w="2492"/>
          </w:tcPr>
          <w:p>
            <w:pPr>
              <w:pStyle w:val="null3"/>
            </w:pPr>
            <w:r>
              <w:rPr/>
              <w:t>投标人名称是否与营业执照、资质证书一致</w:t>
            </w:r>
          </w:p>
        </w:tc>
        <w:tc>
          <w:tcPr>
            <w:tcW w:type="dxa" w:w="3322"/>
          </w:tcPr>
          <w:p>
            <w:pPr>
              <w:pStyle w:val="null3"/>
            </w:pPr>
            <w:r>
              <w:rPr/>
              <w:t>投标人名称与营业执照、资质证书一致</w:t>
            </w:r>
          </w:p>
        </w:tc>
        <w:tc>
          <w:tcPr>
            <w:tcW w:type="dxa" w:w="1661"/>
          </w:tcPr>
          <w:p>
            <w:pPr>
              <w:pStyle w:val="null3"/>
            </w:pPr>
            <w:r>
              <w:rPr/>
              <w:t>资格证明文件 投标文件封面 投标人应提交的相关资格证明材料</w:t>
            </w:r>
          </w:p>
        </w:tc>
      </w:tr>
      <w:tr>
        <w:tc>
          <w:tcPr>
            <w:tcW w:type="dxa" w:w="831"/>
          </w:tcPr>
          <w:p>
            <w:pPr>
              <w:pStyle w:val="null3"/>
            </w:pPr>
            <w:r>
              <w:rPr/>
              <w:t>3</w:t>
            </w:r>
          </w:p>
        </w:tc>
        <w:tc>
          <w:tcPr>
            <w:tcW w:type="dxa" w:w="2492"/>
          </w:tcPr>
          <w:p>
            <w:pPr>
              <w:pStyle w:val="null3"/>
            </w:pPr>
            <w:r>
              <w:rPr/>
              <w:t>投标报价未超过预算或最高限价</w:t>
            </w:r>
          </w:p>
        </w:tc>
        <w:tc>
          <w:tcPr>
            <w:tcW w:type="dxa" w:w="3322"/>
          </w:tcPr>
          <w:p>
            <w:pPr>
              <w:pStyle w:val="null3"/>
            </w:pPr>
            <w:r>
              <w:rPr/>
              <w:t>投标报价未超过预算或最高限价</w:t>
            </w:r>
          </w:p>
        </w:tc>
        <w:tc>
          <w:tcPr>
            <w:tcW w:type="dxa" w:w="1661"/>
          </w:tcPr>
          <w:p>
            <w:pPr>
              <w:pStyle w:val="null3"/>
            </w:pPr>
            <w:r>
              <w:rPr/>
              <w:t>开标一览表</w:t>
            </w:r>
          </w:p>
        </w:tc>
      </w:tr>
      <w:tr>
        <w:tc>
          <w:tcPr>
            <w:tcW w:type="dxa" w:w="831"/>
          </w:tcPr>
          <w:p>
            <w:pPr>
              <w:pStyle w:val="null3"/>
            </w:pPr>
            <w:r>
              <w:rPr/>
              <w:t>4</w:t>
            </w:r>
          </w:p>
        </w:tc>
        <w:tc>
          <w:tcPr>
            <w:tcW w:type="dxa" w:w="2492"/>
          </w:tcPr>
          <w:p>
            <w:pPr>
              <w:pStyle w:val="null3"/>
            </w:pPr>
            <w:r>
              <w:rPr/>
              <w:t>投标文件有效期</w:t>
            </w:r>
          </w:p>
        </w:tc>
        <w:tc>
          <w:tcPr>
            <w:tcW w:type="dxa" w:w="3322"/>
          </w:tcPr>
          <w:p>
            <w:pPr>
              <w:pStyle w:val="null3"/>
            </w:pPr>
            <w:r>
              <w:rPr/>
              <w:t>均符合招标文件要求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所投内容完整</w:t>
            </w:r>
          </w:p>
        </w:tc>
        <w:tc>
          <w:tcPr>
            <w:tcW w:type="dxa" w:w="3322"/>
          </w:tcPr>
          <w:p>
            <w:pPr>
              <w:pStyle w:val="null3"/>
            </w:pPr>
            <w:r>
              <w:rPr/>
              <w:t>所投内容完整</w:t>
            </w:r>
          </w:p>
        </w:tc>
        <w:tc>
          <w:tcPr>
            <w:tcW w:type="dxa" w:w="1661"/>
          </w:tcPr>
          <w:p>
            <w:pPr>
              <w:pStyle w:val="null3"/>
            </w:pPr>
            <w:r>
              <w:rPr/>
              <w:t>产品技术参数表 商务应答表 投标文件封面</w:t>
            </w:r>
          </w:p>
        </w:tc>
      </w:tr>
      <w:tr>
        <w:tc>
          <w:tcPr>
            <w:tcW w:type="dxa" w:w="831"/>
          </w:tcPr>
          <w:p>
            <w:pPr>
              <w:pStyle w:val="null3"/>
            </w:pPr>
            <w:r>
              <w:rPr/>
              <w:t>6</w:t>
            </w:r>
          </w:p>
        </w:tc>
        <w:tc>
          <w:tcPr>
            <w:tcW w:type="dxa" w:w="2492"/>
          </w:tcPr>
          <w:p>
            <w:pPr>
              <w:pStyle w:val="null3"/>
            </w:pPr>
            <w:r>
              <w:rPr/>
              <w:t>符合招标文件的要求</w:t>
            </w:r>
          </w:p>
        </w:tc>
        <w:tc>
          <w:tcPr>
            <w:tcW w:type="dxa" w:w="3322"/>
          </w:tcPr>
          <w:p>
            <w:pPr>
              <w:pStyle w:val="null3"/>
            </w:pPr>
            <w:r>
              <w:rPr/>
              <w:t>符合招标文件的要求</w:t>
            </w:r>
          </w:p>
        </w:tc>
        <w:tc>
          <w:tcPr>
            <w:tcW w:type="dxa" w:w="1661"/>
          </w:tcPr>
          <w:p>
            <w:pPr>
              <w:pStyle w:val="null3"/>
            </w:pPr>
            <w:r>
              <w:rPr/>
              <w:t>开标一览表 投标文件封面</w:t>
            </w:r>
          </w:p>
        </w:tc>
      </w:tr>
      <w:tr>
        <w:tc>
          <w:tcPr>
            <w:tcW w:type="dxa" w:w="831"/>
          </w:tcPr>
          <w:p>
            <w:pPr>
              <w:pStyle w:val="null3"/>
            </w:pPr>
            <w:r>
              <w:rPr/>
              <w:t>7</w:t>
            </w:r>
          </w:p>
        </w:tc>
        <w:tc>
          <w:tcPr>
            <w:tcW w:type="dxa" w:w="2492"/>
          </w:tcPr>
          <w:p>
            <w:pPr>
              <w:pStyle w:val="null3"/>
            </w:pPr>
            <w:r>
              <w:rPr/>
              <w:t>签字盖章均符合招标文件要求，且无遗漏</w:t>
            </w:r>
          </w:p>
        </w:tc>
        <w:tc>
          <w:tcPr>
            <w:tcW w:type="dxa" w:w="3322"/>
          </w:tcPr>
          <w:p>
            <w:pPr>
              <w:pStyle w:val="null3"/>
            </w:pPr>
            <w:r>
              <w:rPr/>
              <w:t>签字盖章均符合招标文件要求，且无遗漏</w:t>
            </w:r>
          </w:p>
        </w:tc>
        <w:tc>
          <w:tcPr>
            <w:tcW w:type="dxa" w:w="1661"/>
          </w:tcPr>
          <w:p>
            <w:pPr>
              <w:pStyle w:val="null3"/>
            </w:pPr>
            <w:r>
              <w:rPr/>
              <w:t>开标一览表 资格证明文件 投标文件封面 拒绝政府采购领域商业贿赂承诺书 投标人应提交的相关资格证明材料</w:t>
            </w:r>
          </w:p>
        </w:tc>
      </w:tr>
      <w:tr>
        <w:tc>
          <w:tcPr>
            <w:tcW w:type="dxa" w:w="831"/>
          </w:tcPr>
          <w:p>
            <w:pPr>
              <w:pStyle w:val="null3"/>
            </w:pPr>
            <w:r>
              <w:rPr/>
              <w:t>8</w:t>
            </w:r>
          </w:p>
        </w:tc>
        <w:tc>
          <w:tcPr>
            <w:tcW w:type="dxa" w:w="2492"/>
          </w:tcPr>
          <w:p>
            <w:pPr>
              <w:pStyle w:val="null3"/>
            </w:pPr>
            <w:r>
              <w:rPr/>
              <w:t>“★”符号标明的条款为实质性要求和条件，投标文件对其中任何一条的负偏离，为实质性偏离，其投标无效</w:t>
            </w:r>
          </w:p>
        </w:tc>
        <w:tc>
          <w:tcPr>
            <w:tcW w:type="dxa" w:w="3322"/>
          </w:tcPr>
          <w:p>
            <w:pPr>
              <w:pStyle w:val="null3"/>
            </w:pPr>
            <w:r>
              <w:rPr/>
              <w:t>“★”符号标明的条款为实质性要求和条件，投标文件对其中任何一条的负偏离，为实质性偏离，其投标无效</w:t>
            </w:r>
          </w:p>
        </w:tc>
        <w:tc>
          <w:tcPr>
            <w:tcW w:type="dxa" w:w="1661"/>
          </w:tcPr>
          <w:p>
            <w:pPr>
              <w:pStyle w:val="null3"/>
            </w:pPr>
            <w:r>
              <w:rPr/>
              <w:t>产品技术参数表 商务应答表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详细评审65.00分</w:t>
            </w:r>
          </w:p>
          <w:p>
            <w:pPr>
              <w:pStyle w:val="null3"/>
            </w:pPr>
            <w:r>
              <w:rPr/>
              <w:t>报价得分35.00分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所投设备（产品）技术参数性能满足或优于招标文件要求，且稳定可靠，能够保证整体项目顺利实施，根据各投标人对其所投设备（产品）数量准确、规格进行描述，并提供生产厂家确认的、相应的功能证明材料（包括但不限于检测报告或测试报告或官网和功能截图等），描述无缺漏详细具体且证明材料完整的计35分，每负偏离一项“▲”指标减3分；每负偏离一项非“▲”指标减2分,扣完为止。(正偏离不加分)</w:t>
            </w:r>
          </w:p>
        </w:tc>
        <w:tc>
          <w:tcPr>
            <w:tcW w:type="dxa" w:w="831"/>
          </w:tcPr>
          <w:p>
            <w:pPr>
              <w:pStyle w:val="null3"/>
              <w:jc w:val="right"/>
            </w:pPr>
            <w:r>
              <w:rPr/>
              <w:t>35.00</w:t>
            </w:r>
          </w:p>
        </w:tc>
        <w:tc>
          <w:tcPr>
            <w:tcW w:type="dxa" w:w="831"/>
          </w:tcPr>
          <w:p>
            <w:pPr>
              <w:pStyle w:val="null3"/>
            </w:pPr>
            <w:r>
              <w:rPr/>
              <w:t>客观</w:t>
            </w:r>
          </w:p>
        </w:tc>
        <w:tc>
          <w:tcPr>
            <w:tcW w:type="dxa" w:w="1661"/>
          </w:tcPr>
          <w:p>
            <w:pPr>
              <w:pStyle w:val="null3"/>
            </w:pPr>
            <w:r>
              <w:rPr/>
              <w:t>详细评审方案</w:t>
            </w:r>
          </w:p>
          <w:p>
            <w:pPr>
              <w:pStyle w:val="null3"/>
            </w:pPr>
            <w:r>
              <w:rPr/>
              <w:t>投标人认为需要提供的其他资料（若有）</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实施方案</w:t>
            </w:r>
          </w:p>
        </w:tc>
        <w:tc>
          <w:tcPr>
            <w:tcW w:type="dxa" w:w="2492"/>
          </w:tcPr>
          <w:p>
            <w:pPr>
              <w:pStyle w:val="null3"/>
            </w:pPr>
            <w:r>
              <w:rPr/>
              <w:t>针对本项目及使用单位实际需求提供详细具体可行的有针对性的实施方案，并由专业的技术人员提供设备（产品）安装服务，帮助使用单位将设备（产品）调试到最佳使用状态，保证项目的顺利运行，描述无缺漏详细具体的计8-10分，描述无缺漏但不完整详尽的计分5-7分，描述有缺漏且不完整详尽的计0-4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详细评审方案</w:t>
            </w:r>
          </w:p>
          <w:p>
            <w:pPr>
              <w:pStyle w:val="null3"/>
            </w:pPr>
            <w:r>
              <w:rPr/>
              <w:t>投标人认为需要提供的其他资料（若有）</w:t>
            </w:r>
          </w:p>
        </w:tc>
      </w:tr>
      <w:tr>
        <w:tc>
          <w:tcPr>
            <w:tcW w:type="dxa" w:w="831"/>
            <w:vMerge/>
          </w:tcPr>
          <w:p/>
        </w:tc>
        <w:tc>
          <w:tcPr>
            <w:tcW w:type="dxa" w:w="1661"/>
          </w:tcPr>
          <w:p>
            <w:pPr>
              <w:pStyle w:val="null3"/>
            </w:pPr>
            <w:r>
              <w:rPr/>
              <w:t>交货组织安排</w:t>
            </w:r>
          </w:p>
        </w:tc>
        <w:tc>
          <w:tcPr>
            <w:tcW w:type="dxa" w:w="2492"/>
          </w:tcPr>
          <w:p>
            <w:pPr>
              <w:pStyle w:val="null3"/>
            </w:pPr>
            <w:r>
              <w:rPr/>
              <w:t>投标人针对本项目有具体的交货组织安排，详细的人员、财力调配、运输、派送措施，方案科学合理、可行、全面计3-5分；方案基本合理可行计1-3分，未提供不计分。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详细评审方案</w:t>
            </w:r>
          </w:p>
          <w:p>
            <w:pPr>
              <w:pStyle w:val="null3"/>
            </w:pPr>
            <w:r>
              <w:rPr/>
              <w:t>投标人认为需要提供的其他资料（若有）</w:t>
            </w:r>
          </w:p>
        </w:tc>
      </w:tr>
      <w:tr>
        <w:tc>
          <w:tcPr>
            <w:tcW w:type="dxa" w:w="831"/>
            <w:vMerge/>
          </w:tcPr>
          <w:p/>
        </w:tc>
        <w:tc>
          <w:tcPr>
            <w:tcW w:type="dxa" w:w="1661"/>
          </w:tcPr>
          <w:p>
            <w:pPr>
              <w:pStyle w:val="null3"/>
            </w:pPr>
            <w:r>
              <w:rPr/>
              <w:t>业绩</w:t>
            </w:r>
          </w:p>
        </w:tc>
        <w:tc>
          <w:tcPr>
            <w:tcW w:type="dxa" w:w="2492"/>
          </w:tcPr>
          <w:p>
            <w:pPr>
              <w:pStyle w:val="null3"/>
            </w:pPr>
            <w:r>
              <w:rPr/>
              <w:t>提供自2021年1月1日至今的产品类似业绩（以合同为准），每份业绩得1分，满分5分。未提供有效业绩的不得分。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业绩</w:t>
            </w:r>
          </w:p>
        </w:tc>
      </w:tr>
      <w:tr>
        <w:tc>
          <w:tcPr>
            <w:tcW w:type="dxa" w:w="831"/>
            <w:vMerge/>
          </w:tcPr>
          <w:p/>
        </w:tc>
        <w:tc>
          <w:tcPr>
            <w:tcW w:type="dxa" w:w="1661"/>
          </w:tcPr>
          <w:p>
            <w:pPr>
              <w:pStyle w:val="null3"/>
            </w:pPr>
            <w:r>
              <w:rPr/>
              <w:t>培训方案</w:t>
            </w:r>
          </w:p>
        </w:tc>
        <w:tc>
          <w:tcPr>
            <w:tcW w:type="dxa" w:w="2492"/>
          </w:tcPr>
          <w:p>
            <w:pPr>
              <w:pStyle w:val="null3"/>
            </w:pPr>
            <w:r>
              <w:rPr/>
              <w:t>投标人提供的培训方案（包括但不限于培训人数、培训时间、培训及考核办法等），保证使用方能熟练操作，描述无缺漏详细具体的计1-3分，描述有缺漏且不完整详尽的计0-1分。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详细评审方案</w:t>
            </w:r>
          </w:p>
          <w:p>
            <w:pPr>
              <w:pStyle w:val="null3"/>
            </w:pPr>
            <w:r>
              <w:rPr/>
              <w:t>投标人认为需要提供的其他资料（若有）</w:t>
            </w:r>
          </w:p>
        </w:tc>
      </w:tr>
      <w:tr>
        <w:tc>
          <w:tcPr>
            <w:tcW w:type="dxa" w:w="831"/>
            <w:vMerge/>
          </w:tcPr>
          <w:p/>
        </w:tc>
        <w:tc>
          <w:tcPr>
            <w:tcW w:type="dxa" w:w="1661"/>
          </w:tcPr>
          <w:p>
            <w:pPr>
              <w:pStyle w:val="null3"/>
            </w:pPr>
            <w:r>
              <w:rPr/>
              <w:t>售后服务</w:t>
            </w:r>
          </w:p>
        </w:tc>
        <w:tc>
          <w:tcPr>
            <w:tcW w:type="dxa" w:w="2492"/>
          </w:tcPr>
          <w:p>
            <w:pPr>
              <w:pStyle w:val="null3"/>
            </w:pPr>
            <w:r>
              <w:rPr/>
              <w:t>1、售后服务机构健全，能够提供本地化服务的得0-1分。 2、具有相应的物力、人力保障，能够保证产、供、销，服务正常运转，有详细的在产品发生不同类型故障后的到达现场时间、解决故障时间、补救措施等方面的措施或方案，同时具有明确的承诺且符合实际需求，提供详细的售后服务方案及售后服务承诺等，方案充实详细、有质量保证承诺，具体可行计3-6分，售后服务承诺基本可行，有质量保证承诺计0-3分；未提供不得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详细评审方案</w:t>
            </w:r>
          </w:p>
          <w:p>
            <w:pPr>
              <w:pStyle w:val="null3"/>
            </w:pPr>
            <w:r>
              <w:rPr/>
              <w:t>投标人认为需要提供的其他资料（若有）</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价格分=(评标基准价／投标报价)×报价分值 注：1、计算分数时四舍五入取小数点后两位； 2、落实政府采购政策：参见投标人须知前附表。</w:t>
            </w:r>
          </w:p>
        </w:tc>
        <w:tc>
          <w:tcPr>
            <w:tcW w:type="dxa" w:w="831"/>
          </w:tcPr>
          <w:p>
            <w:pPr>
              <w:pStyle w:val="null3"/>
              <w:jc w:val="right"/>
            </w:pPr>
            <w:r>
              <w:rPr/>
              <w:t>35.00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详细评审65.00分</w:t>
            </w:r>
          </w:p>
          <w:p>
            <w:pPr>
              <w:pStyle w:val="null3"/>
            </w:pPr>
            <w:r>
              <w:rPr/>
              <w:t>报价得分35.00分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所投设备（产品）技术参数性能满足或优于招标文件要求，且稳定可靠，能够保证整体项目顺利实施，根据各投标人对其所投设备（产品）数量准确、规格进行描述，并提供生产厂家确认的、相应的功能证明材料（包括但不限于检测报告或测试报告或官网和功能截图等），每负偏离一项“▲”指标减3分；每负偏离一项非“▲”指标减2分,扣完为止。(正偏离不加分)</w:t>
            </w:r>
          </w:p>
        </w:tc>
        <w:tc>
          <w:tcPr>
            <w:tcW w:type="dxa" w:w="831"/>
          </w:tcPr>
          <w:p>
            <w:pPr>
              <w:pStyle w:val="null3"/>
              <w:jc w:val="right"/>
            </w:pPr>
            <w:r>
              <w:rPr/>
              <w:t>35.00</w:t>
            </w:r>
          </w:p>
        </w:tc>
        <w:tc>
          <w:tcPr>
            <w:tcW w:type="dxa" w:w="831"/>
          </w:tcPr>
          <w:p>
            <w:pPr>
              <w:pStyle w:val="null3"/>
            </w:pPr>
            <w:r>
              <w:rPr/>
              <w:t>客观</w:t>
            </w:r>
          </w:p>
        </w:tc>
        <w:tc>
          <w:tcPr>
            <w:tcW w:type="dxa" w:w="1661"/>
          </w:tcPr>
          <w:p>
            <w:pPr>
              <w:pStyle w:val="null3"/>
            </w:pPr>
            <w:r>
              <w:rPr/>
              <w:t>详细评审方案</w:t>
            </w:r>
          </w:p>
          <w:p>
            <w:pPr>
              <w:pStyle w:val="null3"/>
            </w:pPr>
            <w:r>
              <w:rPr/>
              <w:t>投标人认为需要提供的其他资料（若有）</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实施方案</w:t>
            </w:r>
          </w:p>
        </w:tc>
        <w:tc>
          <w:tcPr>
            <w:tcW w:type="dxa" w:w="2492"/>
          </w:tcPr>
          <w:p>
            <w:pPr>
              <w:pStyle w:val="null3"/>
            </w:pPr>
            <w:r>
              <w:rPr/>
              <w:t>针对本项目及使用单位实际需求提供详细具体可行的有针对性的实施方案，并由专业的技术人员提供设备（产品）安装服务，帮助使用单位将设备（产品）调试到最佳使用状态，保证项目的顺利运行，描述无缺漏详细具体的计8-10分，描述无缺漏但不完整详尽的计分5-7分，描述有缺漏且不完整详尽的计0-4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详细评审方案</w:t>
            </w:r>
          </w:p>
          <w:p>
            <w:pPr>
              <w:pStyle w:val="null3"/>
            </w:pPr>
            <w:r>
              <w:rPr/>
              <w:t>投标人认为需要提供的其他资料（若有）</w:t>
            </w:r>
          </w:p>
        </w:tc>
      </w:tr>
      <w:tr>
        <w:tc>
          <w:tcPr>
            <w:tcW w:type="dxa" w:w="831"/>
            <w:vMerge/>
          </w:tcPr>
          <w:p/>
        </w:tc>
        <w:tc>
          <w:tcPr>
            <w:tcW w:type="dxa" w:w="1661"/>
          </w:tcPr>
          <w:p>
            <w:pPr>
              <w:pStyle w:val="null3"/>
            </w:pPr>
            <w:r>
              <w:rPr/>
              <w:t>交货组织安排</w:t>
            </w:r>
          </w:p>
        </w:tc>
        <w:tc>
          <w:tcPr>
            <w:tcW w:type="dxa" w:w="2492"/>
          </w:tcPr>
          <w:p>
            <w:pPr>
              <w:pStyle w:val="null3"/>
            </w:pPr>
            <w:r>
              <w:rPr/>
              <w:t>投标人针对本项目有具体的交货组织安排，详细的人员、财力调配、运输、派送措施，方案科学合理、可行、全面计3-5分；方案基本合理可行计1-3分，未提供不计分。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详细评审方案</w:t>
            </w:r>
          </w:p>
          <w:p>
            <w:pPr>
              <w:pStyle w:val="null3"/>
            </w:pPr>
            <w:r>
              <w:rPr/>
              <w:t>投标人认为需要提供的其他资料（若有）</w:t>
            </w:r>
          </w:p>
        </w:tc>
      </w:tr>
      <w:tr>
        <w:tc>
          <w:tcPr>
            <w:tcW w:type="dxa" w:w="831"/>
            <w:vMerge/>
          </w:tcPr>
          <w:p/>
        </w:tc>
        <w:tc>
          <w:tcPr>
            <w:tcW w:type="dxa" w:w="1661"/>
          </w:tcPr>
          <w:p>
            <w:pPr>
              <w:pStyle w:val="null3"/>
            </w:pPr>
            <w:r>
              <w:rPr/>
              <w:t>业绩</w:t>
            </w:r>
          </w:p>
        </w:tc>
        <w:tc>
          <w:tcPr>
            <w:tcW w:type="dxa" w:w="2492"/>
          </w:tcPr>
          <w:p>
            <w:pPr>
              <w:pStyle w:val="null3"/>
            </w:pPr>
            <w:r>
              <w:rPr/>
              <w:t>提供自2021年1月1日至今的产品类似业绩（以合同为准），每份业绩得1分，满分5分。未提供有效业绩的不得分。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业绩</w:t>
            </w:r>
          </w:p>
        </w:tc>
      </w:tr>
      <w:tr>
        <w:tc>
          <w:tcPr>
            <w:tcW w:type="dxa" w:w="831"/>
            <w:vMerge/>
          </w:tcPr>
          <w:p/>
        </w:tc>
        <w:tc>
          <w:tcPr>
            <w:tcW w:type="dxa" w:w="1661"/>
          </w:tcPr>
          <w:p>
            <w:pPr>
              <w:pStyle w:val="null3"/>
            </w:pPr>
            <w:r>
              <w:rPr/>
              <w:t>培训方案</w:t>
            </w:r>
          </w:p>
        </w:tc>
        <w:tc>
          <w:tcPr>
            <w:tcW w:type="dxa" w:w="2492"/>
          </w:tcPr>
          <w:p>
            <w:pPr>
              <w:pStyle w:val="null3"/>
            </w:pPr>
            <w:r>
              <w:rPr/>
              <w:t>投标人提供的培训方案（包括但不限于培训人数、培训时间、培训及考核办法等），保证使用方能熟练操作，描述无缺漏详细具体的计1-3分，描述有缺漏且不完整详尽的计0-1分。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详细评审方案</w:t>
            </w:r>
          </w:p>
          <w:p>
            <w:pPr>
              <w:pStyle w:val="null3"/>
            </w:pPr>
            <w:r>
              <w:rPr/>
              <w:t>投标人认为需要提供的其他资料（若有）</w:t>
            </w:r>
          </w:p>
        </w:tc>
      </w:tr>
      <w:tr>
        <w:tc>
          <w:tcPr>
            <w:tcW w:type="dxa" w:w="831"/>
            <w:vMerge/>
          </w:tcPr>
          <w:p/>
        </w:tc>
        <w:tc>
          <w:tcPr>
            <w:tcW w:type="dxa" w:w="1661"/>
          </w:tcPr>
          <w:p>
            <w:pPr>
              <w:pStyle w:val="null3"/>
            </w:pPr>
            <w:r>
              <w:rPr/>
              <w:t>售后服务</w:t>
            </w:r>
          </w:p>
        </w:tc>
        <w:tc>
          <w:tcPr>
            <w:tcW w:type="dxa" w:w="2492"/>
          </w:tcPr>
          <w:p>
            <w:pPr>
              <w:pStyle w:val="null3"/>
            </w:pPr>
            <w:r>
              <w:rPr/>
              <w:t>1、售后服务机构健全，能够提供本地化服务的得0-1分。 2、具有相应的物力、人力保障，能够保证产、供、销，服务正常运转，有详细的在产品发生不同类型故障后的到达现场时间、解决故障时间、补救措施等方面的措施或方案，同时具有明确的承诺且符合实际需求，提供详细的售后服务方案及售后服务承诺等，方案充实详细、有质量保证承诺，具体可行计3-6分，售后服务承诺基本可行，有质量保证承诺计0-3分；未提供不得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详细评审方案</w:t>
            </w:r>
          </w:p>
          <w:p>
            <w:pPr>
              <w:pStyle w:val="null3"/>
            </w:pPr>
            <w:r>
              <w:rPr/>
              <w:t>投标人认为需要提供的其他资料（若有）</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价格分=(评标基准价／投标报价)×报价分值 注：1、计算分数时四舍五入取小数点后两位； 2、落实政府采购政策：参见投标人须知前附表。</w:t>
            </w:r>
          </w:p>
        </w:tc>
        <w:tc>
          <w:tcPr>
            <w:tcW w:type="dxa" w:w="831"/>
          </w:tcPr>
          <w:p>
            <w:pPr>
              <w:pStyle w:val="null3"/>
              <w:jc w:val="right"/>
            </w:pPr>
            <w:r>
              <w:rPr/>
              <w:t>35.00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详见附件：资格证明文件</w:t>
      </w:r>
    </w:p>
    <w:p>
      <w:pPr>
        <w:pStyle w:val="null3"/>
        <w:ind w:firstLine="960"/>
      </w:pPr>
      <w:r>
        <w:rPr/>
        <w:t>详见附件：详细评审方案</w:t>
      </w:r>
    </w:p>
    <w:p>
      <w:pPr>
        <w:pStyle w:val="null3"/>
        <w:ind w:firstLine="960"/>
      </w:pPr>
      <w:r>
        <w:rPr/>
        <w:t>详见附件：业绩</w:t>
      </w:r>
    </w:p>
    <w:p>
      <w:pPr>
        <w:pStyle w:val="null3"/>
        <w:ind w:firstLine="960"/>
      </w:pPr>
      <w:r>
        <w:rPr/>
        <w:t>详见附件：拒绝政府采购领域商业贿赂承诺书</w:t>
      </w:r>
    </w:p>
    <w:p>
      <w:pPr>
        <w:pStyle w:val="null3"/>
        <w:ind w:firstLine="960"/>
      </w:pPr>
      <w:r>
        <w:rPr/>
        <w:t>详见附件：投标人认为需要提供的其他资料（若有）</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详见附件：资格证明文件</w:t>
      </w:r>
    </w:p>
    <w:p>
      <w:pPr>
        <w:pStyle w:val="null3"/>
        <w:ind w:firstLine="960"/>
      </w:pPr>
      <w:r>
        <w:rPr/>
        <w:t>详见附件：详细评审方案</w:t>
      </w:r>
    </w:p>
    <w:p>
      <w:pPr>
        <w:pStyle w:val="null3"/>
        <w:ind w:firstLine="960"/>
      </w:pPr>
      <w:r>
        <w:rPr/>
        <w:t>详见附件：业绩</w:t>
      </w:r>
    </w:p>
    <w:p>
      <w:pPr>
        <w:pStyle w:val="null3"/>
        <w:ind w:firstLine="960"/>
      </w:pPr>
      <w:r>
        <w:rPr/>
        <w:t>详见附件：拒绝政府采购领域商业贿赂承诺书</w:t>
      </w:r>
    </w:p>
    <w:p>
      <w:pPr>
        <w:pStyle w:val="null3"/>
        <w:ind w:firstLine="960"/>
      </w:pPr>
      <w:r>
        <w:rPr/>
        <w:t>详见附件：投标人认为需要提供的其他资料（若有）</w:t>
      </w:r>
    </w:p>
    <w:p>
      <w:pPr>
        <w:pStyle w:val="null3"/>
      </w:pPr>
      <w:r>
        <w:rPr/>
        <w:t xml:space="preserve"> </w:t>
      </w:r>
    </w:p>
    <w:p>
      <w:pPr>
        <w:pStyle w:val="null3"/>
        <w:jc w:val="center"/>
        <w:outlineLvl w:val="1"/>
      </w:pPr>
      <w:r>
        <w:rPr>
          <w:b/>
          <w:sz w:val="36"/>
        </w:rPr>
        <w:t>第七章 拟签订合同文本</w:t>
      </w:r>
    </w:p>
    <w:p>
      <w:pPr>
        <w:pStyle w:val="null3"/>
      </w:pPr>
      <w:r>
        <w:rPr/>
        <w:t>详见附件：拟签订的采购合同文本.docx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