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版本号：241014001</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郭杜校区教室智能化改造项目</w:t>
      </w:r>
    </w:p>
    <w:p>
      <w:pPr>
        <w:pStyle w:val="null3"/>
        <w:jc w:val="center"/>
        <w:outlineLvl w:val="2"/>
      </w:pPr>
      <w:r>
        <w:rPr>
          <w:sz w:val="28"/>
          <w:b/>
        </w:rPr>
        <w:t>采购项目编号：</w:t>
      </w:r>
      <w:r>
        <w:rPr>
          <w:sz w:val="28"/>
          <w:b/>
        </w:rPr>
        <w:t>BC-2024-102</w:t>
      </w:r>
      <w:r>
        <w:br/>
      </w:r>
      <w:r>
        <w:br/>
      </w:r>
      <w:r>
        <w:br/>
      </w:r>
    </w:p>
    <w:p>
      <w:pPr>
        <w:pStyle w:val="null3"/>
        <w:jc w:val="center"/>
        <w:outlineLvl w:val="2"/>
      </w:pPr>
      <w:r>
        <w:rPr>
          <w:sz w:val="28"/>
          <w:b/>
        </w:rPr>
        <w:t>陕西开放大学</w:t>
      </w:r>
    </w:p>
    <w:p>
      <w:pPr>
        <w:pStyle w:val="null3"/>
        <w:jc w:val="center"/>
        <w:outlineLvl w:val="2"/>
      </w:pPr>
      <w:r>
        <w:rPr>
          <w:sz w:val="28"/>
          <w:b/>
        </w:rPr>
        <w:t>佰晨项目管理有限公司</w:t>
      </w:r>
      <w:r>
        <w:rPr>
          <w:sz w:val="28"/>
          <w:b/>
        </w:rPr>
        <w:t>共同编制</w:t>
      </w:r>
    </w:p>
    <w:p>
      <w:pPr>
        <w:pStyle w:val="null3"/>
        <w:jc w:val="center"/>
        <w:outlineLvl w:val="2"/>
      </w:pPr>
      <w:r>
        <w:rPr>
          <w:sz w:val="28"/>
          <w:b/>
        </w:rPr>
        <w:t>2024年10月14日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佰晨项目管理有限公司</w:t>
      </w:r>
      <w:r>
        <w:rPr/>
        <w:t>（以下简称“代理机构”）受</w:t>
      </w:r>
      <w:r>
        <w:rPr/>
        <w:t>陕西开放大学</w:t>
      </w:r>
      <w:r>
        <w:rPr/>
        <w:t>委托，拟对</w:t>
      </w:r>
      <w:r>
        <w:rPr/>
        <w:t>郭杜校区教室智能化改造项目</w:t>
      </w:r>
      <w:r>
        <w:rPr/>
        <w:t>进行国内公开招标，兹邀请符合本次招标要求的供应商参加投标。</w:t>
      </w:r>
    </w:p>
    <w:p>
      <w:pPr>
        <w:pStyle w:val="null3"/>
        <w:outlineLvl w:val="2"/>
      </w:pPr>
      <w:r>
        <w:rPr>
          <w:sz w:val="28"/>
          <w:b/>
        </w:rPr>
        <w:t>一、采购项目编号：</w:t>
      </w:r>
      <w:r>
        <w:rPr>
          <w:sz w:val="28"/>
          <w:b/>
        </w:rPr>
        <w:t>BC-2024-102</w:t>
      </w:r>
    </w:p>
    <w:p>
      <w:pPr>
        <w:pStyle w:val="null3"/>
        <w:outlineLvl w:val="2"/>
      </w:pPr>
      <w:r>
        <w:rPr>
          <w:sz w:val="28"/>
          <w:b/>
        </w:rPr>
        <w:t>二、采购项目名称：</w:t>
      </w:r>
      <w:r>
        <w:rPr>
          <w:sz w:val="28"/>
          <w:b/>
        </w:rPr>
        <w:t>郭杜校区教室智能化改造项目</w:t>
      </w:r>
    </w:p>
    <w:p>
      <w:pPr>
        <w:pStyle w:val="null3"/>
        <w:outlineLvl w:val="2"/>
      </w:pPr>
      <w:r>
        <w:rPr>
          <w:sz w:val="28"/>
          <w:b/>
        </w:rPr>
        <w:t>三、招标项目简介</w:t>
      </w:r>
    </w:p>
    <w:p>
      <w:pPr>
        <w:pStyle w:val="null3"/>
        <w:ind w:firstLine="480"/>
      </w:pPr>
      <w:r>
        <w:rPr/>
        <w:t>拟将郭杜校区26间普通教室改造为集中管控型智慧教室，部署区域位于郭杜校区教学楼1层、5层、6层全部教室，具体内容见招标文件第三章内容；</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1、具有独立承担民事责任能力的法人 、其他组织或自然人：供应商提供合法有效的统一社会信用代码营业执照 ( 事业单位提供事业单位法人证书， 自然人应提 供身份证）</w:t>
      </w:r>
    </w:p>
    <w:p>
      <w:pPr>
        <w:pStyle w:val="null3"/>
      </w:pPr>
      <w:r>
        <w:rPr/>
        <w:t>2、财务状况证明：供应商提供2023年度经审计完整的财务审计报 告（成立时间至提交投标文件截止时间不足一 年的可提供成立后任意时段的资产负债表）， 或其开标前六个月内银行出具的资信证明，或财政部门认可的政府采购专业担保机构出具的 投标担保函</w:t>
      </w:r>
    </w:p>
    <w:p>
      <w:pPr>
        <w:pStyle w:val="null3"/>
      </w:pPr>
      <w:r>
        <w:rPr/>
        <w:t>3、税收缴纳证明：供应商提供2024年1月以来至少一个月的纳税证明或完税证明，依法免税的单位应提供相关证明材料</w:t>
      </w:r>
    </w:p>
    <w:p>
      <w:pPr>
        <w:pStyle w:val="null3"/>
      </w:pPr>
      <w:r>
        <w:rPr/>
        <w:t>4、社会保障资金缴纳证明：供应商提供2024年1月以来至少一个月的社会保障资 金缴存单据或社保机构开具的社会保险参保缴 费情况证明。依法不需要缴纳社会保障资金的 供应商应提供相关文件证明</w:t>
      </w:r>
    </w:p>
    <w:p>
      <w:pPr>
        <w:pStyle w:val="null3"/>
      </w:pPr>
      <w:r>
        <w:rPr/>
        <w:t>5、具有履行合同所必需的设备和专业 技术能力的书面声明：具有履行合同所必需的设备和专业技术能力的 书面声明</w:t>
      </w:r>
    </w:p>
    <w:p>
      <w:pPr>
        <w:pStyle w:val="null3"/>
      </w:pPr>
      <w:r>
        <w:rPr/>
        <w:t>6、法定代表人、授权代理人证明：法定代表人参加采购的，须提供本人身份证复印件（附在资格证明文件中）；法定代表人授权他人参加投标的，须提供法定代表人授权委托书。招标文件中凡是需要法定代表人盖章之处， 非法人单位的负责人均参照执行。 法人的分支机构参与投标时，除提供《法定代表人授权委托书》外， 还须同时提供法人给分支机构出具的授权书。</w:t>
      </w:r>
    </w:p>
    <w:p>
      <w:pPr>
        <w:pStyle w:val="null3"/>
      </w:pPr>
      <w:r>
        <w:rPr/>
        <w:t>7、参加政府采购活动前3年内在经营 活动中没有重大违法记录的书面声 明：参加政府采购活动前3年内在经营活动中没有重 大违法记录的书面声明</w:t>
      </w:r>
    </w:p>
    <w:p>
      <w:pPr>
        <w:pStyle w:val="null3"/>
      </w:pPr>
      <w:r>
        <w:rPr/>
        <w:t>8、本项目不接受联合体投标：本项目不接受联合体投标，依据要求承诺，未提供格式则自行承诺。</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陕西开放大学</w:t>
      </w:r>
    </w:p>
    <w:p>
      <w:pPr>
        <w:pStyle w:val="null3"/>
      </w:pPr>
      <w:r>
        <w:rPr/>
        <w:t xml:space="preserve"> 地址： </w:t>
      </w:r>
      <w:r>
        <w:rPr/>
        <w:t>西安市长安区郭杜北街19号</w:t>
      </w:r>
    </w:p>
    <w:p>
      <w:pPr>
        <w:pStyle w:val="null3"/>
      </w:pPr>
      <w:r>
        <w:rPr/>
        <w:t xml:space="preserve"> 邮编： </w:t>
      </w:r>
      <w:r>
        <w:rPr/>
        <w:t>710119</w:t>
      </w:r>
    </w:p>
    <w:p>
      <w:pPr>
        <w:pStyle w:val="null3"/>
      </w:pPr>
      <w:r>
        <w:rPr/>
        <w:t xml:space="preserve"> 联系人： </w:t>
      </w:r>
      <w:r>
        <w:rPr/>
        <w:t>帅老师</w:t>
      </w:r>
    </w:p>
    <w:p>
      <w:pPr>
        <w:pStyle w:val="null3"/>
      </w:pPr>
      <w:r>
        <w:rPr/>
        <w:t xml:space="preserve"> 联系电话： </w:t>
      </w:r>
      <w:r>
        <w:rPr/>
        <w:t>81896974</w:t>
      </w:r>
    </w:p>
    <w:p>
      <w:pPr>
        <w:pStyle w:val="null3"/>
        <w:outlineLvl w:val="2"/>
      </w:pPr>
      <w:r>
        <w:rPr>
          <w:sz w:val="28"/>
          <w:b/>
        </w:rPr>
        <w:t>代理机构：</w:t>
      </w:r>
      <w:r>
        <w:rPr>
          <w:sz w:val="28"/>
          <w:b/>
        </w:rPr>
        <w:t>佰晨项目管理有限公司</w:t>
      </w:r>
    </w:p>
    <w:p>
      <w:pPr>
        <w:pStyle w:val="null3"/>
      </w:pPr>
      <w:r>
        <w:rPr/>
        <w:t xml:space="preserve"> 地址： </w:t>
      </w:r>
      <w:r>
        <w:rPr/>
        <w:t>西安市西咸新区沣东新城文宣一路中兴深蓝科技产业园三期3号楼</w:t>
      </w:r>
    </w:p>
    <w:p>
      <w:pPr>
        <w:pStyle w:val="null3"/>
      </w:pPr>
      <w:r>
        <w:rPr/>
        <w:t xml:space="preserve"> 邮编： </w:t>
      </w:r>
      <w:r>
        <w:rPr/>
        <w:t>710000</w:t>
      </w:r>
    </w:p>
    <w:p>
      <w:pPr>
        <w:pStyle w:val="null3"/>
      </w:pPr>
      <w:r>
        <w:rPr/>
        <w:t xml:space="preserve"> 联系人： </w:t>
      </w:r>
      <w:r>
        <w:rPr/>
        <w:t>王科维</w:t>
      </w:r>
    </w:p>
    <w:p>
      <w:pPr>
        <w:pStyle w:val="null3"/>
      </w:pPr>
      <w:r>
        <w:rPr/>
        <w:t xml:space="preserve"> 联系电话： </w:t>
      </w:r>
      <w:r>
        <w:rPr/>
        <w:t>15502932360</w:t>
      </w:r>
    </w:p>
    <w:p>
      <w:pPr>
        <w:pStyle w:val="null3"/>
        <w:outlineLvl w:val="2"/>
      </w:pPr>
      <w:r>
        <w:rPr>
          <w:sz w:val="28"/>
          <w:b/>
        </w:rPr>
        <w:t>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采购包1：1,396,008.00元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w:t>
            </w:r>
            <w:r>
              <w:rPr/>
              <w:t>产品属于节能产品政府采购品目清单中应优先采购的产品范围，本项目采购的</w:t>
            </w:r>
            <w:r>
              <w:rPr/>
              <w:t>/</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参照国家计委颁布的《招标代理服务收费管理暂行办法》（计价格[2002 ]1980号）和发改办价格[2003]857号文件等法律法规规定的计价标准取。供应商将招标代理服务费计入投标报价但不单独列明，中标单位在领取中标通知书前，须向采购代理机构一次性支付招标代理服务费；代理服务费以转账、电汇或现金等形式交纳。</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陕西开放大学</w:t>
      </w:r>
      <w:r>
        <w:rPr/>
        <w:t>和</w:t>
      </w:r>
      <w:r>
        <w:rPr/>
        <w:t>佰晨项目管理有限公司</w:t>
      </w:r>
      <w:r>
        <w:rPr/>
        <w:t>享有。对招标文件中供应商参加本次政府采购活动应当具备的条件，招标项目技术、服务、商务及其他要求，评标细则及标准由</w:t>
      </w:r>
      <w:r>
        <w:rPr/>
        <w:t>陕西开放大学</w:t>
      </w:r>
      <w:r>
        <w:rPr/>
        <w:t>负责解释。除上述招标文件内容，其他内容由</w:t>
      </w:r>
      <w:r>
        <w:rPr/>
        <w:t>佰晨项目管理有限公司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陕西开放大学</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佰晨项目管理有限公司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sz w:val="24"/>
          <w:b/>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 xml:space="preserve"> 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2.6.5履约验收方案</w:t>
      </w:r>
    </w:p>
    <w:p>
      <w:pPr>
        <w:pStyle w:val="null3"/>
      </w:pPr>
      <w:r>
        <w:rPr/>
        <w:t>采购包1：</w:t>
      </w:r>
    </w:p>
    <w:p>
      <w:pPr>
        <w:pStyle w:val="null3"/>
      </w:pPr>
      <w:r>
        <w:rPr/>
        <w:t>按照合同约定执行，详见合同附件</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sz w:val="24"/>
          <w:b/>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佰晨项目管理有限公司</w:t>
      </w:r>
      <w:r>
        <w:rPr/>
        <w:t xml:space="preserve"> 负责答复；供应商对除采购需求外的采购文件的询问、质疑由</w:t>
      </w:r>
      <w:r>
        <w:rPr/>
        <w:t>佰晨项目管理有限公司</w:t>
      </w:r>
      <w:r>
        <w:rPr/>
        <w:t xml:space="preserve"> 负责答复；供应商对采购过程、采购结果的询问、质疑由 </w:t>
      </w:r>
      <w:r>
        <w:rPr/>
        <w:t>佰晨项目管理有限公司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联系人：王科维</w:t>
      </w:r>
    </w:p>
    <w:p>
      <w:pPr>
        <w:pStyle w:val="null3"/>
      </w:pPr>
      <w:r>
        <w:rPr/>
        <w:t>联系电话：15502932360</w:t>
      </w:r>
    </w:p>
    <w:p>
      <w:pPr>
        <w:pStyle w:val="null3"/>
      </w:pPr>
      <w:r>
        <w:rPr/>
        <w:t>地址：西安市科技二路启迪清扬时代D座10楼21003室</w:t>
      </w:r>
    </w:p>
    <w:p>
      <w:pPr>
        <w:pStyle w:val="null3"/>
      </w:pPr>
      <w:r>
        <w:rPr/>
        <w:t>邮编：710000</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sz w:val="28"/>
          <w:b/>
        </w:rPr>
        <w:t>3.1采购项目概况</w:t>
      </w:r>
    </w:p>
    <w:p>
      <w:pPr>
        <w:pStyle w:val="null3"/>
        <w:ind w:firstLine="480"/>
      </w:pPr>
      <w:r>
        <w:rPr/>
        <w:t>拟将郭杜校区26间普通教室改造为集中管控型智慧教室，部署区域位于郭杜校区教学楼1层、5层、6层全部教室，具体内容见招标文件</w:t>
      </w:r>
    </w:p>
    <w:p>
      <w:pPr>
        <w:pStyle w:val="null3"/>
        <w:outlineLvl w:val="2"/>
      </w:pPr>
      <w:r>
        <w:rPr>
          <w:sz w:val="28"/>
          <w:b/>
        </w:rPr>
        <w:t>3.2采购内容</w:t>
      </w:r>
    </w:p>
    <w:p>
      <w:pPr>
        <w:pStyle w:val="null3"/>
      </w:pPr>
      <w:r>
        <w:rPr/>
        <w:t>采购包1：</w:t>
      </w:r>
    </w:p>
    <w:p>
      <w:pPr>
        <w:pStyle w:val="null3"/>
      </w:pPr>
      <w:r>
        <w:rPr/>
        <w:t>采购包预算金额（元）: 1,396,008.00</w:t>
      </w:r>
    </w:p>
    <w:p>
      <w:pPr>
        <w:pStyle w:val="null3"/>
      </w:pPr>
      <w:r>
        <w:rPr/>
        <w:t>采购包最高限价（元）: 1,396,008.00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教室智能化改造</w:t>
            </w:r>
          </w:p>
        </w:tc>
        <w:tc>
          <w:tcPr>
            <w:tcW w:type="dxa" w:w="831"/>
          </w:tcPr>
          <w:p>
            <w:pPr>
              <w:pStyle w:val="null3"/>
              <w:jc w:val="right"/>
            </w:pPr>
            <w:r>
              <w:rPr/>
              <w:t>1.00</w:t>
            </w:r>
          </w:p>
        </w:tc>
        <w:tc>
          <w:tcPr>
            <w:tcW w:type="dxa" w:w="831"/>
          </w:tcPr>
          <w:p>
            <w:pPr>
              <w:pStyle w:val="null3"/>
              <w:jc w:val="right"/>
            </w:pPr>
            <w:r>
              <w:rPr/>
              <w:t>1,396,008.00</w:t>
            </w:r>
          </w:p>
        </w:tc>
        <w:tc>
          <w:tcPr>
            <w:tcW w:type="dxa" w:w="831"/>
          </w:tcPr>
          <w:p>
            <w:pPr>
              <w:pStyle w:val="null3"/>
            </w:pPr>
            <w:r>
              <w:rPr/>
              <w:t>项</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标的名称：教室智能化改造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jc w:val="both"/>
            </w:pPr>
            <w:r>
              <w:rPr>
                <w:rFonts w:ascii="宋体" w:hAnsi="宋体" w:cs="宋体" w:eastAsia="宋体"/>
                <w:sz w:val="18"/>
              </w:rPr>
              <w:t>1、激光智慧黑板（1台）：</w:t>
            </w:r>
            <w:r>
              <w:rPr>
                <w:rFonts w:ascii="宋体" w:hAnsi="宋体" w:cs="宋体" w:eastAsia="宋体"/>
                <w:sz w:val="18"/>
              </w:rPr>
              <w:t>1、整机采用一体化设计，外观尺寸长度≥4500mm，高≥1300mm，双侧极窄边框宽度不大于4mm。整机包含红外触控显示面板、激光显示单元、智能中控、电脑主机、功放、音箱等功能，集成在整个框架内；无外露连接线，非单侧或双侧箱体连接式结构，整机安装无需触控板触摸线、中控等布线施工。</w:t>
            </w:r>
            <w:r>
              <w:rPr>
                <w:rFonts w:ascii="宋体" w:hAnsi="宋体" w:cs="宋体" w:eastAsia="宋体"/>
                <w:sz w:val="18"/>
              </w:rPr>
              <w:t>10、激光显示单元分辨率：≥1920*1080；16：9。</w:t>
            </w:r>
          </w:p>
        </w:tc>
      </w:tr>
      <w:tr>
        <w:tc>
          <w:tcPr>
            <w:tcW w:type="dxa" w:w="2769"/>
          </w:tcPr>
          <w:p/>
        </w:tc>
        <w:tc>
          <w:tcPr>
            <w:tcW w:type="dxa" w:w="2769"/>
          </w:tcPr>
          <w:p>
            <w:pPr>
              <w:pStyle w:val="null3"/>
            </w:pPr>
            <w:r>
              <w:rPr/>
              <w:t>2</w:t>
            </w:r>
          </w:p>
        </w:tc>
        <w:tc>
          <w:tcPr>
            <w:tcW w:type="dxa" w:w="2769"/>
          </w:tcPr>
          <w:p>
            <w:pPr>
              <w:pStyle w:val="null3"/>
              <w:jc w:val="both"/>
            </w:pPr>
            <w:r>
              <w:rPr/>
              <w:t>激光智慧黑板：</w:t>
            </w:r>
          </w:p>
          <w:p>
            <w:pPr>
              <w:pStyle w:val="null3"/>
              <w:jc w:val="left"/>
            </w:pPr>
            <w:r>
              <w:rPr>
                <w:rFonts w:ascii="宋体" w:hAnsi="宋体" w:cs="宋体" w:eastAsia="宋体"/>
                <w:sz w:val="18"/>
              </w:rPr>
              <w:t>2、主屏采用红外触摸技术，显示屏可视尺寸及可触控尺寸≥100 英寸，显示比例 16：9，最高可支持 20 点触控。</w:t>
            </w:r>
          </w:p>
          <w:p>
            <w:pPr>
              <w:pStyle w:val="null3"/>
              <w:jc w:val="left"/>
            </w:pPr>
            <w:r>
              <w:rPr>
                <w:rFonts w:ascii="宋体" w:hAnsi="宋体" w:cs="宋体" w:eastAsia="宋体"/>
                <w:sz w:val="18"/>
              </w:rPr>
              <w:t>3、前置中控面板:采用电容触摸按键设计，前面板具有音量+、音量-、静音、系统开/关、显示开/关、菜单、确认、上下左右等物理按键，可单独打开/关闭激光显示单元。</w:t>
            </w:r>
          </w:p>
          <w:p>
            <w:pPr>
              <w:pStyle w:val="null3"/>
              <w:jc w:val="left"/>
            </w:pPr>
            <w:r>
              <w:rPr>
                <w:rFonts w:ascii="宋体" w:hAnsi="宋体" w:cs="宋体" w:eastAsia="宋体"/>
                <w:sz w:val="18"/>
              </w:rPr>
              <w:t>4、整机前置接口至少包含 Type c、TOUCH USB，HDMI，≥3 路 USB3.0，且所有按键及接口需位于黑板屏幕下侧。</w:t>
            </w:r>
          </w:p>
          <w:p>
            <w:pPr>
              <w:pStyle w:val="null3"/>
              <w:jc w:val="left"/>
            </w:pPr>
            <w:r>
              <w:rPr>
                <w:rFonts w:ascii="宋体" w:hAnsi="宋体" w:cs="宋体" w:eastAsia="宋体"/>
                <w:sz w:val="18"/>
              </w:rPr>
              <w:t>5、后置接口至少包含 RS232 串口通迅*1，AUDIO OUT（接功放输出）*1，HDMI OUT*1 AC IN(110V~220V)*1\ACOUT(110V~220V)*1。</w:t>
            </w:r>
          </w:p>
          <w:p>
            <w:pPr>
              <w:pStyle w:val="null3"/>
              <w:jc w:val="left"/>
            </w:pPr>
            <w:r>
              <w:rPr>
                <w:rFonts w:ascii="宋体" w:hAnsi="宋体" w:cs="宋体" w:eastAsia="宋体"/>
                <w:sz w:val="18"/>
              </w:rPr>
              <w:t>6、板面快捷键：双边、每边都有物理快捷功能键，快捷键不少于 18 个，包括但不限于以下：触摸校准、自定义、打开、桌面、最小化、窗口关闭、新建页面、上一页、下一页、红笔、蓝笔、黑笔、智能笔、橡皮擦、撤销、清屏、保存、选择、展台等。</w:t>
            </w:r>
          </w:p>
          <w:p>
            <w:pPr>
              <w:pStyle w:val="null3"/>
              <w:jc w:val="left"/>
            </w:pPr>
            <w:r>
              <w:rPr>
                <w:rFonts w:ascii="宋体" w:hAnsi="宋体" w:cs="宋体" w:eastAsia="宋体"/>
                <w:sz w:val="18"/>
              </w:rPr>
              <w:t>7、支持多种开机方式，包括 NFC 开机、按键开机、遥控开机，NFC 专用卡片支持手机读卡复制功能，实现手机开机。</w:t>
            </w:r>
          </w:p>
          <w:p>
            <w:pPr>
              <w:pStyle w:val="null3"/>
              <w:jc w:val="left"/>
            </w:pPr>
            <w:r>
              <w:rPr>
                <w:rFonts w:ascii="宋体" w:hAnsi="宋体" w:cs="宋体" w:eastAsia="宋体"/>
                <w:sz w:val="18"/>
              </w:rPr>
              <w:t>8、内置像素高清摄像头≥1200 万，摄像头可拍摄角度为 ≥120°，内置阵列麦克风数≥8 ，拾音距离≥10 米。</w:t>
            </w:r>
          </w:p>
          <w:p>
            <w:pPr>
              <w:pStyle w:val="null3"/>
              <w:jc w:val="left"/>
            </w:pPr>
            <w:r>
              <w:rPr>
                <w:rFonts w:ascii="宋体" w:hAnsi="宋体" w:cs="宋体" w:eastAsia="宋体"/>
                <w:sz w:val="18"/>
              </w:rPr>
              <w:t>9、双侧副板均支持多种书写笔书写，如粉笔、水溶性粉笔、水笔等。</w:t>
            </w:r>
          </w:p>
          <w:p>
            <w:pPr>
              <w:pStyle w:val="null3"/>
              <w:jc w:val="left"/>
            </w:pPr>
            <w:r>
              <w:rPr>
                <w:rFonts w:ascii="宋体" w:hAnsi="宋体" w:cs="宋体" w:eastAsia="宋体"/>
                <w:sz w:val="18"/>
              </w:rPr>
              <w:t>11、激光显示单元对比度：≥100000：1。</w:t>
            </w:r>
          </w:p>
          <w:p>
            <w:pPr>
              <w:pStyle w:val="null3"/>
              <w:jc w:val="left"/>
            </w:pPr>
            <w:r>
              <w:rPr>
                <w:rFonts w:ascii="宋体" w:hAnsi="宋体" w:cs="宋体" w:eastAsia="宋体"/>
                <w:sz w:val="18"/>
              </w:rPr>
              <w:t>12、激光固态光源，≥25000小时超长使用寿命。</w:t>
            </w:r>
          </w:p>
          <w:p>
            <w:pPr>
              <w:pStyle w:val="null3"/>
              <w:jc w:val="left"/>
            </w:pPr>
            <w:r>
              <w:rPr>
                <w:rFonts w:ascii="宋体" w:hAnsi="宋体" w:cs="宋体" w:eastAsia="宋体"/>
                <w:sz w:val="18"/>
              </w:rPr>
              <w:t>13、激光显示特性：3D，超短焦（0.233）</w:t>
            </w:r>
          </w:p>
          <w:p>
            <w:pPr>
              <w:pStyle w:val="null3"/>
              <w:jc w:val="left"/>
            </w:pPr>
            <w:r>
              <w:rPr>
                <w:rFonts w:ascii="宋体" w:hAnsi="宋体" w:cs="宋体" w:eastAsia="宋体"/>
                <w:sz w:val="18"/>
              </w:rPr>
              <w:t>14、符合 3C 认证，节能环保认证，防尘等级 IP6X。</w:t>
            </w:r>
          </w:p>
          <w:p>
            <w:pPr>
              <w:pStyle w:val="null3"/>
              <w:jc w:val="left"/>
            </w:pPr>
            <w:r>
              <w:rPr>
                <w:rFonts w:ascii="宋体" w:hAnsi="宋体" w:cs="宋体" w:eastAsia="宋体"/>
                <w:sz w:val="18"/>
              </w:rPr>
              <w:t>内置电脑：（配置不低于以下要求）</w:t>
            </w:r>
          </w:p>
          <w:p>
            <w:pPr>
              <w:pStyle w:val="null3"/>
              <w:jc w:val="left"/>
            </w:pPr>
            <w:r>
              <w:rPr>
                <w:rFonts w:ascii="宋体" w:hAnsi="宋体" w:cs="宋体" w:eastAsia="宋体"/>
                <w:sz w:val="18"/>
              </w:rPr>
              <w:t>OPS电脑</w:t>
            </w:r>
          </w:p>
          <w:p>
            <w:pPr>
              <w:pStyle w:val="null3"/>
              <w:jc w:val="left"/>
            </w:pPr>
            <w:r>
              <w:rPr>
                <w:rFonts w:ascii="宋体" w:hAnsi="宋体" w:cs="宋体" w:eastAsia="宋体"/>
                <w:sz w:val="18"/>
              </w:rPr>
              <w:t>（</w:t>
            </w:r>
            <w:r>
              <w:rPr>
                <w:rFonts w:ascii="宋体" w:hAnsi="宋体" w:cs="宋体" w:eastAsia="宋体"/>
                <w:sz w:val="18"/>
              </w:rPr>
              <w:t>1） 采用Intel I5 12代及以上处理器、内存≥8GB、固态硬盘≥256G；开放式可插接INTEL规范接口（OPS接口）。</w:t>
            </w:r>
          </w:p>
          <w:p>
            <w:pPr>
              <w:pStyle w:val="null3"/>
              <w:jc w:val="left"/>
            </w:pPr>
            <w:r>
              <w:rPr>
                <w:rFonts w:ascii="宋体" w:hAnsi="宋体" w:cs="宋体" w:eastAsia="宋体"/>
                <w:sz w:val="18"/>
              </w:rPr>
              <w:t>（</w:t>
            </w:r>
            <w:r>
              <w:rPr>
                <w:rFonts w:ascii="宋体" w:hAnsi="宋体" w:cs="宋体" w:eastAsia="宋体"/>
                <w:sz w:val="18"/>
              </w:rPr>
              <w:t>2）支持WIFI无线网络，带RJ45接口100M/1000Mbs。</w:t>
            </w:r>
          </w:p>
          <w:p>
            <w:pPr>
              <w:pStyle w:val="null3"/>
              <w:jc w:val="left"/>
            </w:pPr>
            <w:r>
              <w:rPr>
                <w:rFonts w:ascii="宋体" w:hAnsi="宋体" w:cs="宋体" w:eastAsia="宋体"/>
                <w:sz w:val="18"/>
              </w:rPr>
              <w:t>（</w:t>
            </w:r>
            <w:r>
              <w:rPr>
                <w:rFonts w:ascii="宋体" w:hAnsi="宋体" w:cs="宋体" w:eastAsia="宋体"/>
                <w:sz w:val="18"/>
              </w:rPr>
              <w:t>3）接口：LINE OUT*1，MIC IN*1，HDMI*1，RJ45*1，WIFI*2，USB*4。</w:t>
            </w:r>
          </w:p>
          <w:p>
            <w:pPr>
              <w:pStyle w:val="null3"/>
              <w:jc w:val="left"/>
            </w:pPr>
            <w:r>
              <w:rPr>
                <w:rFonts w:ascii="宋体" w:hAnsi="宋体" w:cs="宋体" w:eastAsia="宋体"/>
                <w:sz w:val="18"/>
              </w:rPr>
              <w:t>（</w:t>
            </w:r>
            <w:r>
              <w:rPr>
                <w:rFonts w:ascii="宋体" w:hAnsi="宋体" w:cs="宋体" w:eastAsia="宋体"/>
                <w:sz w:val="18"/>
              </w:rPr>
              <w:t>4）支持电源：AC input:100-240V/50-60HZ ；DC output:19V/5A。</w:t>
            </w:r>
          </w:p>
          <w:p>
            <w:pPr>
              <w:pStyle w:val="null3"/>
              <w:jc w:val="left"/>
            </w:pPr>
          </w:p>
        </w:tc>
      </w:tr>
      <w:tr>
        <w:tc>
          <w:tcPr>
            <w:tcW w:type="dxa" w:w="2769"/>
          </w:tcPr>
          <w:p>
            <w:pPr>
              <w:pStyle w:val="null3"/>
            </w:pPr>
            <w:r>
              <w:rPr/>
              <w:t>▲</w:t>
            </w:r>
          </w:p>
        </w:tc>
        <w:tc>
          <w:tcPr>
            <w:tcW w:type="dxa" w:w="2769"/>
          </w:tcPr>
          <w:p>
            <w:pPr>
              <w:pStyle w:val="null3"/>
            </w:pPr>
            <w:r>
              <w:rPr/>
              <w:t>3</w:t>
            </w:r>
          </w:p>
        </w:tc>
        <w:tc>
          <w:tcPr>
            <w:tcW w:type="dxa" w:w="2769"/>
          </w:tcPr>
          <w:p>
            <w:pPr>
              <w:pStyle w:val="null3"/>
              <w:jc w:val="both"/>
            </w:pPr>
            <w:r>
              <w:rPr>
                <w:rFonts w:ascii="宋体" w:hAnsi="宋体" w:cs="宋体" w:eastAsia="宋体"/>
                <w:sz w:val="18"/>
              </w:rPr>
              <w:t>2、超短焦投影机（25台）：</w:t>
            </w:r>
            <w:r>
              <w:rPr>
                <w:rFonts w:ascii="宋体" w:hAnsi="宋体" w:cs="宋体" w:eastAsia="宋体"/>
                <w:sz w:val="18"/>
              </w:rPr>
              <w:t>7.亮度≥5300流明；</w:t>
            </w:r>
          </w:p>
        </w:tc>
      </w:tr>
      <w:tr>
        <w:tc>
          <w:tcPr>
            <w:tcW w:type="dxa" w:w="2769"/>
          </w:tcPr>
          <w:p/>
        </w:tc>
        <w:tc>
          <w:tcPr>
            <w:tcW w:type="dxa" w:w="2769"/>
          </w:tcPr>
          <w:p>
            <w:pPr>
              <w:pStyle w:val="null3"/>
            </w:pPr>
            <w:r>
              <w:rPr/>
              <w:t>4</w:t>
            </w:r>
          </w:p>
        </w:tc>
        <w:tc>
          <w:tcPr>
            <w:tcW w:type="dxa" w:w="2769"/>
          </w:tcPr>
          <w:p>
            <w:pPr>
              <w:pStyle w:val="null3"/>
              <w:jc w:val="left"/>
            </w:pPr>
            <w:r>
              <w:rPr>
                <w:rFonts w:ascii="宋体" w:hAnsi="宋体" w:cs="宋体" w:eastAsia="宋体"/>
                <w:sz w:val="18"/>
              </w:rPr>
              <w:t>超短焦投影机：</w:t>
            </w:r>
          </w:p>
          <w:p>
            <w:pPr>
              <w:pStyle w:val="null3"/>
              <w:jc w:val="left"/>
            </w:pPr>
            <w:r>
              <w:rPr>
                <w:rFonts w:ascii="宋体" w:hAnsi="宋体" w:cs="宋体" w:eastAsia="宋体"/>
                <w:sz w:val="18"/>
              </w:rPr>
              <w:t>1.纯激光光源；</w:t>
            </w:r>
          </w:p>
          <w:p>
            <w:pPr>
              <w:pStyle w:val="null3"/>
              <w:jc w:val="left"/>
            </w:pPr>
            <w:r>
              <w:rPr>
                <w:rFonts w:ascii="宋体" w:hAnsi="宋体" w:cs="宋体" w:eastAsia="宋体"/>
                <w:sz w:val="18"/>
              </w:rPr>
              <w:t>2.单机物理分辨率≥1920×1080；长宽比16:9，</w:t>
            </w:r>
          </w:p>
          <w:p>
            <w:pPr>
              <w:pStyle w:val="null3"/>
              <w:jc w:val="left"/>
            </w:pPr>
            <w:r>
              <w:rPr>
                <w:rFonts w:ascii="宋体" w:hAnsi="宋体" w:cs="宋体" w:eastAsia="宋体"/>
                <w:sz w:val="18"/>
              </w:rPr>
              <w:t>3.画面投射比≤0.25；</w:t>
            </w:r>
          </w:p>
          <w:p>
            <w:pPr>
              <w:pStyle w:val="null3"/>
              <w:jc w:val="left"/>
            </w:pPr>
            <w:r>
              <w:rPr>
                <w:rFonts w:ascii="宋体" w:hAnsi="宋体" w:cs="宋体" w:eastAsia="宋体"/>
                <w:sz w:val="18"/>
              </w:rPr>
              <w:t>4.电动聚焦镜头；</w:t>
            </w:r>
          </w:p>
          <w:p>
            <w:pPr>
              <w:pStyle w:val="null3"/>
              <w:jc w:val="left"/>
            </w:pPr>
            <w:r>
              <w:rPr>
                <w:rFonts w:ascii="宋体" w:hAnsi="宋体" w:cs="宋体" w:eastAsia="宋体"/>
                <w:sz w:val="18"/>
              </w:rPr>
              <w:t>5.对比度≥500000:1；</w:t>
            </w:r>
          </w:p>
          <w:p>
            <w:pPr>
              <w:pStyle w:val="null3"/>
              <w:jc w:val="left"/>
            </w:pPr>
            <w:r>
              <w:rPr>
                <w:rFonts w:ascii="宋体" w:hAnsi="宋体" w:cs="宋体" w:eastAsia="宋体"/>
                <w:sz w:val="18"/>
              </w:rPr>
              <w:t>6.色域：色域覆盖面积＞REC.709标准；</w:t>
            </w:r>
          </w:p>
          <w:p>
            <w:pPr>
              <w:pStyle w:val="null3"/>
              <w:jc w:val="left"/>
            </w:pPr>
            <w:r>
              <w:rPr>
                <w:rFonts w:ascii="宋体" w:hAnsi="宋体" w:cs="宋体" w:eastAsia="宋体"/>
                <w:sz w:val="18"/>
              </w:rPr>
              <w:t>8.整机≥IP5X级，光源系统≥IP6X；</w:t>
            </w:r>
          </w:p>
          <w:p>
            <w:pPr>
              <w:pStyle w:val="null3"/>
              <w:jc w:val="both"/>
            </w:pPr>
            <w:r>
              <w:rPr>
                <w:rFonts w:ascii="宋体" w:hAnsi="宋体" w:cs="宋体" w:eastAsia="宋体"/>
                <w:sz w:val="18"/>
              </w:rPr>
              <w:t>9.光源寿命≥25000小时</w:t>
            </w:r>
          </w:p>
          <w:p>
            <w:pPr>
              <w:pStyle w:val="null3"/>
              <w:jc w:val="left"/>
            </w:pPr>
          </w:p>
        </w:tc>
      </w:tr>
      <w:tr>
        <w:tc>
          <w:tcPr>
            <w:tcW w:type="dxa" w:w="2769"/>
          </w:tcPr>
          <w:p/>
        </w:tc>
        <w:tc>
          <w:tcPr>
            <w:tcW w:type="dxa" w:w="2769"/>
          </w:tcPr>
          <w:p>
            <w:pPr>
              <w:pStyle w:val="null3"/>
            </w:pPr>
            <w:r>
              <w:rPr/>
              <w:t>5</w:t>
            </w:r>
          </w:p>
        </w:tc>
        <w:tc>
          <w:tcPr>
            <w:tcW w:type="dxa" w:w="2769"/>
          </w:tcPr>
          <w:p>
            <w:pPr>
              <w:pStyle w:val="null3"/>
              <w:jc w:val="both"/>
            </w:pPr>
            <w:r>
              <w:rPr>
                <w:rFonts w:ascii="宋体" w:hAnsi="宋体" w:cs="宋体" w:eastAsia="宋体"/>
                <w:sz w:val="18"/>
              </w:rPr>
              <w:t>150吋画框幕布（25张）：</w:t>
            </w:r>
            <w:r>
              <w:rPr>
                <w:rFonts w:ascii="宋体" w:hAnsi="宋体" w:cs="宋体" w:eastAsia="宋体"/>
                <w:sz w:val="18"/>
              </w:rPr>
              <w:t>画框幕布：</w:t>
            </w:r>
            <w:r>
              <w:rPr>
                <w:rFonts w:ascii="宋体" w:hAnsi="宋体" w:cs="宋体" w:eastAsia="宋体"/>
                <w:sz w:val="18"/>
              </w:rPr>
              <w:t>150吋，16:9比例，可视角度≥130度，≥1倍增益，幕布环保，幕面可清洁，阻燃，无毒。</w:t>
            </w:r>
          </w:p>
        </w:tc>
      </w:tr>
      <w:tr>
        <w:tc>
          <w:tcPr>
            <w:tcW w:type="dxa" w:w="2769"/>
          </w:tcPr>
          <w:p/>
        </w:tc>
        <w:tc>
          <w:tcPr>
            <w:tcW w:type="dxa" w:w="2769"/>
          </w:tcPr>
          <w:p>
            <w:pPr>
              <w:pStyle w:val="null3"/>
            </w:pPr>
            <w:r>
              <w:rPr/>
              <w:t>6</w:t>
            </w:r>
          </w:p>
        </w:tc>
        <w:tc>
          <w:tcPr>
            <w:tcW w:type="dxa" w:w="2769"/>
          </w:tcPr>
          <w:p>
            <w:pPr>
              <w:pStyle w:val="null3"/>
              <w:jc w:val="both"/>
            </w:pPr>
            <w:r>
              <w:rPr>
                <w:rFonts w:ascii="宋体" w:hAnsi="宋体" w:cs="宋体" w:eastAsia="宋体"/>
                <w:sz w:val="18"/>
              </w:rPr>
              <w:t>上下推拉黑板（25块）：</w:t>
            </w:r>
          </w:p>
          <w:p>
            <w:pPr>
              <w:pStyle w:val="null3"/>
              <w:jc w:val="left"/>
            </w:pPr>
            <w:r>
              <w:rPr>
                <w:rFonts w:ascii="宋体" w:hAnsi="宋体" w:cs="宋体" w:eastAsia="宋体"/>
                <w:sz w:val="18"/>
              </w:rPr>
              <w:t>1.上下推拉黑板：整体外包大框。尺寸参考规格：150吋画框</w:t>
            </w:r>
          </w:p>
          <w:p>
            <w:pPr>
              <w:pStyle w:val="null3"/>
              <w:jc w:val="left"/>
            </w:pPr>
            <w:r>
              <w:rPr>
                <w:rFonts w:ascii="宋体" w:hAnsi="宋体" w:cs="宋体" w:eastAsia="宋体"/>
                <w:sz w:val="18"/>
              </w:rPr>
              <w:t>2.金属边框，</w:t>
            </w:r>
          </w:p>
          <w:p>
            <w:pPr>
              <w:pStyle w:val="null3"/>
              <w:jc w:val="left"/>
            </w:pPr>
            <w:r>
              <w:rPr>
                <w:rFonts w:ascii="宋体" w:hAnsi="宋体" w:cs="宋体" w:eastAsia="宋体"/>
                <w:sz w:val="18"/>
              </w:rPr>
              <w:t>3.内芯材料：采用高密度聚苯乙烯板，厚度≥15mm，</w:t>
            </w:r>
          </w:p>
          <w:p>
            <w:pPr>
              <w:pStyle w:val="null3"/>
              <w:jc w:val="both"/>
            </w:pPr>
            <w:r>
              <w:rPr>
                <w:rFonts w:ascii="宋体" w:hAnsi="宋体" w:cs="宋体" w:eastAsia="宋体"/>
                <w:sz w:val="18"/>
              </w:rPr>
              <w:t>4.板面材料： 材料采用烤漆钢板，板面基板厚度≥0.3mm，颜色墨绿色。</w:t>
            </w:r>
          </w:p>
          <w:p>
            <w:pPr>
              <w:pStyle w:val="null3"/>
              <w:jc w:val="both"/>
            </w:pPr>
          </w:p>
        </w:tc>
      </w:tr>
      <w:tr>
        <w:tc>
          <w:tcPr>
            <w:tcW w:type="dxa" w:w="2769"/>
          </w:tcPr>
          <w:p/>
        </w:tc>
        <w:tc>
          <w:tcPr>
            <w:tcW w:type="dxa" w:w="2769"/>
          </w:tcPr>
          <w:p>
            <w:pPr>
              <w:pStyle w:val="null3"/>
            </w:pPr>
            <w:r>
              <w:rPr/>
              <w:t>7</w:t>
            </w:r>
          </w:p>
        </w:tc>
        <w:tc>
          <w:tcPr>
            <w:tcW w:type="dxa" w:w="2769"/>
          </w:tcPr>
          <w:p>
            <w:pPr>
              <w:pStyle w:val="null3"/>
              <w:jc w:val="both"/>
            </w:pPr>
            <w:r>
              <w:rPr>
                <w:rFonts w:ascii="宋体" w:hAnsi="宋体" w:cs="宋体" w:eastAsia="宋体"/>
                <w:sz w:val="18"/>
              </w:rPr>
              <w:t>投影机吊架（25台）：</w:t>
            </w:r>
          </w:p>
          <w:p>
            <w:pPr>
              <w:pStyle w:val="null3"/>
              <w:jc w:val="left"/>
            </w:pPr>
            <w:r>
              <w:rPr>
                <w:rFonts w:ascii="宋体" w:hAnsi="宋体" w:cs="宋体" w:eastAsia="宋体"/>
                <w:sz w:val="18"/>
              </w:rPr>
              <w:t>超短焦投影机吊架</w:t>
            </w:r>
          </w:p>
          <w:p>
            <w:pPr>
              <w:pStyle w:val="null3"/>
              <w:jc w:val="left"/>
            </w:pPr>
            <w:r>
              <w:rPr>
                <w:rFonts w:ascii="宋体" w:hAnsi="宋体" w:cs="宋体" w:eastAsia="宋体"/>
                <w:sz w:val="18"/>
              </w:rPr>
              <w:t>专业商用投影机超短焦投影机吊架</w:t>
            </w:r>
          </w:p>
          <w:p>
            <w:pPr>
              <w:pStyle w:val="null3"/>
              <w:jc w:val="both"/>
            </w:pPr>
            <w:r>
              <w:rPr>
                <w:rFonts w:ascii="宋体" w:hAnsi="宋体" w:cs="宋体" w:eastAsia="宋体"/>
                <w:sz w:val="18"/>
              </w:rPr>
              <w:t>超短焦投影机壁挂支架、冷轧钢板、</w:t>
            </w:r>
          </w:p>
          <w:p>
            <w:pPr>
              <w:pStyle w:val="null3"/>
              <w:jc w:val="both"/>
            </w:pPr>
          </w:p>
        </w:tc>
      </w:tr>
      <w:tr>
        <w:tc>
          <w:tcPr>
            <w:tcW w:type="dxa" w:w="2769"/>
          </w:tcPr>
          <w:p/>
        </w:tc>
        <w:tc>
          <w:tcPr>
            <w:tcW w:type="dxa" w:w="2769"/>
          </w:tcPr>
          <w:p>
            <w:pPr>
              <w:pStyle w:val="null3"/>
            </w:pPr>
            <w:r>
              <w:rPr/>
              <w:t>8</w:t>
            </w:r>
          </w:p>
        </w:tc>
        <w:tc>
          <w:tcPr>
            <w:tcW w:type="dxa" w:w="2769"/>
          </w:tcPr>
          <w:p>
            <w:pPr>
              <w:pStyle w:val="null3"/>
            </w:pPr>
            <w:r>
              <w:rPr/>
              <w:t>音箱（26对）：</w:t>
            </w:r>
          </w:p>
          <w:p>
            <w:pPr>
              <w:pStyle w:val="null3"/>
              <w:jc w:val="left"/>
            </w:pPr>
            <w:r>
              <w:rPr>
                <w:rFonts w:ascii="宋体" w:hAnsi="宋体" w:cs="宋体" w:eastAsia="宋体"/>
                <w:sz w:val="18"/>
              </w:rPr>
              <w:t>1、额定功率：≥50W；</w:t>
            </w:r>
          </w:p>
          <w:p>
            <w:pPr>
              <w:pStyle w:val="null3"/>
              <w:jc w:val="left"/>
            </w:pPr>
            <w:r>
              <w:rPr>
                <w:rFonts w:ascii="宋体" w:hAnsi="宋体" w:cs="宋体" w:eastAsia="宋体"/>
                <w:sz w:val="18"/>
              </w:rPr>
              <w:t>2、最大功率：≥180W；</w:t>
            </w:r>
          </w:p>
          <w:p>
            <w:pPr>
              <w:pStyle w:val="null3"/>
              <w:jc w:val="left"/>
            </w:pPr>
            <w:r>
              <w:rPr>
                <w:rFonts w:ascii="宋体" w:hAnsi="宋体" w:cs="宋体" w:eastAsia="宋体"/>
                <w:sz w:val="18"/>
              </w:rPr>
              <w:t>3、额定阻抗：≥8Ω</w:t>
            </w:r>
          </w:p>
          <w:p>
            <w:pPr>
              <w:pStyle w:val="null3"/>
              <w:jc w:val="left"/>
            </w:pPr>
            <w:r>
              <w:rPr>
                <w:rFonts w:ascii="宋体" w:hAnsi="宋体" w:cs="宋体" w:eastAsia="宋体"/>
                <w:sz w:val="18"/>
              </w:rPr>
              <w:t>4、频率响应：优于60Hz-20kHz（-10dB)；</w:t>
            </w:r>
          </w:p>
          <w:p>
            <w:pPr>
              <w:pStyle w:val="null3"/>
              <w:jc w:val="left"/>
            </w:pPr>
            <w:r>
              <w:rPr>
                <w:rFonts w:ascii="宋体" w:hAnsi="宋体" w:cs="宋体" w:eastAsia="宋体"/>
                <w:sz w:val="18"/>
              </w:rPr>
              <w:t>5、总谐波失真：≤4%；</w:t>
            </w:r>
          </w:p>
          <w:p>
            <w:pPr>
              <w:pStyle w:val="null3"/>
              <w:jc w:val="left"/>
            </w:pPr>
            <w:r>
              <w:rPr>
                <w:rFonts w:ascii="宋体" w:hAnsi="宋体" w:cs="宋体" w:eastAsia="宋体"/>
                <w:sz w:val="18"/>
              </w:rPr>
              <w:t>6、灵敏度（8Ω/1W/1m）：≥95(±3)dB；</w:t>
            </w:r>
          </w:p>
          <w:p>
            <w:pPr>
              <w:pStyle w:val="null3"/>
              <w:jc w:val="left"/>
            </w:pPr>
            <w:r>
              <w:rPr>
                <w:rFonts w:ascii="宋体" w:hAnsi="宋体" w:cs="宋体" w:eastAsia="宋体"/>
                <w:sz w:val="18"/>
              </w:rPr>
              <w:t>7、安装：标配壁挂</w:t>
            </w:r>
          </w:p>
          <w:p>
            <w:pPr>
              <w:pStyle w:val="null3"/>
              <w:jc w:val="left"/>
            </w:pPr>
            <w:r>
              <w:rPr>
                <w:rFonts w:ascii="宋体" w:hAnsi="宋体" w:cs="宋体" w:eastAsia="宋体"/>
                <w:sz w:val="18"/>
              </w:rPr>
              <w:t>8、支持蓝牙麦克风</w:t>
            </w:r>
          </w:p>
          <w:p>
            <w:pPr>
              <w:pStyle w:val="null3"/>
              <w:jc w:val="both"/>
            </w:pPr>
            <w:r>
              <w:rPr>
                <w:rFonts w:ascii="宋体" w:hAnsi="宋体" w:cs="宋体" w:eastAsia="宋体"/>
                <w:sz w:val="18"/>
              </w:rPr>
              <w:t>注：包含挂件</w:t>
            </w:r>
          </w:p>
        </w:tc>
      </w:tr>
      <w:tr>
        <w:tc>
          <w:tcPr>
            <w:tcW w:type="dxa" w:w="2769"/>
          </w:tcPr>
          <w:p/>
        </w:tc>
        <w:tc>
          <w:tcPr>
            <w:tcW w:type="dxa" w:w="2769"/>
          </w:tcPr>
          <w:p>
            <w:pPr>
              <w:pStyle w:val="null3"/>
            </w:pPr>
            <w:r>
              <w:rPr/>
              <w:t>9</w:t>
            </w:r>
          </w:p>
        </w:tc>
        <w:tc>
          <w:tcPr>
            <w:tcW w:type="dxa" w:w="2769"/>
          </w:tcPr>
          <w:p>
            <w:pPr>
              <w:pStyle w:val="null3"/>
            </w:pPr>
            <w:r>
              <w:rPr/>
              <w:t>鹅颈麦（26套）：</w:t>
            </w:r>
          </w:p>
          <w:p>
            <w:pPr>
              <w:pStyle w:val="null3"/>
              <w:jc w:val="left"/>
            </w:pPr>
            <w:r>
              <w:rPr>
                <w:rFonts w:ascii="宋体" w:hAnsi="宋体" w:cs="宋体" w:eastAsia="宋体"/>
                <w:sz w:val="18"/>
              </w:rPr>
              <w:t>1、换能方式：电容式；</w:t>
            </w:r>
          </w:p>
          <w:p>
            <w:pPr>
              <w:pStyle w:val="null3"/>
              <w:jc w:val="left"/>
            </w:pPr>
            <w:r>
              <w:rPr>
                <w:rFonts w:ascii="宋体" w:hAnsi="宋体" w:cs="宋体" w:eastAsia="宋体"/>
                <w:sz w:val="18"/>
              </w:rPr>
              <w:t>2、指向性：超心型指向；</w:t>
            </w:r>
          </w:p>
          <w:p>
            <w:pPr>
              <w:pStyle w:val="null3"/>
              <w:jc w:val="left"/>
            </w:pPr>
            <w:r>
              <w:rPr>
                <w:rFonts w:ascii="宋体" w:hAnsi="宋体" w:cs="宋体" w:eastAsia="宋体"/>
                <w:sz w:val="18"/>
              </w:rPr>
              <w:t>3、频率响应：优于40Hz-16KHz ；</w:t>
            </w:r>
          </w:p>
          <w:p>
            <w:pPr>
              <w:pStyle w:val="null3"/>
              <w:jc w:val="left"/>
            </w:pPr>
            <w:r>
              <w:rPr>
                <w:rFonts w:ascii="宋体" w:hAnsi="宋体" w:cs="宋体" w:eastAsia="宋体"/>
                <w:sz w:val="18"/>
              </w:rPr>
              <w:t>4、灵敏度：-40dB±2dB；</w:t>
            </w:r>
          </w:p>
          <w:p>
            <w:pPr>
              <w:pStyle w:val="null3"/>
              <w:jc w:val="left"/>
            </w:pPr>
            <w:r>
              <w:rPr>
                <w:rFonts w:ascii="宋体" w:hAnsi="宋体" w:cs="宋体" w:eastAsia="宋体"/>
                <w:sz w:val="18"/>
              </w:rPr>
              <w:t>5、输出阻抗：≥200Ω ；</w:t>
            </w:r>
          </w:p>
          <w:p>
            <w:pPr>
              <w:pStyle w:val="null3"/>
              <w:jc w:val="both"/>
            </w:pPr>
            <w:r>
              <w:rPr>
                <w:rFonts w:ascii="宋体" w:hAnsi="宋体" w:cs="宋体" w:eastAsia="宋体"/>
                <w:sz w:val="18"/>
              </w:rPr>
              <w:t>6、支持幻像供电；</w:t>
            </w:r>
          </w:p>
        </w:tc>
      </w:tr>
      <w:tr>
        <w:tc>
          <w:tcPr>
            <w:tcW w:type="dxa" w:w="2769"/>
          </w:tcPr>
          <w:p/>
        </w:tc>
        <w:tc>
          <w:tcPr>
            <w:tcW w:type="dxa" w:w="2769"/>
          </w:tcPr>
          <w:p>
            <w:pPr>
              <w:pStyle w:val="null3"/>
            </w:pPr>
            <w:r>
              <w:rPr/>
              <w:t>10</w:t>
            </w:r>
          </w:p>
        </w:tc>
        <w:tc>
          <w:tcPr>
            <w:tcW w:type="dxa" w:w="2769"/>
          </w:tcPr>
          <w:p>
            <w:pPr>
              <w:pStyle w:val="null3"/>
            </w:pPr>
            <w:r>
              <w:rPr/>
              <w:t>蓝牙麦克风（26套）：</w:t>
            </w:r>
          </w:p>
          <w:p>
            <w:pPr>
              <w:pStyle w:val="null3"/>
              <w:jc w:val="left"/>
            </w:pPr>
            <w:r>
              <w:rPr>
                <w:rFonts w:ascii="宋体" w:hAnsi="宋体" w:cs="宋体" w:eastAsia="宋体"/>
                <w:sz w:val="18"/>
              </w:rPr>
              <w:t>1、阻抗≥4Ω</w:t>
            </w:r>
          </w:p>
          <w:p>
            <w:pPr>
              <w:pStyle w:val="null3"/>
              <w:jc w:val="left"/>
            </w:pPr>
            <w:r>
              <w:rPr>
                <w:rFonts w:ascii="宋体" w:hAnsi="宋体" w:cs="宋体" w:eastAsia="宋体"/>
                <w:sz w:val="18"/>
              </w:rPr>
              <w:t>2、频率响应优于100Hz-15kHz</w:t>
            </w:r>
          </w:p>
          <w:p>
            <w:pPr>
              <w:pStyle w:val="null3"/>
              <w:jc w:val="left"/>
            </w:pPr>
            <w:r>
              <w:rPr>
                <w:rFonts w:ascii="宋体" w:hAnsi="宋体" w:cs="宋体" w:eastAsia="宋体"/>
                <w:sz w:val="18"/>
              </w:rPr>
              <w:t>3、信噪比≥60dB (A-Weighted) @1W 4Ω</w:t>
            </w:r>
          </w:p>
          <w:p>
            <w:pPr>
              <w:pStyle w:val="null3"/>
              <w:jc w:val="both"/>
            </w:pPr>
            <w:r>
              <w:rPr>
                <w:rFonts w:ascii="宋体" w:hAnsi="宋体" w:cs="宋体" w:eastAsia="宋体"/>
                <w:sz w:val="18"/>
              </w:rPr>
              <w:t>4、4、使用方式：手持式或领夹式</w:t>
            </w:r>
          </w:p>
        </w:tc>
      </w:tr>
      <w:tr>
        <w:tc>
          <w:tcPr>
            <w:tcW w:type="dxa" w:w="2769"/>
          </w:tcPr>
          <w:p>
            <w:pPr>
              <w:pStyle w:val="null3"/>
            </w:pPr>
            <w:r>
              <w:rPr/>
              <w:t>★</w:t>
            </w:r>
          </w:p>
        </w:tc>
        <w:tc>
          <w:tcPr>
            <w:tcW w:type="dxa" w:w="2769"/>
          </w:tcPr>
          <w:p>
            <w:pPr>
              <w:pStyle w:val="null3"/>
            </w:pPr>
            <w:r>
              <w:rPr/>
              <w:t>11</w:t>
            </w:r>
          </w:p>
        </w:tc>
        <w:tc>
          <w:tcPr>
            <w:tcW w:type="dxa" w:w="2769"/>
          </w:tcPr>
          <w:p>
            <w:pPr>
              <w:pStyle w:val="null3"/>
            </w:pPr>
            <w:r>
              <w:rPr/>
              <w:t>集中管控平台（1套）：</w:t>
            </w:r>
          </w:p>
          <w:p>
            <w:pPr>
              <w:pStyle w:val="null3"/>
              <w:jc w:val="left"/>
            </w:pPr>
            <w:r>
              <w:rPr>
                <w:rFonts w:ascii="宋体" w:hAnsi="宋体" w:cs="宋体" w:eastAsia="宋体"/>
                <w:sz w:val="18"/>
              </w:rPr>
              <w:t>1、</w:t>
            </w:r>
            <w:r>
              <w:rPr>
                <w:rFonts w:ascii="宋体" w:hAnsi="宋体" w:cs="宋体" w:eastAsia="宋体"/>
                <w:sz w:val="18"/>
              </w:rPr>
              <w:t>支持多个客户端、多个管理用户同时登录；移动端自动适配</w:t>
            </w:r>
            <w:r>
              <w:rPr>
                <w:rFonts w:ascii="宋体" w:hAnsi="宋体" w:cs="宋体" w:eastAsia="宋体"/>
                <w:sz w:val="18"/>
              </w:rPr>
              <w:t>H5页面,支持浏览教室监控和计算机桌面。</w:t>
            </w:r>
          </w:p>
          <w:p>
            <w:pPr>
              <w:pStyle w:val="null3"/>
              <w:jc w:val="left"/>
            </w:pPr>
            <w:r>
              <w:rPr>
                <w:rFonts w:ascii="宋体" w:hAnsi="宋体" w:cs="宋体" w:eastAsia="宋体"/>
                <w:sz w:val="18"/>
              </w:rPr>
              <w:t>2、支持系统管理功能：网络设置、关机、重启、系统信息及运行状态查看，支持一键上下课功能。</w:t>
            </w:r>
          </w:p>
          <w:p>
            <w:pPr>
              <w:pStyle w:val="null3"/>
              <w:jc w:val="left"/>
            </w:pPr>
            <w:r>
              <w:rPr>
                <w:rFonts w:ascii="宋体" w:hAnsi="宋体" w:cs="宋体" w:eastAsia="宋体"/>
                <w:sz w:val="18"/>
              </w:rPr>
              <w:t>3、支持对教室基础信息进行管理，包括楼号、楼层、教室编号；支持对教室设备进行管理，包括中控信息、IC卡信息、电脑信息、二维码串口通道信息等，教务系统或其他第三方系统用户数据库对接。</w:t>
            </w:r>
          </w:p>
          <w:p>
            <w:pPr>
              <w:pStyle w:val="null3"/>
              <w:jc w:val="left"/>
            </w:pPr>
            <w:r>
              <w:rPr>
                <w:rFonts w:ascii="宋体" w:hAnsi="宋体" w:cs="宋体" w:eastAsia="宋体"/>
                <w:sz w:val="18"/>
              </w:rPr>
              <w:t>4、支持添加或导入教务课表，可以设置按课表时间自动开启教室多媒体系统，完成无人值守的全自动管理；支持教室借用计划，可临时配置自动开始时间、结束时间、启用时间及执行功能等；</w:t>
            </w:r>
          </w:p>
          <w:p>
            <w:pPr>
              <w:pStyle w:val="null3"/>
              <w:jc w:val="left"/>
            </w:pPr>
            <w:r>
              <w:rPr>
                <w:rFonts w:ascii="宋体" w:hAnsi="宋体" w:cs="宋体" w:eastAsia="宋体"/>
                <w:sz w:val="18"/>
              </w:rPr>
              <w:t>5、具备教室使用量、使用率数据分析，可按日期查询统计教室上课使用时长、空闲时长分析，以及教学情况分布、不同类型教室使用率图表数据分析。</w:t>
            </w:r>
          </w:p>
          <w:p>
            <w:pPr>
              <w:pStyle w:val="null3"/>
              <w:jc w:val="left"/>
            </w:pPr>
            <w:r>
              <w:rPr>
                <w:rFonts w:ascii="宋体" w:hAnsi="宋体" w:cs="宋体" w:eastAsia="宋体"/>
                <w:sz w:val="18"/>
              </w:rPr>
              <w:t>6、</w:t>
            </w:r>
            <w:r>
              <w:rPr>
                <w:rFonts w:ascii="宋体" w:hAnsi="宋体" w:cs="宋体" w:eastAsia="宋体"/>
                <w:sz w:val="18"/>
              </w:rPr>
              <w:t>集中管控平台</w:t>
            </w:r>
            <w:r>
              <w:rPr>
                <w:rFonts w:ascii="宋体" w:hAnsi="宋体" w:cs="宋体" w:eastAsia="宋体"/>
                <w:sz w:val="18"/>
              </w:rPr>
              <w:t>须对接或接管</w:t>
            </w:r>
            <w:r>
              <w:rPr>
                <w:rFonts w:ascii="宋体" w:hAnsi="宋体" w:cs="宋体" w:eastAsia="宋体"/>
                <w:sz w:val="18"/>
              </w:rPr>
              <w:t>学校现有中控</w:t>
            </w:r>
            <w:r>
              <w:rPr>
                <w:rFonts w:ascii="宋体" w:hAnsi="宋体" w:cs="宋体" w:eastAsia="宋体"/>
                <w:sz w:val="18"/>
              </w:rPr>
              <w:t>主机和中控平台</w:t>
            </w:r>
            <w:r>
              <w:rPr>
                <w:rFonts w:ascii="宋体" w:hAnsi="宋体" w:cs="宋体" w:eastAsia="宋体"/>
                <w:sz w:val="18"/>
              </w:rPr>
              <w:t>，</w:t>
            </w:r>
            <w:r>
              <w:rPr>
                <w:rFonts w:ascii="宋体" w:hAnsi="宋体" w:cs="宋体" w:eastAsia="宋体"/>
                <w:sz w:val="18"/>
              </w:rPr>
              <w:t>实现</w:t>
            </w:r>
            <w:r>
              <w:rPr>
                <w:rFonts w:ascii="宋体" w:hAnsi="宋体" w:cs="宋体" w:eastAsia="宋体"/>
                <w:sz w:val="18"/>
              </w:rPr>
              <w:t>对教室</w:t>
            </w:r>
            <w:r>
              <w:rPr>
                <w:rFonts w:ascii="宋体" w:hAnsi="宋体" w:cs="宋体" w:eastAsia="宋体"/>
                <w:sz w:val="18"/>
              </w:rPr>
              <w:t>多媒体设备</w:t>
            </w:r>
            <w:r>
              <w:rPr>
                <w:rFonts w:ascii="宋体" w:hAnsi="宋体" w:cs="宋体" w:eastAsia="宋体"/>
                <w:sz w:val="18"/>
              </w:rPr>
              <w:t>远程接管，并远程单独和批量控制教室设备开关机；</w:t>
            </w:r>
            <w:r>
              <w:rPr>
                <w:rFonts w:ascii="宋体" w:hAnsi="宋体" w:cs="宋体" w:eastAsia="宋体"/>
                <w:sz w:val="18"/>
              </w:rPr>
              <w:t>（</w:t>
            </w:r>
            <w:r>
              <w:rPr>
                <w:rFonts w:ascii="宋体" w:hAnsi="宋体" w:cs="宋体" w:eastAsia="宋体"/>
                <w:sz w:val="18"/>
              </w:rPr>
              <w:t>请供应商自行响应，以满足评分办法要求。</w:t>
            </w:r>
            <w:r>
              <w:rPr>
                <w:rFonts w:ascii="宋体" w:hAnsi="宋体" w:cs="宋体" w:eastAsia="宋体"/>
                <w:sz w:val="18"/>
              </w:rPr>
              <w:t>）</w:t>
            </w:r>
          </w:p>
          <w:p>
            <w:pPr>
              <w:pStyle w:val="null3"/>
              <w:jc w:val="left"/>
            </w:pPr>
            <w:r>
              <w:rPr>
                <w:rFonts w:ascii="宋体" w:hAnsi="宋体" w:cs="宋体" w:eastAsia="宋体"/>
                <w:sz w:val="18"/>
              </w:rPr>
              <w:t>7、</w:t>
            </w:r>
            <w:r>
              <w:rPr>
                <w:rFonts w:ascii="宋体" w:hAnsi="宋体" w:cs="宋体" w:eastAsia="宋体"/>
                <w:sz w:val="18"/>
              </w:rPr>
              <w:t>集中管控平台</w:t>
            </w:r>
            <w:r>
              <w:rPr>
                <w:rFonts w:ascii="宋体" w:hAnsi="宋体" w:cs="宋体" w:eastAsia="宋体"/>
                <w:sz w:val="18"/>
              </w:rPr>
              <w:t>须对接或接管</w:t>
            </w:r>
            <w:r>
              <w:rPr>
                <w:rFonts w:ascii="宋体" w:hAnsi="宋体" w:cs="宋体" w:eastAsia="宋体"/>
                <w:sz w:val="18"/>
              </w:rPr>
              <w:t>学校现有中控</w:t>
            </w:r>
            <w:r>
              <w:rPr>
                <w:rFonts w:ascii="宋体" w:hAnsi="宋体" w:cs="宋体" w:eastAsia="宋体"/>
                <w:sz w:val="18"/>
              </w:rPr>
              <w:t>主机和中控平台</w:t>
            </w:r>
            <w:r>
              <w:rPr>
                <w:rFonts w:ascii="宋体" w:hAnsi="宋体" w:cs="宋体" w:eastAsia="宋体"/>
                <w:sz w:val="18"/>
              </w:rPr>
              <w:t>，</w:t>
            </w:r>
            <w:r>
              <w:rPr>
                <w:rFonts w:ascii="宋体" w:hAnsi="宋体" w:cs="宋体" w:eastAsia="宋体"/>
                <w:sz w:val="18"/>
              </w:rPr>
              <w:t>实现</w:t>
            </w:r>
            <w:r>
              <w:rPr>
                <w:rFonts w:ascii="宋体" w:hAnsi="宋体" w:cs="宋体" w:eastAsia="宋体"/>
                <w:sz w:val="18"/>
              </w:rPr>
              <w:t>实时检测教室设备运行状态；</w:t>
            </w:r>
            <w:r>
              <w:rPr>
                <w:rFonts w:ascii="宋体" w:hAnsi="宋体" w:cs="宋体" w:eastAsia="宋体"/>
                <w:sz w:val="18"/>
              </w:rPr>
              <w:t>（请供应商自行响应，以满足评分办法要求。）</w:t>
            </w:r>
          </w:p>
          <w:p>
            <w:pPr>
              <w:pStyle w:val="null3"/>
              <w:jc w:val="left"/>
            </w:pPr>
            <w:r>
              <w:rPr>
                <w:rFonts w:ascii="宋体" w:hAnsi="宋体" w:cs="宋体" w:eastAsia="宋体"/>
                <w:sz w:val="18"/>
              </w:rPr>
              <w:t>8、</w:t>
            </w:r>
            <w:r>
              <w:rPr>
                <w:rFonts w:ascii="宋体" w:hAnsi="宋体" w:cs="宋体" w:eastAsia="宋体"/>
                <w:sz w:val="18"/>
              </w:rPr>
              <w:t>集中管控平台可</w:t>
            </w:r>
            <w:r>
              <w:rPr>
                <w:rFonts w:ascii="宋体" w:hAnsi="宋体" w:cs="宋体" w:eastAsia="宋体"/>
                <w:sz w:val="18"/>
              </w:rPr>
              <w:t>读取学校录播摄像头画面，实现实时</w:t>
            </w:r>
            <w:r>
              <w:rPr>
                <w:rFonts w:ascii="宋体" w:hAnsi="宋体" w:cs="宋体" w:eastAsia="宋体"/>
                <w:sz w:val="18"/>
              </w:rPr>
              <w:t>查看教室的画面并监听教室内的声音；</w:t>
            </w:r>
            <w:r>
              <w:rPr>
                <w:rFonts w:ascii="宋体" w:hAnsi="宋体" w:cs="宋体" w:eastAsia="宋体"/>
                <w:sz w:val="18"/>
              </w:rPr>
              <w:t>（</w:t>
            </w:r>
            <w:r>
              <w:rPr>
                <w:rFonts w:ascii="宋体" w:hAnsi="宋体" w:cs="宋体" w:eastAsia="宋体"/>
                <w:sz w:val="18"/>
              </w:rPr>
              <w:t>请供应商自行响应，以满足评分办法要求。</w:t>
            </w:r>
            <w:r>
              <w:rPr>
                <w:rFonts w:ascii="宋体" w:hAnsi="宋体" w:cs="宋体" w:eastAsia="宋体"/>
                <w:sz w:val="18"/>
              </w:rPr>
              <w:t>）</w:t>
            </w:r>
          </w:p>
          <w:p>
            <w:pPr>
              <w:pStyle w:val="null3"/>
              <w:jc w:val="left"/>
            </w:pPr>
            <w:r>
              <w:rPr>
                <w:rFonts w:ascii="宋体" w:hAnsi="宋体" w:cs="宋体" w:eastAsia="宋体"/>
                <w:sz w:val="18"/>
              </w:rPr>
              <w:t>9、</w:t>
            </w:r>
            <w:r>
              <w:rPr>
                <w:rFonts w:ascii="宋体" w:hAnsi="宋体" w:cs="宋体" w:eastAsia="宋体"/>
                <w:sz w:val="18"/>
              </w:rPr>
              <w:t>集中管控</w:t>
            </w:r>
            <w:r>
              <w:rPr>
                <w:rFonts w:ascii="宋体" w:hAnsi="宋体" w:cs="宋体" w:eastAsia="宋体"/>
                <w:sz w:val="18"/>
              </w:rPr>
              <w:t>平台具备教室设备的名称、品牌、型号、位置归属等精细信息管理功能并支持信息手动录入表格导入；</w:t>
            </w:r>
            <w:r>
              <w:rPr>
                <w:rFonts w:ascii="宋体" w:hAnsi="宋体" w:cs="宋体" w:eastAsia="宋体"/>
                <w:sz w:val="18"/>
              </w:rPr>
              <w:t>（</w:t>
            </w:r>
            <w:r>
              <w:rPr>
                <w:rFonts w:ascii="宋体" w:hAnsi="宋体" w:cs="宋体" w:eastAsia="宋体"/>
                <w:sz w:val="18"/>
              </w:rPr>
              <w:t>请供应商自行响应，以满足评分办法要求。</w:t>
            </w:r>
            <w:r>
              <w:rPr>
                <w:rFonts w:ascii="宋体" w:hAnsi="宋体" w:cs="宋体" w:eastAsia="宋体"/>
                <w:sz w:val="18"/>
              </w:rPr>
              <w:t>）</w:t>
            </w:r>
          </w:p>
          <w:p>
            <w:pPr>
              <w:pStyle w:val="null3"/>
              <w:jc w:val="both"/>
            </w:pPr>
            <w:r>
              <w:rPr>
                <w:rFonts w:ascii="宋体" w:hAnsi="宋体" w:cs="宋体" w:eastAsia="宋体"/>
                <w:sz w:val="18"/>
              </w:rPr>
              <w:t>注：学校现使用的集中控制平台为三盟集中控制平台。</w:t>
            </w:r>
          </w:p>
        </w:tc>
      </w:tr>
      <w:tr>
        <w:tc>
          <w:tcPr>
            <w:tcW w:type="dxa" w:w="2769"/>
          </w:tcPr>
          <w:p>
            <w:pPr>
              <w:pStyle w:val="null3"/>
            </w:pPr>
            <w:r>
              <w:rPr/>
              <w:t>★</w:t>
            </w:r>
          </w:p>
        </w:tc>
        <w:tc>
          <w:tcPr>
            <w:tcW w:type="dxa" w:w="2769"/>
          </w:tcPr>
          <w:p>
            <w:pPr>
              <w:pStyle w:val="null3"/>
            </w:pPr>
            <w:r>
              <w:rPr/>
              <w:t>12</w:t>
            </w:r>
          </w:p>
        </w:tc>
        <w:tc>
          <w:tcPr>
            <w:tcW w:type="dxa" w:w="2769"/>
          </w:tcPr>
          <w:p>
            <w:pPr>
              <w:pStyle w:val="null3"/>
              <w:jc w:val="left"/>
            </w:pPr>
            <w:r>
              <w:rPr/>
              <w:t>中控主机（26套）：</w:t>
            </w:r>
          </w:p>
          <w:p>
            <w:pPr>
              <w:pStyle w:val="null3"/>
              <w:jc w:val="left"/>
            </w:pPr>
            <w:r>
              <w:rPr>
                <w:rFonts w:ascii="宋体" w:hAnsi="宋体" w:cs="宋体" w:eastAsia="宋体"/>
                <w:sz w:val="18"/>
              </w:rPr>
              <w:t>1. 采用标准的物联网通讯平台；</w:t>
            </w:r>
          </w:p>
          <w:p>
            <w:pPr>
              <w:pStyle w:val="null3"/>
              <w:jc w:val="left"/>
            </w:pPr>
            <w:r>
              <w:rPr>
                <w:rFonts w:ascii="宋体" w:hAnsi="宋体" w:cs="宋体" w:eastAsia="宋体"/>
                <w:sz w:val="18"/>
              </w:rPr>
              <w:t>2.配备液晶交互控制面板，支持本地控制，支持网络远程控制。支持管理平台远程管控。</w:t>
            </w:r>
          </w:p>
          <w:p>
            <w:pPr>
              <w:pStyle w:val="null3"/>
              <w:jc w:val="left"/>
            </w:pPr>
            <w:r>
              <w:rPr>
                <w:rFonts w:ascii="宋体" w:hAnsi="宋体" w:cs="宋体" w:eastAsia="宋体"/>
                <w:sz w:val="18"/>
              </w:rPr>
              <w:t>3.支持IP语音对讲功能，可接入语音服务器，一键呼叫控制中心，实现双向对讲。</w:t>
            </w:r>
          </w:p>
          <w:p>
            <w:pPr>
              <w:pStyle w:val="null3"/>
              <w:jc w:val="left"/>
            </w:pPr>
            <w:r>
              <w:rPr>
                <w:rFonts w:ascii="宋体" w:hAnsi="宋体" w:cs="宋体" w:eastAsia="宋体"/>
                <w:sz w:val="18"/>
              </w:rPr>
              <w:t>4.≥4路HDMI信号输入，≥2路HDMI信号输出，具备视频矩阵功能。2路AC220V/10A电源输出。</w:t>
            </w:r>
          </w:p>
          <w:p>
            <w:pPr>
              <w:pStyle w:val="null3"/>
              <w:jc w:val="left"/>
            </w:pPr>
            <w:r>
              <w:rPr>
                <w:rFonts w:ascii="宋体" w:hAnsi="宋体" w:cs="宋体" w:eastAsia="宋体"/>
                <w:sz w:val="18"/>
              </w:rPr>
              <w:t>5.2路RS232控制接口；4进4出USB接口，可对计算机、笔记本等反向触控；1路RS485接口，可对物联设备进行管控，2路DO接口，可接人体智能感知、门探等开关传感设备，支持对接其他终端设备；</w:t>
            </w:r>
          </w:p>
          <w:p>
            <w:pPr>
              <w:pStyle w:val="null3"/>
              <w:jc w:val="left"/>
            </w:pPr>
            <w:r>
              <w:rPr>
                <w:rFonts w:ascii="宋体" w:hAnsi="宋体" w:cs="宋体" w:eastAsia="宋体"/>
                <w:sz w:val="18"/>
              </w:rPr>
              <w:t>6.集成千兆交换机，网口≥5口，支持VLAN划分4路。</w:t>
            </w:r>
          </w:p>
          <w:p>
            <w:pPr>
              <w:pStyle w:val="null3"/>
              <w:jc w:val="left"/>
            </w:pPr>
            <w:r>
              <w:rPr>
                <w:rFonts w:ascii="宋体" w:hAnsi="宋体" w:cs="宋体" w:eastAsia="宋体"/>
                <w:sz w:val="18"/>
              </w:rPr>
              <w:t>7.集成≥2*100W数字功放，可直接连接音箱和MIC，3.5mm立体声音频线性输入接口2路，3.5mm立体声音频线性输出1路，带幻象供电麦克风输入接口2路。</w:t>
            </w:r>
          </w:p>
          <w:p>
            <w:pPr>
              <w:pStyle w:val="null3"/>
              <w:jc w:val="left"/>
            </w:pPr>
            <w:r>
              <w:rPr>
                <w:rFonts w:ascii="宋体" w:hAnsi="宋体" w:cs="宋体" w:eastAsia="宋体"/>
                <w:sz w:val="18"/>
              </w:rPr>
              <w:t>8.支持网络远程配置，远程升级。</w:t>
            </w:r>
          </w:p>
          <w:p>
            <w:pPr>
              <w:pStyle w:val="null3"/>
              <w:jc w:val="left"/>
            </w:pPr>
            <w:r>
              <w:rPr>
                <w:rFonts w:ascii="宋体" w:hAnsi="宋体" w:cs="宋体" w:eastAsia="宋体"/>
                <w:sz w:val="18"/>
              </w:rPr>
              <w:t>9.支持物联网环境数据采集功能，配合智能传感模块，可以通过多种采集端口对环境信息进行采集和监测，支持温度、湿度、CO2，PM2、5、PM10等环境数据的监测，监测数据自动传输到管理平台；</w:t>
            </w:r>
          </w:p>
          <w:p>
            <w:pPr>
              <w:pStyle w:val="null3"/>
              <w:jc w:val="both"/>
            </w:pPr>
            <w:r>
              <w:rPr>
                <w:rFonts w:ascii="宋体" w:hAnsi="宋体" w:cs="宋体" w:eastAsia="宋体"/>
                <w:sz w:val="18"/>
              </w:rPr>
              <w:t>10.可与集中管控平台</w:t>
            </w:r>
            <w:r>
              <w:rPr>
                <w:rFonts w:ascii="宋体" w:hAnsi="宋体" w:cs="宋体" w:eastAsia="宋体"/>
                <w:sz w:val="18"/>
              </w:rPr>
              <w:t>配套使用</w:t>
            </w:r>
            <w:r>
              <w:rPr>
                <w:rFonts w:ascii="宋体" w:hAnsi="宋体" w:cs="宋体" w:eastAsia="宋体"/>
                <w:sz w:val="18"/>
              </w:rPr>
              <w:t>。</w:t>
            </w:r>
          </w:p>
        </w:tc>
      </w:tr>
      <w:tr>
        <w:tc>
          <w:tcPr>
            <w:tcW w:type="dxa" w:w="2769"/>
          </w:tcPr>
          <w:p>
            <w:pPr>
              <w:pStyle w:val="null3"/>
            </w:pPr>
            <w:r>
              <w:rPr/>
              <w:t>★</w:t>
            </w:r>
          </w:p>
        </w:tc>
        <w:tc>
          <w:tcPr>
            <w:tcW w:type="dxa" w:w="2769"/>
          </w:tcPr>
          <w:p>
            <w:pPr>
              <w:pStyle w:val="null3"/>
            </w:pPr>
            <w:r>
              <w:rPr/>
              <w:t>13</w:t>
            </w:r>
          </w:p>
        </w:tc>
        <w:tc>
          <w:tcPr>
            <w:tcW w:type="dxa" w:w="2769"/>
          </w:tcPr>
          <w:p>
            <w:pPr>
              <w:pStyle w:val="null3"/>
            </w:pPr>
            <w:r>
              <w:rPr/>
              <w:t>智能触控面板（26块）：</w:t>
            </w:r>
          </w:p>
          <w:p>
            <w:pPr>
              <w:pStyle w:val="null3"/>
              <w:jc w:val="left"/>
            </w:pPr>
            <w:r>
              <w:rPr>
                <w:rFonts w:ascii="宋体" w:hAnsi="宋体" w:cs="宋体" w:eastAsia="宋体"/>
                <w:sz w:val="18"/>
              </w:rPr>
              <w:t>1、一体化设计。</w:t>
            </w:r>
          </w:p>
          <w:p>
            <w:pPr>
              <w:pStyle w:val="null3"/>
              <w:jc w:val="left"/>
            </w:pPr>
            <w:r>
              <w:rPr>
                <w:rFonts w:ascii="宋体" w:hAnsi="宋体" w:cs="宋体" w:eastAsia="宋体"/>
                <w:sz w:val="18"/>
              </w:rPr>
              <w:t>2、面板类型:电容触摸屏，TFT液晶屏，IPS硬屏；尺寸≥7.0寸；分辨率≥1024*600；对比度≥800:1；可视角度：≥180°，可自定义控制界面。支持画面切换，声音调整，设备控制。</w:t>
            </w:r>
          </w:p>
          <w:p>
            <w:pPr>
              <w:pStyle w:val="null3"/>
              <w:jc w:val="left"/>
            </w:pPr>
            <w:r>
              <w:rPr>
                <w:rFonts w:ascii="宋体" w:hAnsi="宋体" w:cs="宋体" w:eastAsia="宋体"/>
                <w:sz w:val="18"/>
              </w:rPr>
              <w:t>3、内置扬声器、拾音器，集成音频编解码功能，通过配套主机及系统平台实现远程IP对讲、语音监听等功能。</w:t>
            </w:r>
          </w:p>
          <w:p>
            <w:pPr>
              <w:pStyle w:val="null3"/>
              <w:jc w:val="left"/>
            </w:pPr>
            <w:r>
              <w:rPr>
                <w:rFonts w:ascii="宋体" w:hAnsi="宋体" w:cs="宋体" w:eastAsia="宋体"/>
                <w:sz w:val="18"/>
              </w:rPr>
              <w:t>4、采用Android6.0及以上版本操作系统，上电即运行；主频≥1.5GHz，≥四核处理器；存储空间: ≥16Gbit；通讯接口：支持USB2.0；接口规格：支持Micro USB接口；</w:t>
            </w:r>
          </w:p>
          <w:p>
            <w:pPr>
              <w:pStyle w:val="null3"/>
              <w:jc w:val="left"/>
            </w:pPr>
            <w:r>
              <w:rPr>
                <w:rFonts w:ascii="宋体" w:hAnsi="宋体" w:cs="宋体" w:eastAsia="宋体"/>
                <w:sz w:val="18"/>
              </w:rPr>
              <w:t>5、支持设备故障报修功能。</w:t>
            </w:r>
          </w:p>
          <w:p>
            <w:pPr>
              <w:pStyle w:val="null3"/>
              <w:jc w:val="left"/>
            </w:pPr>
            <w:r>
              <w:rPr>
                <w:rFonts w:ascii="宋体" w:hAnsi="宋体" w:cs="宋体" w:eastAsia="宋体"/>
                <w:sz w:val="18"/>
              </w:rPr>
              <w:t>6、具备一键上课一键下课功能。</w:t>
            </w:r>
          </w:p>
          <w:p>
            <w:pPr>
              <w:pStyle w:val="null3"/>
              <w:jc w:val="both"/>
            </w:pPr>
            <w:r>
              <w:rPr>
                <w:rFonts w:ascii="宋体" w:hAnsi="宋体" w:cs="宋体" w:eastAsia="宋体"/>
                <w:sz w:val="18"/>
              </w:rPr>
              <w:t>7、可与网络中控主机配套使用。</w:t>
            </w:r>
          </w:p>
        </w:tc>
      </w:tr>
      <w:tr>
        <w:tc>
          <w:tcPr>
            <w:tcW w:type="dxa" w:w="2769"/>
          </w:tcPr>
          <w:p>
            <w:pPr>
              <w:pStyle w:val="null3"/>
            </w:pPr>
            <w:r>
              <w:rPr/>
              <w:t>▲</w:t>
            </w:r>
          </w:p>
        </w:tc>
        <w:tc>
          <w:tcPr>
            <w:tcW w:type="dxa" w:w="2769"/>
          </w:tcPr>
          <w:p>
            <w:pPr>
              <w:pStyle w:val="null3"/>
            </w:pPr>
            <w:r>
              <w:rPr/>
              <w:t>14</w:t>
            </w:r>
          </w:p>
        </w:tc>
        <w:tc>
          <w:tcPr>
            <w:tcW w:type="dxa" w:w="2769"/>
          </w:tcPr>
          <w:p>
            <w:pPr>
              <w:pStyle w:val="null3"/>
              <w:jc w:val="both"/>
            </w:pPr>
            <w:r>
              <w:rPr>
                <w:rFonts w:ascii="宋体" w:hAnsi="宋体" w:cs="宋体" w:eastAsia="宋体"/>
                <w:sz w:val="18"/>
              </w:rPr>
              <w:t>智能移动终端（7台）：</w:t>
            </w:r>
            <w:r>
              <w:rPr>
                <w:rFonts w:ascii="宋体" w:hAnsi="宋体" w:cs="宋体" w:eastAsia="宋体"/>
                <w:sz w:val="18"/>
              </w:rPr>
              <w:t>1. CPU：性能≥第一代骁龙8+处理器</w:t>
            </w:r>
          </w:p>
        </w:tc>
      </w:tr>
      <w:tr>
        <w:tc>
          <w:tcPr>
            <w:tcW w:type="dxa" w:w="2769"/>
          </w:tcPr>
          <w:p/>
        </w:tc>
        <w:tc>
          <w:tcPr>
            <w:tcW w:type="dxa" w:w="2769"/>
          </w:tcPr>
          <w:p>
            <w:pPr>
              <w:pStyle w:val="null3"/>
            </w:pPr>
            <w:r>
              <w:rPr/>
              <w:t>15</w:t>
            </w:r>
          </w:p>
        </w:tc>
        <w:tc>
          <w:tcPr>
            <w:tcW w:type="dxa" w:w="2769"/>
          </w:tcPr>
          <w:p>
            <w:pPr>
              <w:pStyle w:val="null3"/>
              <w:jc w:val="left"/>
            </w:pPr>
            <w:r>
              <w:rPr>
                <w:rFonts w:ascii="宋体" w:hAnsi="宋体" w:cs="宋体" w:eastAsia="宋体"/>
                <w:sz w:val="18"/>
              </w:rPr>
              <w:t>智能移动终端</w:t>
            </w:r>
          </w:p>
          <w:p>
            <w:pPr>
              <w:pStyle w:val="null3"/>
              <w:jc w:val="left"/>
            </w:pPr>
            <w:r>
              <w:rPr>
                <w:rFonts w:ascii="宋体" w:hAnsi="宋体" w:cs="宋体" w:eastAsia="宋体"/>
                <w:sz w:val="18"/>
              </w:rPr>
              <w:t>2. 内存：≥12GB；</w:t>
            </w:r>
          </w:p>
          <w:p>
            <w:pPr>
              <w:pStyle w:val="null3"/>
              <w:jc w:val="left"/>
            </w:pPr>
            <w:r>
              <w:rPr>
                <w:rFonts w:ascii="宋体" w:hAnsi="宋体" w:cs="宋体" w:eastAsia="宋体"/>
                <w:sz w:val="18"/>
              </w:rPr>
              <w:t>3. 硬盘：≥256G；</w:t>
            </w:r>
          </w:p>
          <w:p>
            <w:pPr>
              <w:pStyle w:val="null3"/>
              <w:jc w:val="left"/>
            </w:pPr>
            <w:r>
              <w:rPr>
                <w:rFonts w:ascii="宋体" w:hAnsi="宋体" w:cs="宋体" w:eastAsia="宋体"/>
                <w:sz w:val="18"/>
              </w:rPr>
              <w:t>4.前摄像头像素：≥1000w，后摄像头像素：≥2000w；</w:t>
            </w:r>
          </w:p>
          <w:p>
            <w:pPr>
              <w:pStyle w:val="null3"/>
              <w:jc w:val="left"/>
            </w:pPr>
            <w:r>
              <w:rPr>
                <w:rFonts w:ascii="宋体" w:hAnsi="宋体" w:cs="宋体" w:eastAsia="宋体"/>
                <w:sz w:val="18"/>
              </w:rPr>
              <w:t>5.配备原装蓝牙磁吸键盘和原装触控笔</w:t>
            </w:r>
          </w:p>
          <w:p>
            <w:pPr>
              <w:pStyle w:val="null3"/>
              <w:jc w:val="left"/>
            </w:pPr>
            <w:r>
              <w:rPr>
                <w:rFonts w:ascii="宋体" w:hAnsi="宋体" w:cs="宋体" w:eastAsia="宋体"/>
                <w:sz w:val="18"/>
              </w:rPr>
              <w:t>6.分辨率：≥2800*1800像素</w:t>
            </w:r>
          </w:p>
          <w:p>
            <w:pPr>
              <w:pStyle w:val="null3"/>
              <w:jc w:val="left"/>
            </w:pPr>
            <w:r>
              <w:rPr>
                <w:rFonts w:ascii="宋体" w:hAnsi="宋体" w:cs="宋体" w:eastAsia="宋体"/>
                <w:sz w:val="18"/>
              </w:rPr>
              <w:t>7.屏幕尺寸：≥11英寸</w:t>
            </w:r>
          </w:p>
          <w:p>
            <w:pPr>
              <w:pStyle w:val="null3"/>
              <w:jc w:val="left"/>
            </w:pPr>
            <w:r>
              <w:rPr>
                <w:rFonts w:ascii="宋体" w:hAnsi="宋体" w:cs="宋体" w:eastAsia="宋体"/>
                <w:sz w:val="18"/>
              </w:rPr>
              <w:t>8.电池容量：≥7000mAH</w:t>
            </w:r>
          </w:p>
          <w:p>
            <w:pPr>
              <w:pStyle w:val="null3"/>
              <w:jc w:val="left"/>
            </w:pPr>
            <w:r>
              <w:rPr>
                <w:rFonts w:ascii="宋体" w:hAnsi="宋体" w:cs="宋体" w:eastAsia="宋体"/>
                <w:sz w:val="18"/>
              </w:rPr>
              <w:t>9.无线:支持WIFI6</w:t>
            </w:r>
          </w:p>
          <w:p>
            <w:pPr>
              <w:pStyle w:val="null3"/>
              <w:jc w:val="both"/>
            </w:pPr>
            <w:r>
              <w:rPr>
                <w:rFonts w:ascii="宋体" w:hAnsi="宋体" w:cs="宋体" w:eastAsia="宋体"/>
                <w:sz w:val="18"/>
              </w:rPr>
              <w:t>10.支持多点触控；陀螺仪；AI语音；分屏功能；重力感应；霍尔传感器</w:t>
            </w:r>
          </w:p>
        </w:tc>
      </w:tr>
      <w:tr>
        <w:tc>
          <w:tcPr>
            <w:tcW w:type="dxa" w:w="2769"/>
          </w:tcPr>
          <w:p>
            <w:pPr>
              <w:pStyle w:val="null3"/>
            </w:pPr>
            <w:r>
              <w:rPr/>
              <w:t>▲</w:t>
            </w:r>
          </w:p>
        </w:tc>
        <w:tc>
          <w:tcPr>
            <w:tcW w:type="dxa" w:w="2769"/>
          </w:tcPr>
          <w:p>
            <w:pPr>
              <w:pStyle w:val="null3"/>
            </w:pPr>
            <w:r>
              <w:rPr/>
              <w:t>16</w:t>
            </w:r>
          </w:p>
        </w:tc>
        <w:tc>
          <w:tcPr>
            <w:tcW w:type="dxa" w:w="2769"/>
          </w:tcPr>
          <w:p>
            <w:pPr>
              <w:pStyle w:val="null3"/>
              <w:jc w:val="both"/>
            </w:pPr>
            <w:r>
              <w:rPr>
                <w:rFonts w:ascii="宋体" w:hAnsi="宋体" w:cs="宋体" w:eastAsia="宋体"/>
                <w:sz w:val="18"/>
              </w:rPr>
              <w:t>信息发布终端及系统（28套）：</w:t>
            </w:r>
          </w:p>
          <w:p>
            <w:pPr>
              <w:pStyle w:val="null3"/>
              <w:jc w:val="left"/>
            </w:pPr>
            <w:r>
              <w:rPr>
                <w:rFonts w:ascii="宋体" w:hAnsi="宋体" w:cs="宋体" w:eastAsia="宋体"/>
                <w:sz w:val="18"/>
              </w:rPr>
              <w:t>3.班牌可对学生进行人脸识别、人证（身份证）比对、实现签到考勤、学生个人中心登录等身份识别及认证功能。要求在学校开放式走廊等逆光环境下准确识别人脸，并可同时识别多张人脸。</w:t>
            </w:r>
          </w:p>
          <w:p>
            <w:pPr>
              <w:pStyle w:val="null3"/>
              <w:jc w:val="both"/>
            </w:pPr>
            <w:r>
              <w:rPr>
                <w:rFonts w:ascii="宋体" w:hAnsi="宋体" w:cs="宋体" w:eastAsia="宋体"/>
                <w:sz w:val="18"/>
              </w:rPr>
              <w:t>4.要求免费对接学校</w:t>
            </w:r>
            <w:r>
              <w:rPr>
                <w:rFonts w:ascii="宋体" w:hAnsi="宋体" w:cs="宋体" w:eastAsia="宋体"/>
                <w:sz w:val="18"/>
              </w:rPr>
              <w:t>教务系统或其他第三方</w:t>
            </w:r>
            <w:r>
              <w:rPr>
                <w:rFonts w:ascii="宋体" w:hAnsi="宋体" w:cs="宋体" w:eastAsia="宋体"/>
                <w:sz w:val="18"/>
              </w:rPr>
              <w:t>教学</w:t>
            </w:r>
            <w:r>
              <w:rPr>
                <w:rFonts w:ascii="宋体" w:hAnsi="宋体" w:cs="宋体" w:eastAsia="宋体"/>
                <w:sz w:val="18"/>
              </w:rPr>
              <w:t>系统</w:t>
            </w:r>
            <w:r>
              <w:rPr>
                <w:rFonts w:ascii="宋体" w:hAnsi="宋体" w:cs="宋体" w:eastAsia="宋体"/>
                <w:sz w:val="18"/>
              </w:rPr>
              <w:t>，</w:t>
            </w:r>
            <w:r>
              <w:rPr>
                <w:rFonts w:ascii="宋体" w:hAnsi="宋体" w:cs="宋体" w:eastAsia="宋体"/>
                <w:sz w:val="18"/>
              </w:rPr>
              <w:t>免费对接或接管学校现有信息发布系统，实现数据互通。（提供承诺书）</w:t>
            </w:r>
          </w:p>
          <w:p>
            <w:pPr>
              <w:pStyle w:val="null3"/>
              <w:jc w:val="both"/>
            </w:pPr>
          </w:p>
        </w:tc>
      </w:tr>
      <w:tr>
        <w:tc>
          <w:tcPr>
            <w:tcW w:type="dxa" w:w="2769"/>
          </w:tcPr>
          <w:p/>
        </w:tc>
        <w:tc>
          <w:tcPr>
            <w:tcW w:type="dxa" w:w="2769"/>
          </w:tcPr>
          <w:p>
            <w:pPr>
              <w:pStyle w:val="null3"/>
            </w:pPr>
            <w:r>
              <w:rPr/>
              <w:t>17</w:t>
            </w:r>
          </w:p>
        </w:tc>
        <w:tc>
          <w:tcPr>
            <w:tcW w:type="dxa" w:w="2769"/>
          </w:tcPr>
          <w:p>
            <w:pPr>
              <w:pStyle w:val="null3"/>
              <w:jc w:val="both"/>
            </w:pPr>
            <w:r>
              <w:rPr>
                <w:rFonts w:ascii="宋体" w:hAnsi="宋体" w:cs="宋体" w:eastAsia="宋体"/>
                <w:sz w:val="18"/>
              </w:rPr>
              <w:t>信息发布终端及系统：</w:t>
            </w:r>
          </w:p>
          <w:p>
            <w:pPr>
              <w:pStyle w:val="null3"/>
              <w:jc w:val="left"/>
            </w:pPr>
            <w:r>
              <w:rPr>
                <w:rFonts w:ascii="宋体" w:hAnsi="宋体" w:cs="宋体" w:eastAsia="宋体"/>
                <w:sz w:val="18"/>
              </w:rPr>
              <w:t>1.屏幕尺寸：≥21.5"，光源：TFT-LED背光, 亮度：≥300cd/m2，对比度：≥1200：1，屏幕分辨率：≥1920×1080；配备四核及以上CPU，操作系统Android 6.0及以上版本，运行内存：≥2GB，内置存储：≥8GB，需配备LAN网络接口：1个，音频：1个</w:t>
            </w:r>
          </w:p>
          <w:p>
            <w:pPr>
              <w:pStyle w:val="null3"/>
              <w:jc w:val="left"/>
            </w:pPr>
            <w:r>
              <w:rPr>
                <w:rFonts w:ascii="宋体" w:hAnsi="宋体" w:cs="宋体" w:eastAsia="宋体"/>
                <w:sz w:val="18"/>
              </w:rPr>
              <w:t>2.支持WIFI，USB接口：≥2个，≥200w像素的内置相机功能</w:t>
            </w:r>
          </w:p>
        </w:tc>
      </w:tr>
      <w:tr>
        <w:tc>
          <w:tcPr>
            <w:tcW w:type="dxa" w:w="2769"/>
          </w:tcPr>
          <w:p/>
        </w:tc>
        <w:tc>
          <w:tcPr>
            <w:tcW w:type="dxa" w:w="2769"/>
          </w:tcPr>
          <w:p>
            <w:pPr>
              <w:pStyle w:val="null3"/>
            </w:pPr>
            <w:r>
              <w:rPr/>
              <w:t>18</w:t>
            </w:r>
          </w:p>
        </w:tc>
        <w:tc>
          <w:tcPr>
            <w:tcW w:type="dxa" w:w="2769"/>
          </w:tcPr>
          <w:p>
            <w:pPr>
              <w:pStyle w:val="null3"/>
              <w:jc w:val="both"/>
            </w:pPr>
            <w:r>
              <w:rPr>
                <w:rFonts w:ascii="宋体" w:hAnsi="宋体" w:cs="宋体" w:eastAsia="宋体"/>
                <w:sz w:val="18"/>
              </w:rPr>
              <w:t>弱电、辅材及系统集成（一批）：</w:t>
            </w:r>
          </w:p>
          <w:p>
            <w:pPr>
              <w:pStyle w:val="null3"/>
              <w:jc w:val="both"/>
            </w:pPr>
            <w:r>
              <w:rPr>
                <w:rFonts w:ascii="宋体" w:hAnsi="宋体" w:cs="宋体" w:eastAsia="宋体"/>
                <w:sz w:val="18"/>
              </w:rPr>
              <w:t>配件耗材：</w:t>
            </w:r>
            <w:r>
              <w:rPr>
                <w:rFonts w:ascii="宋体" w:hAnsi="宋体" w:cs="宋体" w:eastAsia="宋体"/>
                <w:sz w:val="18"/>
              </w:rPr>
              <w:t>HDMI线、6类网线（国标）、2.5平方铜芯电线（国标）、USB延长线、SDI线、3.5+6.5+双莲花接口音频线等线材，以及各种接头、转换器、交换机（≥8口、可网管可控、可绑定ip地址、≥1000M）等</w:t>
            </w:r>
          </w:p>
        </w:tc>
      </w:tr>
      <w:tr>
        <w:tc>
          <w:tcPr>
            <w:tcW w:type="dxa" w:w="2769"/>
          </w:tcPr>
          <w:p/>
        </w:tc>
        <w:tc>
          <w:tcPr>
            <w:tcW w:type="dxa" w:w="2769"/>
          </w:tcPr>
          <w:p>
            <w:pPr>
              <w:pStyle w:val="null3"/>
            </w:pPr>
            <w:r>
              <w:rPr/>
              <w:t>19</w:t>
            </w:r>
          </w:p>
        </w:tc>
        <w:tc>
          <w:tcPr>
            <w:tcW w:type="dxa" w:w="2769"/>
          </w:tcPr>
          <w:p>
            <w:pPr>
              <w:pStyle w:val="null3"/>
              <w:jc w:val="left"/>
            </w:pPr>
            <w:r>
              <w:rPr>
                <w:rFonts w:ascii="宋体" w:hAnsi="宋体" w:cs="宋体" w:eastAsia="宋体"/>
                <w:sz w:val="18"/>
              </w:rPr>
              <w:t>智能锁（26套）：</w:t>
            </w:r>
          </w:p>
          <w:p>
            <w:pPr>
              <w:pStyle w:val="null3"/>
              <w:jc w:val="left"/>
            </w:pPr>
            <w:r>
              <w:rPr>
                <w:rFonts w:ascii="宋体" w:hAnsi="宋体" w:cs="宋体" w:eastAsia="宋体"/>
                <w:sz w:val="18"/>
              </w:rPr>
              <w:t>1.开锁方式：指纹、密码、卡片、APP开锁、PC网页开锁、H5网页开锁、NFC开锁；</w:t>
            </w:r>
          </w:p>
          <w:p>
            <w:pPr>
              <w:pStyle w:val="null3"/>
              <w:jc w:val="left"/>
            </w:pPr>
            <w:r>
              <w:rPr>
                <w:rFonts w:ascii="宋体" w:hAnsi="宋体" w:cs="宋体" w:eastAsia="宋体"/>
                <w:sz w:val="18"/>
              </w:rPr>
              <w:t>2.密码：支持临时密码；</w:t>
            </w:r>
          </w:p>
          <w:p>
            <w:pPr>
              <w:pStyle w:val="null3"/>
              <w:jc w:val="left"/>
            </w:pPr>
            <w:r>
              <w:rPr>
                <w:rFonts w:ascii="宋体" w:hAnsi="宋体" w:cs="宋体" w:eastAsia="宋体"/>
                <w:sz w:val="18"/>
              </w:rPr>
              <w:t>3.锁舌：主锁舌伸出长度≥20mm；</w:t>
            </w:r>
          </w:p>
          <w:p>
            <w:pPr>
              <w:pStyle w:val="null3"/>
              <w:jc w:val="left"/>
            </w:pPr>
            <w:r>
              <w:rPr>
                <w:rFonts w:ascii="宋体" w:hAnsi="宋体" w:cs="宋体" w:eastAsia="宋体"/>
                <w:sz w:val="18"/>
              </w:rPr>
              <w:t>4.开门时间：指纹≤1s、卡片≤0.5s、密码≤0.5s、远程开锁≤3s</w:t>
            </w:r>
          </w:p>
          <w:p>
            <w:pPr>
              <w:pStyle w:val="null3"/>
              <w:jc w:val="left"/>
            </w:pPr>
            <w:r>
              <w:rPr>
                <w:rFonts w:ascii="宋体" w:hAnsi="宋体" w:cs="宋体" w:eastAsia="宋体"/>
                <w:sz w:val="18"/>
              </w:rPr>
              <w:t>5.锁内部提供串行数据接口；</w:t>
            </w:r>
          </w:p>
          <w:p>
            <w:pPr>
              <w:pStyle w:val="null3"/>
              <w:jc w:val="left"/>
            </w:pPr>
            <w:r>
              <w:rPr>
                <w:rFonts w:ascii="宋体" w:hAnsi="宋体" w:cs="宋体" w:eastAsia="宋体"/>
                <w:sz w:val="18"/>
              </w:rPr>
              <w:t>6.断网状态下密码、指纹、卡片、钥匙正常开锁；</w:t>
            </w:r>
          </w:p>
          <w:p>
            <w:pPr>
              <w:pStyle w:val="null3"/>
              <w:jc w:val="left"/>
            </w:pPr>
            <w:r>
              <w:rPr>
                <w:rFonts w:ascii="宋体" w:hAnsi="宋体" w:cs="宋体" w:eastAsia="宋体"/>
                <w:sz w:val="18"/>
              </w:rPr>
              <w:t>7.应急供电方式：USB接口；</w:t>
            </w:r>
          </w:p>
          <w:p>
            <w:pPr>
              <w:pStyle w:val="null3"/>
              <w:jc w:val="both"/>
            </w:pPr>
            <w:r>
              <w:rPr>
                <w:rFonts w:ascii="宋体" w:hAnsi="宋体" w:cs="宋体" w:eastAsia="宋体"/>
                <w:sz w:val="18"/>
              </w:rPr>
              <w:t>8.锁具终端可通过软件管理平台批量进行开关锁；</w:t>
            </w:r>
          </w:p>
        </w:tc>
      </w:tr>
      <w:tr>
        <w:tc>
          <w:tcPr>
            <w:tcW w:type="dxa" w:w="2769"/>
          </w:tcPr>
          <w:p/>
        </w:tc>
        <w:tc>
          <w:tcPr>
            <w:tcW w:type="dxa" w:w="2769"/>
          </w:tcPr>
          <w:p>
            <w:pPr>
              <w:pStyle w:val="null3"/>
            </w:pPr>
            <w:r>
              <w:rPr/>
              <w:t>20</w:t>
            </w:r>
          </w:p>
        </w:tc>
        <w:tc>
          <w:tcPr>
            <w:tcW w:type="dxa" w:w="2769"/>
          </w:tcPr>
          <w:p>
            <w:pPr>
              <w:pStyle w:val="null3"/>
              <w:jc w:val="both"/>
            </w:pPr>
            <w:r>
              <w:rPr>
                <w:rFonts w:ascii="宋体" w:hAnsi="宋体" w:cs="宋体" w:eastAsia="宋体"/>
                <w:sz w:val="18"/>
              </w:rPr>
              <w:t>教室环境改造（26间）：</w:t>
            </w:r>
            <w:r>
              <w:rPr>
                <w:rFonts w:ascii="宋体" w:hAnsi="宋体" w:cs="宋体" w:eastAsia="宋体"/>
                <w:sz w:val="18"/>
              </w:rPr>
              <w:t>原有讲台拆除、垃圾清运、墙面粉刷、铺设地胶、更换教室门等环境提升改造翻新。（详见工程量清单）</w:t>
            </w:r>
          </w:p>
        </w:tc>
      </w:tr>
      <w:tr>
        <w:tc>
          <w:tcPr>
            <w:tcW w:type="dxa" w:w="2769"/>
          </w:tcPr>
          <w:p/>
        </w:tc>
        <w:tc>
          <w:tcPr>
            <w:tcW w:type="dxa" w:w="2769"/>
          </w:tcPr>
          <w:p>
            <w:pPr>
              <w:pStyle w:val="null3"/>
            </w:pPr>
            <w:r>
              <w:rPr/>
              <w:t>21</w:t>
            </w:r>
          </w:p>
        </w:tc>
        <w:tc>
          <w:tcPr>
            <w:tcW w:type="dxa" w:w="2769"/>
          </w:tcPr>
          <w:p>
            <w:pPr>
              <w:pStyle w:val="null3"/>
              <w:jc w:val="left"/>
            </w:pPr>
            <w:r>
              <w:rPr>
                <w:rFonts w:ascii="宋体" w:hAnsi="宋体" w:cs="宋体" w:eastAsia="宋体"/>
                <w:sz w:val="18"/>
              </w:rPr>
              <w:t>多媒体讲桌（28套）：</w:t>
            </w:r>
          </w:p>
          <w:p>
            <w:pPr>
              <w:pStyle w:val="null3"/>
              <w:jc w:val="left"/>
            </w:pPr>
            <w:r>
              <w:rPr>
                <w:rFonts w:ascii="宋体" w:hAnsi="宋体" w:cs="宋体" w:eastAsia="宋体"/>
                <w:sz w:val="18"/>
              </w:rPr>
              <w:t>1、讲桌采用钢木结合构造，桌体上部分采用圆弧设计。提供左右木质扶手。重点部位须采用一次冲压成型技术；所有尖角倒圆角≥R3。</w:t>
            </w:r>
          </w:p>
          <w:p>
            <w:pPr>
              <w:pStyle w:val="null3"/>
              <w:jc w:val="left"/>
            </w:pPr>
            <w:r>
              <w:rPr>
                <w:rFonts w:ascii="宋体" w:hAnsi="宋体" w:cs="宋体" w:eastAsia="宋体"/>
                <w:sz w:val="18"/>
              </w:rPr>
              <w:t>讲桌尺寸约</w:t>
            </w:r>
            <w:r>
              <w:rPr>
                <w:rFonts w:ascii="宋体" w:hAnsi="宋体" w:cs="宋体" w:eastAsia="宋体"/>
                <w:sz w:val="18"/>
              </w:rPr>
              <w:t>1150*780*1000（长宽高）MM±20CM。（现场确定）</w:t>
            </w:r>
          </w:p>
          <w:p>
            <w:pPr>
              <w:pStyle w:val="null3"/>
              <w:jc w:val="left"/>
            </w:pPr>
            <w:r>
              <w:rPr>
                <w:rFonts w:ascii="宋体" w:hAnsi="宋体" w:cs="宋体" w:eastAsia="宋体"/>
                <w:sz w:val="18"/>
              </w:rPr>
              <w:t>2、上柜体由一把机械锁控制，显示器盖板、键盘、中控和展示台抽屉逐步打开。</w:t>
            </w:r>
          </w:p>
          <w:p>
            <w:pPr>
              <w:pStyle w:val="null3"/>
              <w:jc w:val="left"/>
            </w:pPr>
            <w:r>
              <w:rPr>
                <w:rFonts w:ascii="宋体" w:hAnsi="宋体" w:cs="宋体" w:eastAsia="宋体"/>
                <w:sz w:val="18"/>
              </w:rPr>
              <w:t>3、讲桌主体材料采用≥1.5mm冷轧钢板，其他辅助部分采用≥1.2mm冷轧钢板。桌子正面区域丝印学校LOGO。</w:t>
            </w:r>
          </w:p>
          <w:p>
            <w:pPr>
              <w:pStyle w:val="null3"/>
              <w:jc w:val="left"/>
            </w:pPr>
            <w:r>
              <w:rPr>
                <w:rFonts w:ascii="宋体" w:hAnsi="宋体" w:cs="宋体" w:eastAsia="宋体"/>
                <w:sz w:val="18"/>
              </w:rPr>
              <w:t>4、讲桌上下层采用分体式设计。</w:t>
            </w:r>
          </w:p>
          <w:p>
            <w:pPr>
              <w:pStyle w:val="null3"/>
              <w:jc w:val="left"/>
            </w:pPr>
            <w:r>
              <w:rPr>
                <w:rFonts w:ascii="宋体" w:hAnsi="宋体" w:cs="宋体" w:eastAsia="宋体"/>
                <w:sz w:val="18"/>
              </w:rPr>
              <w:t>5、显示器盖板和键盘盖板均采用翻转式设计。显示器盖板可装置≥23.8吋液晶宽屏显示器，可进行0到120度自由定位调节。</w:t>
            </w:r>
          </w:p>
          <w:p>
            <w:pPr>
              <w:pStyle w:val="null3"/>
              <w:jc w:val="left"/>
            </w:pPr>
            <w:r>
              <w:rPr>
                <w:rFonts w:ascii="宋体" w:hAnsi="宋体" w:cs="宋体" w:eastAsia="宋体"/>
                <w:sz w:val="18"/>
              </w:rPr>
              <w:t>6、上柜右侧抽屉可放置实物展示台，关闭后,所有设备都隐藏在讲台内。</w:t>
            </w:r>
          </w:p>
          <w:p>
            <w:pPr>
              <w:pStyle w:val="null3"/>
              <w:jc w:val="both"/>
            </w:pPr>
            <w:r>
              <w:rPr>
                <w:rFonts w:ascii="宋体" w:hAnsi="宋体" w:cs="宋体" w:eastAsia="宋体"/>
                <w:sz w:val="18"/>
              </w:rPr>
              <w:t>7、配有漏电保护器，接口面板；接口面板不少于电源接口*1，VGA接口*1，RJ45口*1，USB口*2，MIC*1。</w:t>
            </w:r>
          </w:p>
        </w:tc>
      </w:tr>
      <w:tr>
        <w:tc>
          <w:tcPr>
            <w:tcW w:type="dxa" w:w="2769"/>
          </w:tcPr>
          <w:p/>
        </w:tc>
        <w:tc>
          <w:tcPr>
            <w:tcW w:type="dxa" w:w="2769"/>
          </w:tcPr>
          <w:p>
            <w:pPr>
              <w:pStyle w:val="null3"/>
            </w:pPr>
            <w:r>
              <w:rPr/>
              <w:t>22</w:t>
            </w:r>
          </w:p>
        </w:tc>
        <w:tc>
          <w:tcPr>
            <w:tcW w:type="dxa" w:w="2769"/>
          </w:tcPr>
          <w:p>
            <w:pPr>
              <w:pStyle w:val="null3"/>
              <w:jc w:val="both"/>
            </w:pPr>
            <w:r>
              <w:rPr>
                <w:rFonts w:ascii="宋体" w:hAnsi="宋体" w:cs="宋体" w:eastAsia="宋体"/>
                <w:sz w:val="18"/>
                <w:b/>
              </w:rPr>
              <w:t>改造部分内容具体见附件《工程量清单》</w:t>
            </w:r>
          </w:p>
        </w:tc>
      </w:tr>
    </w:tbl>
    <w:p>
      <w:pPr>
        <w:pStyle w:val="null3"/>
        <w:outlineLvl w:val="2"/>
      </w:pPr>
      <w:r>
        <w:rPr>
          <w:sz w:val="28"/>
          <w:b/>
        </w:rPr>
        <w:t>3.4商务要求</w:t>
      </w:r>
    </w:p>
    <w:p>
      <w:pPr>
        <w:pStyle w:val="null3"/>
        <w:outlineLvl w:val="3"/>
      </w:pPr>
      <w:r>
        <w:rPr>
          <w:sz w:val="24"/>
          <w:b/>
        </w:rPr>
        <w:t xml:space="preserve"> 3.4.1交货时间</w:t>
      </w:r>
    </w:p>
    <w:p>
      <w:pPr>
        <w:pStyle w:val="null3"/>
      </w:pPr>
      <w:r>
        <w:rPr/>
        <w:t>采购包1：</w:t>
      </w:r>
    </w:p>
    <w:p>
      <w:pPr>
        <w:pStyle w:val="null3"/>
      </w:pPr>
      <w:r>
        <w:rPr/>
        <w:t>自合同签订之日起30日历天</w:t>
      </w:r>
    </w:p>
    <w:p>
      <w:pPr>
        <w:pStyle w:val="null3"/>
        <w:outlineLvl w:val="3"/>
      </w:pPr>
      <w:r>
        <w:rPr>
          <w:sz w:val="24"/>
          <w:b/>
        </w:rPr>
        <w:t>3.4.2交货地点</w:t>
      </w:r>
    </w:p>
    <w:p>
      <w:pPr>
        <w:pStyle w:val="null3"/>
      </w:pPr>
      <w:r>
        <w:rPr/>
        <w:t>采购包1：</w:t>
      </w:r>
    </w:p>
    <w:p>
      <w:pPr>
        <w:pStyle w:val="null3"/>
      </w:pPr>
      <w:r>
        <w:rPr/>
        <w:t>甲方指定地点</w:t>
      </w:r>
    </w:p>
    <w:p>
      <w:pPr>
        <w:pStyle w:val="null3"/>
        <w:outlineLvl w:val="3"/>
      </w:pPr>
      <w:r>
        <w:rPr>
          <w:sz w:val="24"/>
          <w:b/>
        </w:rPr>
        <w:t>3.4.3支付方式</w:t>
      </w:r>
    </w:p>
    <w:p>
      <w:pPr>
        <w:pStyle w:val="null3"/>
      </w:pPr>
      <w:r>
        <w:rPr/>
        <w:t>采购包1：</w:t>
      </w:r>
    </w:p>
    <w:p>
      <w:pPr>
        <w:pStyle w:val="null3"/>
      </w:pPr>
      <w:r>
        <w:rPr/>
        <w:t>分期付款</w:t>
      </w:r>
    </w:p>
    <w:p>
      <w:pPr>
        <w:pStyle w:val="null3"/>
        <w:outlineLvl w:val="3"/>
      </w:pPr>
      <w:r>
        <w:rPr>
          <w:sz w:val="24"/>
          <w:b/>
        </w:rPr>
        <w:t>3.4.4支付约定</w:t>
      </w:r>
    </w:p>
    <w:p>
      <w:pPr>
        <w:pStyle w:val="null3"/>
      </w:pPr>
      <w:r>
        <w:rPr/>
        <w:t>采购包1：</w:t>
      </w:r>
      <w:r>
        <w:rPr/>
        <w:t xml:space="preserve"> 付款条件说明： </w:t>
      </w:r>
      <w:r>
        <w:rPr/>
        <w:t>设备到货并完成验收</w:t>
      </w:r>
      <w:r>
        <w:rPr/>
        <w:t xml:space="preserve"> ，达到付款条件起 </w:t>
      </w:r>
      <w:r>
        <w:rPr/>
        <w:t>10</w:t>
      </w:r>
      <w:r>
        <w:rPr/>
        <w:t xml:space="preserve"> 日内，支付合同总金额的 </w:t>
      </w:r>
      <w:r>
        <w:rPr/>
        <w:t>30.00</w:t>
      </w:r>
      <w:r>
        <w:rPr/>
        <w:t>%。</w:t>
      </w:r>
    </w:p>
    <w:p>
      <w:pPr>
        <w:pStyle w:val="null3"/>
      </w:pPr>
      <w:r>
        <w:rPr/>
        <w:t>采购包1：</w:t>
      </w:r>
      <w:r>
        <w:rPr/>
        <w:t xml:space="preserve"> 付款条件说明： </w:t>
      </w:r>
      <w:r>
        <w:rPr/>
        <w:t>安装、调试完毕</w:t>
      </w:r>
      <w:r>
        <w:rPr/>
        <w:t xml:space="preserve"> ，达到付款条件起 </w:t>
      </w:r>
      <w:r>
        <w:rPr/>
        <w:t>10</w:t>
      </w:r>
      <w:r>
        <w:rPr/>
        <w:t xml:space="preserve"> 日内，支付合同总金额的 </w:t>
      </w:r>
      <w:r>
        <w:rPr/>
        <w:t>60.00</w:t>
      </w:r>
      <w:r>
        <w:rPr/>
        <w:t>%。</w:t>
      </w:r>
    </w:p>
    <w:p>
      <w:pPr>
        <w:pStyle w:val="null3"/>
      </w:pPr>
      <w:r>
        <w:rPr/>
        <w:t>采购包1：</w:t>
      </w:r>
      <w:r>
        <w:rPr/>
        <w:t xml:space="preserve"> 付款条件说明： </w:t>
      </w:r>
      <w:r>
        <w:rPr/>
        <w:t>经采购人使用3个月后无质量问题</w:t>
      </w:r>
      <w:r>
        <w:rPr/>
        <w:t xml:space="preserve"> ，达到付款条件起 </w:t>
      </w:r>
      <w:r>
        <w:rPr/>
        <w:t>20</w:t>
      </w:r>
      <w:r>
        <w:rPr/>
        <w:t xml:space="preserve"> 日内，支付合同总金额的 </w:t>
      </w:r>
      <w:r>
        <w:rPr/>
        <w:t>10.00</w:t>
      </w:r>
      <w:r>
        <w:rPr/>
        <w:t>%。</w:t>
      </w:r>
    </w:p>
    <w:p>
      <w:pPr>
        <w:pStyle w:val="null3"/>
        <w:outlineLvl w:val="3"/>
      </w:pPr>
      <w:r>
        <w:rPr>
          <w:sz w:val="24"/>
          <w:b/>
        </w:rPr>
        <w:t>3.4.5验收标准和方法</w:t>
      </w:r>
    </w:p>
    <w:p>
      <w:pPr>
        <w:pStyle w:val="null3"/>
      </w:pPr>
      <w:r>
        <w:rPr/>
        <w:t>采购包1：</w:t>
      </w:r>
    </w:p>
    <w:p>
      <w:pPr>
        <w:pStyle w:val="null3"/>
      </w:pPr>
      <w:r>
        <w:rPr/>
        <w:t>（1）交收检验：设备到货后，由使用单位、中标人对设备进行开箱检查，检查内容包括：设备名称、规格型号、配置要求、制造商、原产地等。若设备与合同要求不符，采购人将拒绝接收。 （2）技术验收：交收检验合格后，设备由中标人负责安装调试。安装调试完毕后，中标单位提交验收文件，采购人的设备使用单位对设备进行技术预验收（中标人协助），验收以国际标准或以合同文本中描述的有关技术要求为准。 （3）最终验收：技术验收合格后的，采购人根据使用单位技术验收报告，组织相关部门对设备进行最终验收。 （4）验收依据：合同文本、 国家有关的验收标准及规范、招标文件、投标文件。</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免费质保期为自安装调试试运行验收合格之日起 3 年（软件免费质保期为一年） 。</w:t>
      </w:r>
    </w:p>
    <w:p>
      <w:pPr>
        <w:pStyle w:val="null3"/>
        <w:outlineLvl w:val="3"/>
      </w:pPr>
      <w:r>
        <w:rPr>
          <w:sz w:val="24"/>
          <w:b/>
        </w:rPr>
        <w:t>3.4.8违约责任与解决争议的方法</w:t>
      </w:r>
    </w:p>
    <w:p>
      <w:pPr>
        <w:pStyle w:val="null3"/>
      </w:pPr>
      <w:r>
        <w:rPr/>
        <w:t>采购包1：</w:t>
      </w:r>
    </w:p>
    <w:p>
      <w:pPr>
        <w:pStyle w:val="null3"/>
      </w:pPr>
      <w:r>
        <w:rPr/>
        <w:t>按照合同约定执行，详见合同附件</w:t>
      </w:r>
    </w:p>
    <w:p>
      <w:pPr>
        <w:pStyle w:val="null3"/>
        <w:jc w:val="left"/>
        <w:outlineLvl w:val="2"/>
      </w:pPr>
      <w:r>
        <w:rPr>
          <w:sz w:val="28"/>
          <w:b/>
        </w:rPr>
        <w:t>3.5其他要求</w:t>
      </w:r>
    </w:p>
    <w:p>
      <w:pPr>
        <w:pStyle w:val="null3"/>
      </w:pPr>
      <w:r>
        <w:rPr/>
        <w:t>1）核心产品：集中控制系统 2）本次功能演示部分内容请各供应商提供演示视频，以U盘形式提供1份（因供应商原因导致损坏或未打开责任自行承担，供应商可自行提供1份备份），并在投标截止前密封并标明单位名称，项目名称，项目编号等信息并加盖公章，邮寄或现场递交均可，递交或邮寄地址西安市科技二路启迪清扬时代D座10楼21003室、王工 15502932360）； 3）为顺利推进政府采购电子化交易平台试点应用工作，供应商需要在线提交所有通过电子化交易平台实施的政府采购项目的响应文件。成交供应商在结果公示结束后2个工作日内向代理机构提供纸质版投标文件，投标文件三份。纸质投标文件均须A4纸打印，分别各自装订成册并编制目录和页码。与电子投标文件一致的签字、盖章的完整版本。 4）《第六章投标文件格式部分》未提供格式的，由供应商在其它补充材料中自行补充，如不需补充，此项填写“无”即可。 5）实质性要求中“★”内容中的演示部分按需响应；</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供应商资格要求</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供应商资格要求</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供应商资格要求</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具有独立承担民事责任能力的法人 、其他组织或自然人</w:t>
            </w:r>
          </w:p>
        </w:tc>
        <w:tc>
          <w:tcPr>
            <w:tcW w:type="dxa" w:w="3322"/>
          </w:tcPr>
          <w:p>
            <w:pPr>
              <w:pStyle w:val="null3"/>
            </w:pPr>
            <w:r>
              <w:rPr/>
              <w:t>供应商提供合法有效的统一社会信用代码营业执照 ( 事业单位提供事业单位法人证书， 自然人应提 供身份证）</w:t>
            </w:r>
          </w:p>
        </w:tc>
        <w:tc>
          <w:tcPr>
            <w:tcW w:type="dxa" w:w="1661"/>
          </w:tcPr>
          <w:p>
            <w:pPr>
              <w:pStyle w:val="null3"/>
            </w:pPr>
            <w:r>
              <w:rPr/>
              <w:t>供应商资格要求</w:t>
            </w:r>
          </w:p>
        </w:tc>
      </w:tr>
      <w:tr>
        <w:tc>
          <w:tcPr>
            <w:tcW w:type="dxa" w:w="831"/>
          </w:tcPr>
          <w:p>
            <w:pPr>
              <w:pStyle w:val="null3"/>
            </w:pPr>
            <w:r>
              <w:rPr/>
              <w:t>2</w:t>
            </w:r>
          </w:p>
        </w:tc>
        <w:tc>
          <w:tcPr>
            <w:tcW w:type="dxa" w:w="2492"/>
          </w:tcPr>
          <w:p>
            <w:pPr>
              <w:pStyle w:val="null3"/>
            </w:pPr>
            <w:r>
              <w:rPr/>
              <w:t>财务状况证明</w:t>
            </w:r>
          </w:p>
        </w:tc>
        <w:tc>
          <w:tcPr>
            <w:tcW w:type="dxa" w:w="3322"/>
          </w:tcPr>
          <w:p>
            <w:pPr>
              <w:pStyle w:val="null3"/>
            </w:pPr>
            <w:r>
              <w:rPr/>
              <w:t>供应商提供2023年度经审计完整的财务审计报 告（成立时间至提交投标文件截止时间不足一 年的可提供成立后任意时段的资产负债表）， 或其开标前六个月内银行出具的资信证明，或财政部门认可的政府采购专业担保机构出具的 投标担保函</w:t>
            </w:r>
          </w:p>
        </w:tc>
        <w:tc>
          <w:tcPr>
            <w:tcW w:type="dxa" w:w="1661"/>
          </w:tcPr>
          <w:p>
            <w:pPr>
              <w:pStyle w:val="null3"/>
            </w:pPr>
            <w:r>
              <w:rPr/>
              <w:t>供应商资格要求</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供应商提供2024年1月以来至少一个月的纳税证明或完税证明，依法免税的单位应提供相关证明材料</w:t>
            </w:r>
          </w:p>
        </w:tc>
        <w:tc>
          <w:tcPr>
            <w:tcW w:type="dxa" w:w="1661"/>
          </w:tcPr>
          <w:p>
            <w:pPr>
              <w:pStyle w:val="null3"/>
            </w:pPr>
            <w:r>
              <w:rPr/>
              <w:t>供应商资格要求</w:t>
            </w:r>
          </w:p>
        </w:tc>
      </w:tr>
      <w:tr>
        <w:tc>
          <w:tcPr>
            <w:tcW w:type="dxa" w:w="831"/>
          </w:tcPr>
          <w:p>
            <w:pPr>
              <w:pStyle w:val="null3"/>
            </w:pPr>
            <w:r>
              <w:rPr/>
              <w:t>4</w:t>
            </w:r>
          </w:p>
        </w:tc>
        <w:tc>
          <w:tcPr>
            <w:tcW w:type="dxa" w:w="2492"/>
          </w:tcPr>
          <w:p>
            <w:pPr>
              <w:pStyle w:val="null3"/>
            </w:pPr>
            <w:r>
              <w:rPr/>
              <w:t>社会保障资金缴纳证明</w:t>
            </w:r>
          </w:p>
        </w:tc>
        <w:tc>
          <w:tcPr>
            <w:tcW w:type="dxa" w:w="3322"/>
          </w:tcPr>
          <w:p>
            <w:pPr>
              <w:pStyle w:val="null3"/>
            </w:pPr>
            <w:r>
              <w:rPr/>
              <w:t>供应商提供2024年1月以来至少一个月的社会保障资 金缴存单据或社保机构开具的社会保险参保缴 费情况证明。依法不需要缴纳社会保障资金的 供应商应提供相关文件证明</w:t>
            </w:r>
          </w:p>
        </w:tc>
        <w:tc>
          <w:tcPr>
            <w:tcW w:type="dxa" w:w="1661"/>
          </w:tcPr>
          <w:p>
            <w:pPr>
              <w:pStyle w:val="null3"/>
            </w:pPr>
            <w:r>
              <w:rPr/>
              <w:t>供应商资格要求</w:t>
            </w:r>
          </w:p>
        </w:tc>
      </w:tr>
      <w:tr>
        <w:tc>
          <w:tcPr>
            <w:tcW w:type="dxa" w:w="831"/>
          </w:tcPr>
          <w:p>
            <w:pPr>
              <w:pStyle w:val="null3"/>
            </w:pPr>
            <w:r>
              <w:rPr/>
              <w:t>5</w:t>
            </w:r>
          </w:p>
        </w:tc>
        <w:tc>
          <w:tcPr>
            <w:tcW w:type="dxa" w:w="2492"/>
          </w:tcPr>
          <w:p>
            <w:pPr>
              <w:pStyle w:val="null3"/>
            </w:pPr>
            <w:r>
              <w:rPr/>
              <w:t>具有履行合同所必需的设备和专业 技术能力的书面声明</w:t>
            </w:r>
          </w:p>
        </w:tc>
        <w:tc>
          <w:tcPr>
            <w:tcW w:type="dxa" w:w="3322"/>
          </w:tcPr>
          <w:p>
            <w:pPr>
              <w:pStyle w:val="null3"/>
            </w:pPr>
            <w:r>
              <w:rPr/>
              <w:t>具有履行合同所必需的设备和专业技术能力的 书面声明</w:t>
            </w:r>
          </w:p>
        </w:tc>
        <w:tc>
          <w:tcPr>
            <w:tcW w:type="dxa" w:w="1661"/>
          </w:tcPr>
          <w:p>
            <w:pPr>
              <w:pStyle w:val="null3"/>
            </w:pPr>
            <w:r>
              <w:rPr/>
              <w:t>供应商资格要求</w:t>
            </w:r>
          </w:p>
        </w:tc>
      </w:tr>
      <w:tr>
        <w:tc>
          <w:tcPr>
            <w:tcW w:type="dxa" w:w="831"/>
          </w:tcPr>
          <w:p>
            <w:pPr>
              <w:pStyle w:val="null3"/>
            </w:pPr>
            <w:r>
              <w:rPr/>
              <w:t>6</w:t>
            </w:r>
          </w:p>
        </w:tc>
        <w:tc>
          <w:tcPr>
            <w:tcW w:type="dxa" w:w="2492"/>
          </w:tcPr>
          <w:p>
            <w:pPr>
              <w:pStyle w:val="null3"/>
            </w:pPr>
            <w:r>
              <w:rPr/>
              <w:t>法定代表人、授权代理人证明</w:t>
            </w:r>
          </w:p>
        </w:tc>
        <w:tc>
          <w:tcPr>
            <w:tcW w:type="dxa" w:w="3322"/>
          </w:tcPr>
          <w:p>
            <w:pPr>
              <w:pStyle w:val="null3"/>
            </w:pPr>
            <w:r>
              <w:rPr/>
              <w:t>法定代表人参加采购的，须提供本人身份证复印件（附在资格证明文件中）；法定代表人授权他人参加投标的，须提供法定代表人授权委托书。招标文件中凡是需要法定代表人盖章之处， 非法人单位的负责人均参照执行。 法人的分支机构参与投标时，除提供《法定代表人授权委托书》外， 还须同时提供法人给分支机构出具的授权书。</w:t>
            </w:r>
          </w:p>
        </w:tc>
        <w:tc>
          <w:tcPr>
            <w:tcW w:type="dxa" w:w="1661"/>
          </w:tcPr>
          <w:p>
            <w:pPr>
              <w:pStyle w:val="null3"/>
            </w:pPr>
            <w:r>
              <w:rPr/>
              <w:t>供应商资格要求</w:t>
            </w:r>
          </w:p>
        </w:tc>
      </w:tr>
      <w:tr>
        <w:tc>
          <w:tcPr>
            <w:tcW w:type="dxa" w:w="831"/>
          </w:tcPr>
          <w:p>
            <w:pPr>
              <w:pStyle w:val="null3"/>
            </w:pPr>
            <w:r>
              <w:rPr/>
              <w:t>7</w:t>
            </w:r>
          </w:p>
        </w:tc>
        <w:tc>
          <w:tcPr>
            <w:tcW w:type="dxa" w:w="2492"/>
          </w:tcPr>
          <w:p>
            <w:pPr>
              <w:pStyle w:val="null3"/>
            </w:pPr>
            <w:r>
              <w:rPr/>
              <w:t>参加政府采购活动前3年内在经营 活动中没有重大违法记录的书面声 明</w:t>
            </w:r>
          </w:p>
        </w:tc>
        <w:tc>
          <w:tcPr>
            <w:tcW w:type="dxa" w:w="3322"/>
          </w:tcPr>
          <w:p>
            <w:pPr>
              <w:pStyle w:val="null3"/>
            </w:pPr>
            <w:r>
              <w:rPr/>
              <w:t>参加政府采购活动前3年内在经营活动中没有重 大违法记录的书面声明</w:t>
            </w:r>
          </w:p>
        </w:tc>
        <w:tc>
          <w:tcPr>
            <w:tcW w:type="dxa" w:w="1661"/>
          </w:tcPr>
          <w:p>
            <w:pPr>
              <w:pStyle w:val="null3"/>
            </w:pPr>
            <w:r>
              <w:rPr/>
              <w:t>供应商资格要求</w:t>
            </w:r>
          </w:p>
        </w:tc>
      </w:tr>
      <w:tr>
        <w:tc>
          <w:tcPr>
            <w:tcW w:type="dxa" w:w="831"/>
          </w:tcPr>
          <w:p>
            <w:pPr>
              <w:pStyle w:val="null3"/>
            </w:pPr>
            <w:r>
              <w:rPr/>
              <w:t>8</w:t>
            </w:r>
          </w:p>
        </w:tc>
        <w:tc>
          <w:tcPr>
            <w:tcW w:type="dxa" w:w="2492"/>
          </w:tcPr>
          <w:p>
            <w:pPr>
              <w:pStyle w:val="null3"/>
            </w:pPr>
            <w:r>
              <w:rPr/>
              <w:t>本项目不接受联合体投标</w:t>
            </w:r>
          </w:p>
        </w:tc>
        <w:tc>
          <w:tcPr>
            <w:tcW w:type="dxa" w:w="3322"/>
          </w:tcPr>
          <w:p>
            <w:pPr>
              <w:pStyle w:val="null3"/>
            </w:pPr>
            <w:r>
              <w:rPr/>
              <w:t>本项目不接受联合体投标，依据要求承诺，未提供格式则自行承诺。</w:t>
            </w:r>
          </w:p>
        </w:tc>
        <w:tc>
          <w:tcPr>
            <w:tcW w:type="dxa" w:w="1661"/>
          </w:tcPr>
          <w:p>
            <w:pPr>
              <w:pStyle w:val="null3"/>
            </w:pPr>
            <w:r>
              <w:rPr/>
              <w:t>供应商资格要求</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 评标方法</w:t>
      </w:r>
    </w:p>
    <w:p>
      <w:pPr>
        <w:pStyle w:val="null3"/>
      </w:pPr>
      <w:r>
        <w:rPr/>
        <w:t>采购包1：综合评分法</w:t>
      </w:r>
    </w:p>
    <w:p>
      <w:pPr>
        <w:pStyle w:val="null3"/>
        <w:outlineLvl w:val="2"/>
      </w:pPr>
      <w:r>
        <w:rPr>
          <w:sz w:val="28"/>
          <w:b/>
        </w:rPr>
        <w:t>5.4评标程序</w:t>
      </w:r>
    </w:p>
    <w:p>
      <w:pPr>
        <w:pStyle w:val="null3"/>
        <w:outlineLvl w:val="3"/>
      </w:pPr>
      <w:r>
        <w:rPr>
          <w:sz w:val="24"/>
          <w:b/>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其它补充材料 投标函 标的清单</w:t>
            </w:r>
          </w:p>
        </w:tc>
      </w:tr>
      <w:tr>
        <w:tc>
          <w:tcPr>
            <w:tcW w:type="dxa" w:w="831"/>
          </w:tcPr>
          <w:p>
            <w:pPr>
              <w:pStyle w:val="null3"/>
            </w:pPr>
            <w:r>
              <w:rPr/>
              <w:t>2</w:t>
            </w:r>
          </w:p>
        </w:tc>
        <w:tc>
          <w:tcPr>
            <w:tcW w:type="dxa" w:w="2492"/>
          </w:tcPr>
          <w:p>
            <w:pPr>
              <w:pStyle w:val="null3"/>
            </w:pPr>
            <w:r>
              <w:rPr/>
              <w:t>报价</w:t>
            </w:r>
          </w:p>
        </w:tc>
        <w:tc>
          <w:tcPr>
            <w:tcW w:type="dxa" w:w="3322"/>
          </w:tcPr>
          <w:p>
            <w:pPr>
              <w:pStyle w:val="null3"/>
            </w:pPr>
            <w:r>
              <w:rPr/>
              <w:t>投标报价未超过采购预算或者最高限价(合格)， 投标报价超过采购预算或者最高限价(不合格)</w:t>
            </w:r>
          </w:p>
        </w:tc>
        <w:tc>
          <w:tcPr>
            <w:tcW w:type="dxa" w:w="1661"/>
          </w:tcPr>
          <w:p>
            <w:pPr>
              <w:pStyle w:val="null3"/>
            </w:pPr>
            <w:r>
              <w:rPr/>
              <w:t>投标函 商务应答表 标的清单</w:t>
            </w:r>
          </w:p>
        </w:tc>
      </w:tr>
      <w:tr>
        <w:tc>
          <w:tcPr>
            <w:tcW w:type="dxa" w:w="831"/>
          </w:tcPr>
          <w:p>
            <w:pPr>
              <w:pStyle w:val="null3"/>
            </w:pPr>
            <w:r>
              <w:rPr/>
              <w:t>3</w:t>
            </w:r>
          </w:p>
        </w:tc>
        <w:tc>
          <w:tcPr>
            <w:tcW w:type="dxa" w:w="2492"/>
          </w:tcPr>
          <w:p>
            <w:pPr>
              <w:pStyle w:val="null3"/>
            </w:pPr>
            <w:r>
              <w:rPr/>
              <w:t>投标有效期</w:t>
            </w:r>
          </w:p>
        </w:tc>
        <w:tc>
          <w:tcPr>
            <w:tcW w:type="dxa" w:w="3322"/>
          </w:tcPr>
          <w:p>
            <w:pPr>
              <w:pStyle w:val="null3"/>
            </w:pPr>
            <w:r>
              <w:rPr/>
              <w:t>投标文件投标有效期符合招标文件要求的(合格) , 投标文件无投标有效期或有效期达不到招标 文件要求的(不合格)</w:t>
            </w:r>
          </w:p>
        </w:tc>
        <w:tc>
          <w:tcPr>
            <w:tcW w:type="dxa" w:w="1661"/>
          </w:tcPr>
          <w:p>
            <w:pPr>
              <w:pStyle w:val="null3"/>
            </w:pPr>
            <w:r>
              <w:rPr/>
              <w:t>商务应答表</w:t>
            </w:r>
          </w:p>
        </w:tc>
      </w:tr>
      <w:tr>
        <w:tc>
          <w:tcPr>
            <w:tcW w:type="dxa" w:w="831"/>
          </w:tcPr>
          <w:p>
            <w:pPr>
              <w:pStyle w:val="null3"/>
            </w:pPr>
            <w:r>
              <w:rPr/>
              <w:t>4</w:t>
            </w:r>
          </w:p>
        </w:tc>
        <w:tc>
          <w:tcPr>
            <w:tcW w:type="dxa" w:w="2492"/>
          </w:tcPr>
          <w:p>
            <w:pPr>
              <w:pStyle w:val="null3"/>
            </w:pPr>
            <w:r>
              <w:rPr/>
              <w:t>交货时间</w:t>
            </w:r>
          </w:p>
        </w:tc>
        <w:tc>
          <w:tcPr>
            <w:tcW w:type="dxa" w:w="3322"/>
          </w:tcPr>
          <w:p>
            <w:pPr>
              <w:pStyle w:val="null3"/>
            </w:pPr>
            <w:r>
              <w:rPr/>
              <w:t>交货时间满足招标文件要求（合格），交货时 间不满足招标文件要求（不合格）</w:t>
            </w:r>
          </w:p>
        </w:tc>
        <w:tc>
          <w:tcPr>
            <w:tcW w:type="dxa" w:w="1661"/>
          </w:tcPr>
          <w:p>
            <w:pPr>
              <w:pStyle w:val="null3"/>
            </w:pPr>
            <w:r>
              <w:rPr/>
              <w:t>商务应答表</w:t>
            </w:r>
          </w:p>
        </w:tc>
      </w:tr>
      <w:tr>
        <w:tc>
          <w:tcPr>
            <w:tcW w:type="dxa" w:w="831"/>
          </w:tcPr>
          <w:p>
            <w:pPr>
              <w:pStyle w:val="null3"/>
            </w:pPr>
            <w:r>
              <w:rPr/>
              <w:t>5</w:t>
            </w:r>
          </w:p>
        </w:tc>
        <w:tc>
          <w:tcPr>
            <w:tcW w:type="dxa" w:w="2492"/>
          </w:tcPr>
          <w:p>
            <w:pPr>
              <w:pStyle w:val="null3"/>
            </w:pPr>
            <w:r>
              <w:rPr/>
              <w:t>质量保修范围和保修期</w:t>
            </w:r>
          </w:p>
        </w:tc>
        <w:tc>
          <w:tcPr>
            <w:tcW w:type="dxa" w:w="3322"/>
          </w:tcPr>
          <w:p>
            <w:pPr>
              <w:pStyle w:val="null3"/>
            </w:pPr>
            <w:r>
              <w:rPr/>
              <w:t>质量保修范围和保修期满足招标文件要求（合 格），质量保修范围和保修期不满足招标文件 要求（不合格）</w:t>
            </w:r>
          </w:p>
        </w:tc>
        <w:tc>
          <w:tcPr>
            <w:tcW w:type="dxa" w:w="1661"/>
          </w:tcPr>
          <w:p>
            <w:pPr>
              <w:pStyle w:val="null3"/>
            </w:pPr>
            <w:r>
              <w:rPr/>
              <w:t>开标一览表 其它补充材料 投标函 商务应答表</w:t>
            </w:r>
          </w:p>
        </w:tc>
      </w:tr>
      <w:tr>
        <w:tc>
          <w:tcPr>
            <w:tcW w:type="dxa" w:w="831"/>
          </w:tcPr>
          <w:p>
            <w:pPr>
              <w:pStyle w:val="null3"/>
            </w:pPr>
            <w:r>
              <w:rPr/>
              <w:t>6</w:t>
            </w:r>
          </w:p>
        </w:tc>
        <w:tc>
          <w:tcPr>
            <w:tcW w:type="dxa" w:w="2492"/>
          </w:tcPr>
          <w:p>
            <w:pPr>
              <w:pStyle w:val="null3"/>
            </w:pPr>
            <w:r>
              <w:rPr/>
              <w:t>签署、盖章</w:t>
            </w:r>
          </w:p>
        </w:tc>
        <w:tc>
          <w:tcPr>
            <w:tcW w:type="dxa" w:w="3322"/>
          </w:tcPr>
          <w:p>
            <w:pPr>
              <w:pStyle w:val="null3"/>
            </w:pPr>
            <w:r>
              <w:rPr/>
              <w:t>投标文件的签署、盖章符合招标文件要求（合 格），投标文件的签署、盖章不符合招标文件 要求（不合格）</w:t>
            </w:r>
          </w:p>
        </w:tc>
        <w:tc>
          <w:tcPr>
            <w:tcW w:type="dxa" w:w="1661"/>
          </w:tcPr>
          <w:p>
            <w:pPr>
              <w:pStyle w:val="null3"/>
            </w:pPr>
            <w:r>
              <w:rPr/>
              <w:t>投标函 投标文件封面</w:t>
            </w:r>
          </w:p>
        </w:tc>
      </w:tr>
      <w:tr>
        <w:tc>
          <w:tcPr>
            <w:tcW w:type="dxa" w:w="831"/>
          </w:tcPr>
          <w:p>
            <w:pPr>
              <w:pStyle w:val="null3"/>
            </w:pPr>
            <w:r>
              <w:rPr/>
              <w:t>7</w:t>
            </w:r>
          </w:p>
        </w:tc>
        <w:tc>
          <w:tcPr>
            <w:tcW w:type="dxa" w:w="2492"/>
          </w:tcPr>
          <w:p>
            <w:pPr>
              <w:pStyle w:val="null3"/>
            </w:pPr>
            <w:r>
              <w:rPr/>
              <w:t>法律、法规和招标文件规定的其他 无效情形</w:t>
            </w:r>
          </w:p>
        </w:tc>
        <w:tc>
          <w:tcPr>
            <w:tcW w:type="dxa" w:w="3322"/>
          </w:tcPr>
          <w:p>
            <w:pPr>
              <w:pStyle w:val="null3"/>
            </w:pPr>
            <w:r>
              <w:rPr/>
              <w:t>法律、法规和招标文件规定的其他无效情形</w:t>
            </w:r>
          </w:p>
        </w:tc>
        <w:tc>
          <w:tcPr>
            <w:tcW w:type="dxa" w:w="1661"/>
          </w:tcPr>
          <w:p>
            <w:pPr>
              <w:pStyle w:val="null3"/>
            </w:pPr>
            <w:r>
              <w:rPr/>
              <w:t>其它补充材料 商务应答表</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技术指标和配置</w:t>
            </w:r>
          </w:p>
        </w:tc>
        <w:tc>
          <w:tcPr>
            <w:tcW w:type="dxa" w:w="2492"/>
          </w:tcPr>
          <w:p>
            <w:pPr>
              <w:pStyle w:val="null3"/>
            </w:pPr>
            <w:r>
              <w:rPr/>
              <w:t>根据投标人提供所投产品的技术指 标进行评审，评审依据为技术参数 偏离表及相应的证明材料（包括但 不限于产品彩页、测试报告、官网 和功能截图等技术支持性文件（资 料）和技术偏离表。 基本分（30分）：技术参数完全符合招标文件要求或正偏离的计30分；“▲”为重要参数，每负偏离一项扣3分，一般参数每负偏离一项扣1分，扣完为止。</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分项报价表</w:t>
            </w:r>
          </w:p>
          <w:p>
            <w:pPr>
              <w:pStyle w:val="null3"/>
            </w:pPr>
            <w:r>
              <w:rPr/>
              <w:t>产品技术参数表</w:t>
            </w:r>
          </w:p>
          <w:p>
            <w:pPr>
              <w:pStyle w:val="null3"/>
            </w:pPr>
            <w:r>
              <w:rPr/>
              <w:t>标的清单</w:t>
            </w:r>
          </w:p>
        </w:tc>
      </w:tr>
      <w:tr>
        <w:tc>
          <w:tcPr>
            <w:tcW w:type="dxa" w:w="831"/>
            <w:vMerge/>
          </w:tcPr>
          <w:p/>
        </w:tc>
        <w:tc>
          <w:tcPr>
            <w:tcW w:type="dxa" w:w="1661"/>
          </w:tcPr>
          <w:p>
            <w:pPr>
              <w:pStyle w:val="null3"/>
            </w:pPr>
            <w:r>
              <w:rPr/>
              <w:t>实施方案</w:t>
            </w:r>
          </w:p>
        </w:tc>
        <w:tc>
          <w:tcPr>
            <w:tcW w:type="dxa" w:w="2492"/>
          </w:tcPr>
          <w:p>
            <w:pPr>
              <w:pStyle w:val="null3"/>
            </w:pPr>
            <w:r>
              <w:rPr/>
              <w:t>具有完整的项目实施方案，包括项目总体实施方案、项目团队方案、系统安装调试方案、项目进度安排、项目验收方案内容。方案制定内容齐全，各类措施健全，完全满足采购需求并符合本项目实施特点得10分；每缺少一项内容扣2分；每有一处内容与实际需求不符或不满足要求扣0.5-1.5分，扣完为止。</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技术与服务方案</w:t>
            </w:r>
          </w:p>
        </w:tc>
      </w:tr>
      <w:tr>
        <w:tc>
          <w:tcPr>
            <w:tcW w:type="dxa" w:w="831"/>
            <w:vMerge/>
          </w:tcPr>
          <w:p/>
        </w:tc>
        <w:tc>
          <w:tcPr>
            <w:tcW w:type="dxa" w:w="1661"/>
          </w:tcPr>
          <w:p>
            <w:pPr>
              <w:pStyle w:val="null3"/>
            </w:pPr>
            <w:r>
              <w:rPr/>
              <w:t>培训方案</w:t>
            </w:r>
          </w:p>
        </w:tc>
        <w:tc>
          <w:tcPr>
            <w:tcW w:type="dxa" w:w="2492"/>
          </w:tcPr>
          <w:p>
            <w:pPr>
              <w:pStyle w:val="null3"/>
            </w:pPr>
            <w:r>
              <w:rPr/>
              <w:t>投标人应提供完善的培训方案，方案应包培训内容、培训计划、培训 方式、培训人员配置。培训方案完善、针对性强且符合项目实际需求的得8分，每缺少一项扣2分，某一项不完整或不符合实际需求的扣0. 5-1.5分，扣完为止。</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技术与服务方案</w:t>
            </w:r>
          </w:p>
        </w:tc>
      </w:tr>
      <w:tr>
        <w:tc>
          <w:tcPr>
            <w:tcW w:type="dxa" w:w="831"/>
            <w:vMerge/>
          </w:tcPr>
          <w:p/>
        </w:tc>
        <w:tc>
          <w:tcPr>
            <w:tcW w:type="dxa" w:w="1661"/>
          </w:tcPr>
          <w:p>
            <w:pPr>
              <w:pStyle w:val="null3"/>
            </w:pPr>
            <w:r>
              <w:rPr/>
              <w:t>售后服务</w:t>
            </w:r>
          </w:p>
        </w:tc>
        <w:tc>
          <w:tcPr>
            <w:tcW w:type="dxa" w:w="2492"/>
          </w:tcPr>
          <w:p>
            <w:pPr>
              <w:pStyle w:val="null3"/>
            </w:pPr>
            <w:r>
              <w:rPr/>
              <w:t>投标人提供售后服务方案（包含但不限于售后服务人员配置、售后服务计划、故障处理等的响应时间安排计划、质量保证期限、应急处理方案），售后服务方案完整且具有符合实际需求的得10分，每缺少一项扣2分，某一项不完整或不符合实际需求的扣0.5-1.5分，扣完为止。</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技术与服务方案</w:t>
            </w:r>
          </w:p>
        </w:tc>
      </w:tr>
      <w:tr>
        <w:tc>
          <w:tcPr>
            <w:tcW w:type="dxa" w:w="831"/>
            <w:vMerge/>
          </w:tcPr>
          <w:p/>
        </w:tc>
        <w:tc>
          <w:tcPr>
            <w:tcW w:type="dxa" w:w="1661"/>
          </w:tcPr>
          <w:p>
            <w:pPr>
              <w:pStyle w:val="null3"/>
            </w:pPr>
            <w:r>
              <w:rPr/>
              <w:t>业绩</w:t>
            </w:r>
          </w:p>
        </w:tc>
        <w:tc>
          <w:tcPr>
            <w:tcW w:type="dxa" w:w="2492"/>
          </w:tcPr>
          <w:p>
            <w:pPr>
              <w:pStyle w:val="null3"/>
            </w:pPr>
            <w:r>
              <w:rPr/>
              <w:t>供应商提供2020年1月1日至今类似项目业绩证明（以合同签订日期为准，提供合同复印件）进行评定 , 每份计1分，最高计5分。</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业绩一览表</w:t>
            </w:r>
          </w:p>
        </w:tc>
      </w:tr>
      <w:tr>
        <w:tc>
          <w:tcPr>
            <w:tcW w:type="dxa" w:w="831"/>
            <w:vMerge/>
          </w:tcPr>
          <w:p/>
        </w:tc>
        <w:tc>
          <w:tcPr>
            <w:tcW w:type="dxa" w:w="1661"/>
          </w:tcPr>
          <w:p>
            <w:pPr>
              <w:pStyle w:val="null3"/>
            </w:pPr>
            <w:r>
              <w:rPr/>
              <w:t>节能环保</w:t>
            </w:r>
          </w:p>
        </w:tc>
        <w:tc>
          <w:tcPr>
            <w:tcW w:type="dxa" w:w="2492"/>
          </w:tcPr>
          <w:p>
            <w:pPr>
              <w:pStyle w:val="null3"/>
            </w:pPr>
            <w:r>
              <w:rPr/>
              <w:t>供应商所投产品中每有一项经国家认证机构认定为节能产品的得0.5 分，每有一项为环境标志产品的得 0.5分，供应商所投产品中每有一项产品即为节能产品又是环境标志产品得1分（产品不重复计分，如某一产品得到1分，不能再计节能或环境标志产品的0.5分），最多得1分。</w:t>
            </w:r>
          </w:p>
        </w:tc>
        <w:tc>
          <w:tcPr>
            <w:tcW w:type="dxa" w:w="831"/>
          </w:tcPr>
          <w:p>
            <w:pPr>
              <w:pStyle w:val="null3"/>
              <w:jc w:val="right"/>
            </w:pPr>
            <w:r>
              <w:rPr/>
              <w:t>1.0000</w:t>
            </w:r>
          </w:p>
        </w:tc>
        <w:tc>
          <w:tcPr>
            <w:tcW w:type="dxa" w:w="831"/>
          </w:tcPr>
          <w:p>
            <w:pPr>
              <w:pStyle w:val="null3"/>
            </w:pPr>
            <w:r>
              <w:rPr/>
              <w:t>客观</w:t>
            </w:r>
          </w:p>
        </w:tc>
        <w:tc>
          <w:tcPr>
            <w:tcW w:type="dxa" w:w="1661"/>
          </w:tcPr>
          <w:p>
            <w:pPr>
              <w:pStyle w:val="null3"/>
            </w:pPr>
            <w:r>
              <w:rPr/>
              <w:t>技术与服务方案</w:t>
            </w:r>
          </w:p>
        </w:tc>
      </w:tr>
      <w:tr>
        <w:tc>
          <w:tcPr>
            <w:tcW w:type="dxa" w:w="831"/>
            <w:vMerge/>
          </w:tcPr>
          <w:p/>
        </w:tc>
        <w:tc>
          <w:tcPr>
            <w:tcW w:type="dxa" w:w="1661"/>
          </w:tcPr>
          <w:p>
            <w:pPr>
              <w:pStyle w:val="null3"/>
            </w:pPr>
            <w:r>
              <w:rPr/>
              <w:t>功能演示</w:t>
            </w:r>
          </w:p>
        </w:tc>
        <w:tc>
          <w:tcPr>
            <w:tcW w:type="dxa" w:w="2492"/>
          </w:tcPr>
          <w:p>
            <w:pPr>
              <w:pStyle w:val="null3"/>
            </w:pPr>
            <w:r>
              <w:rPr/>
              <w:t>1、集中管控平台须对接或接管学校现有中控主机和中控平台，实现对教室多媒体设备远程接管，并远程单独和批量控制教室设备开关机；（提供视频演示满足得2分，不满足或未演示得0分。） 2、中管控平台须对接或接管学校现有中控主机和中控平台，实现实时检测教室设备运行状态；（提供视频演示满足得2分，不满足或未演示得0分。） 3、集中管控平台可读取学校录播摄像头画面，实现实时查看教室的画面并监听教室内的声音；（提供视频演示满足得1分，不满足或未演示得0分。） 4、集中管控平台具备教室设备的名称、品牌、型号、位置归属等精细信息管理功能并支持信息手动录入表格导入；（提供视频演示满足得1分，不满足或未演示得0分。）</w:t>
            </w:r>
          </w:p>
        </w:tc>
        <w:tc>
          <w:tcPr>
            <w:tcW w:type="dxa" w:w="831"/>
          </w:tcPr>
          <w:p>
            <w:pPr>
              <w:pStyle w:val="null3"/>
              <w:jc w:val="right"/>
            </w:pPr>
            <w:r>
              <w:rPr/>
              <w:t>6.0000</w:t>
            </w:r>
          </w:p>
        </w:tc>
        <w:tc>
          <w:tcPr>
            <w:tcW w:type="dxa" w:w="831"/>
          </w:tcPr>
          <w:p>
            <w:pPr>
              <w:pStyle w:val="null3"/>
            </w:pPr>
            <w:r>
              <w:rPr/>
              <w:t>客观</w:t>
            </w:r>
          </w:p>
        </w:tc>
        <w:tc>
          <w:tcPr>
            <w:tcW w:type="dxa" w:w="1661"/>
          </w:tcPr>
          <w:p>
            <w:pPr>
              <w:pStyle w:val="null3"/>
            </w:pPr>
            <w:r>
              <w:rPr/>
              <w:t>技术与服务方案</w:t>
            </w:r>
          </w:p>
          <w:p>
            <w:pPr>
              <w:pStyle w:val="null3"/>
            </w:pPr>
            <w:r>
              <w:rPr/>
              <w:t>其它补充材料</w:t>
            </w:r>
          </w:p>
          <w:p>
            <w:pPr>
              <w:pStyle w:val="null3"/>
            </w:pPr>
            <w:r>
              <w:rPr/>
              <w:t>标的清单</w:t>
            </w:r>
          </w:p>
        </w:tc>
      </w:tr>
      <w:tr>
        <w:tc>
          <w:tcPr>
            <w:tcW w:type="dxa" w:w="831"/>
          </w:tcPr>
          <w:p>
            <w:pPr>
              <w:pStyle w:val="null3"/>
            </w:pPr>
            <w:r>
              <w:rPr/>
              <w:t>价格分</w:t>
            </w:r>
          </w:p>
        </w:tc>
        <w:tc>
          <w:tcPr>
            <w:tcW w:type="dxa" w:w="1661"/>
          </w:tcPr>
          <w:p>
            <w:pPr>
              <w:pStyle w:val="null3"/>
            </w:pPr>
            <w:r>
              <w:rPr/>
              <w:t>投标价格得分</w:t>
            </w:r>
          </w:p>
        </w:tc>
        <w:tc>
          <w:tcPr>
            <w:tcW w:type="dxa" w:w="2492"/>
          </w:tcPr>
          <w:p>
            <w:pPr>
              <w:pStyle w:val="null3"/>
            </w:pPr>
            <w:r>
              <w:rPr/>
              <w:t xml:space="preserve"> 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分项报价表</w:t>
            </w:r>
          </w:p>
          <w:p>
            <w:pPr>
              <w:pStyle w:val="null3"/>
            </w:pPr>
            <w:r>
              <w:rPr/>
              <w:t>投标函</w:t>
            </w:r>
          </w:p>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中小企业声明函 残疾人福利性单位声明函 监狱企业的证明文件</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详见附件：供应商资格要求</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详见附件：开标一览表</w:t>
      </w:r>
    </w:p>
    <w:p>
      <w:pPr>
        <w:pStyle w:val="null3"/>
        <w:ind w:firstLine="960"/>
      </w:pPr>
      <w:r>
        <w:rPr/>
        <w:t>详见附件：分项报价表</w:t>
      </w:r>
    </w:p>
    <w:p>
      <w:pPr>
        <w:pStyle w:val="null3"/>
        <w:ind w:firstLine="960"/>
      </w:pPr>
      <w:r>
        <w:rPr/>
        <w:t>详见附件：标的清单</w:t>
      </w:r>
    </w:p>
    <w:p>
      <w:pPr>
        <w:pStyle w:val="null3"/>
        <w:ind w:firstLine="960"/>
      </w:pPr>
      <w:r>
        <w:rPr/>
        <w:t>详见附件：产品技术参数表</w:t>
      </w:r>
    </w:p>
    <w:p>
      <w:pPr>
        <w:pStyle w:val="null3"/>
        <w:ind w:firstLine="960"/>
      </w:pPr>
      <w:r>
        <w:rPr/>
        <w:t>详见附件：技术与服务方案</w:t>
      </w:r>
    </w:p>
    <w:p>
      <w:pPr>
        <w:pStyle w:val="null3"/>
        <w:ind w:firstLine="960"/>
      </w:pPr>
      <w:r>
        <w:rPr/>
        <w:t>详见附件：商务应答表</w:t>
      </w:r>
    </w:p>
    <w:p>
      <w:pPr>
        <w:pStyle w:val="null3"/>
        <w:ind w:firstLine="960"/>
      </w:pPr>
      <w:r>
        <w:rPr/>
        <w:t>详见附件：业绩一览表</w:t>
      </w:r>
    </w:p>
    <w:p>
      <w:pPr>
        <w:pStyle w:val="null3"/>
        <w:ind w:firstLine="960"/>
      </w:pPr>
      <w:r>
        <w:rPr/>
        <w:t>详见附件：其它补充材料</w:t>
      </w:r>
    </w:p>
    <w:p>
      <w:pPr>
        <w:pStyle w:val="null3"/>
      </w:pPr>
      <w:r>
        <w:rPr/>
        <w:t xml:space="preserve"> </w:t>
        <w:br/>
        <w:br w:type="page"/>
      </w:r>
    </w:p>
    <w:p>
      <w:pPr>
        <w:pStyle w:val="null3"/>
        <w:jc w:val="center"/>
        <w:outlineLvl w:val="1"/>
      </w:pPr>
      <w:r>
        <w:rPr>
          <w:sz w:val="36"/>
          <w:b/>
        </w:rPr>
        <w:t>第七章 拟签订合同文本</w:t>
      </w:r>
    </w:p>
    <w:p>
      <w:pPr>
        <w:pStyle w:val="null3"/>
      </w:pPr>
      <w:r>
        <w:rPr/>
        <w:t>详见附件：供货合同.docx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