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4A8D1">
      <w:pPr>
        <w:pStyle w:val="2"/>
        <w:rPr>
          <w:rFonts w:ascii="仿宋" w:hAnsi="仿宋" w:eastAsia="仿宋"/>
        </w:rPr>
      </w:pPr>
      <w:bookmarkStart w:id="0" w:name="_Toc85019468"/>
      <w:bookmarkStart w:id="1" w:name="_Toc102769683"/>
      <w:bookmarkStart w:id="2" w:name="_Toc27391"/>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14:paraId="76C62AB8">
      <w:pPr>
        <w:spacing w:line="360" w:lineRule="auto"/>
        <w:rPr>
          <w:rFonts w:ascii="仿宋" w:hAnsi="仿宋" w:eastAsia="仿宋" w:cs="仿宋"/>
          <w:sz w:val="24"/>
          <w:szCs w:val="24"/>
        </w:rPr>
      </w:pPr>
      <w:bookmarkStart w:id="3" w:name="_Toc233435994"/>
      <w:bookmarkStart w:id="4" w:name="_Toc497712147"/>
      <w:bookmarkStart w:id="5" w:name="_Toc497546932"/>
      <w:bookmarkStart w:id="6" w:name="_Toc492955473"/>
      <w:bookmarkStart w:id="7" w:name="_Toc497551834"/>
      <w:bookmarkStart w:id="8" w:name="_Toc497711599"/>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7C96A1D2">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3305E9E4">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2.具有良好的商业信誉和健全的财务会计制度（提供2023年度财务审计报告或开标前12个月内银行资信证明或财政部门认可的政府采购专业担保机构出具的投标担保函）； </w:t>
      </w:r>
    </w:p>
    <w:p w14:paraId="397D6A35">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3.具有履行合同所必需的服务能力（格式详见附件）； </w:t>
      </w:r>
    </w:p>
    <w:p w14:paraId="397D3AF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4.具有依法缴纳税收和社会保障资金的良好记录（提供开标前12个月内任一月份的社保和缴纳税收的证明，依法不需要缴纳社会保障资金、免税或无须缴纳税款的供应商，应提供相关证明文件)； </w:t>
      </w:r>
    </w:p>
    <w:p w14:paraId="307A6451">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14:paraId="1F9DA4E3">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14:paraId="75433AF1">
      <w:pPr>
        <w:spacing w:line="360" w:lineRule="auto"/>
        <w:rPr>
          <w:rFonts w:hint="eastAsia" w:ascii="仿宋" w:hAnsi="仿宋" w:eastAsia="仿宋" w:cs="仿宋"/>
          <w:sz w:val="24"/>
          <w:szCs w:val="24"/>
          <w:lang w:eastAsia="zh-CN"/>
        </w:rPr>
      </w:pPr>
      <w:bookmarkStart w:id="9" w:name="_Toc85019469"/>
      <w:r>
        <w:rPr>
          <w:rFonts w:hint="eastAsia" w:ascii="仿宋" w:hAnsi="仿宋" w:eastAsia="仿宋" w:cs="仿宋"/>
          <w:sz w:val="24"/>
          <w:szCs w:val="24"/>
          <w:lang w:val="en-US" w:eastAsia="zh-CN"/>
        </w:rPr>
        <w:t>1.</w:t>
      </w:r>
      <w:r>
        <w:rPr>
          <w:rFonts w:hint="eastAsia" w:ascii="仿宋" w:hAnsi="仿宋" w:eastAsia="仿宋" w:cs="仿宋"/>
          <w:sz w:val="24"/>
          <w:szCs w:val="24"/>
        </w:rPr>
        <w:t>法定代表人授权代表参加投标的，须出具法定代表人授权书及授权代表身份证（法定代表人直接参加磋商的，须出具法定代表人身份证）</w:t>
      </w:r>
      <w:r>
        <w:rPr>
          <w:rFonts w:hint="eastAsia" w:ascii="仿宋" w:hAnsi="仿宋" w:eastAsia="仿宋" w:cs="仿宋"/>
          <w:sz w:val="24"/>
          <w:szCs w:val="24"/>
          <w:lang w:eastAsia="zh-CN"/>
        </w:rPr>
        <w:t>；</w:t>
      </w:r>
    </w:p>
    <w:p w14:paraId="34F5E1B1">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2.供应商应具有电力行业（送电、变电工程）专业工程设计乙级及以上（含乙级）资质；</w:t>
      </w:r>
    </w:p>
    <w:p w14:paraId="58207580">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拟派项目负责人须具有国家注册电气工程师资格，并与投标人具有劳动合同关系，提供注册于本单位不少于6个月的交纳社会保险证明</w:t>
      </w:r>
      <w:r>
        <w:rPr>
          <w:rFonts w:hint="eastAsia" w:ascii="仿宋" w:hAnsi="仿宋" w:eastAsia="仿宋" w:cs="仿宋"/>
          <w:sz w:val="24"/>
          <w:szCs w:val="24"/>
          <w:lang w:eastAsia="zh-CN"/>
        </w:rPr>
        <w:t>；</w:t>
      </w:r>
    </w:p>
    <w:p w14:paraId="4BC68D18">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本项目专门面向中小企业采购，仅限符合《政府采购促进中小企业发展办法》（财库〔2020〕46 号）条件的中小企业参与，供应商应填写中小企业声明函并对真实性负责</w:t>
      </w:r>
      <w:r>
        <w:rPr>
          <w:rFonts w:hint="eastAsia" w:ascii="仿宋" w:hAnsi="仿宋" w:eastAsia="仿宋" w:cs="仿宋"/>
          <w:sz w:val="24"/>
          <w:szCs w:val="24"/>
          <w:lang w:eastAsia="zh-CN"/>
        </w:rPr>
        <w:t>；</w:t>
      </w:r>
    </w:p>
    <w:p w14:paraId="373190B0">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本项目不接受联合体磋商。</w:t>
      </w:r>
    </w:p>
    <w:p w14:paraId="22B53147">
      <w:pPr>
        <w:widowControl/>
        <w:jc w:val="left"/>
        <w:rPr>
          <w:rFonts w:ascii="仿宋" w:hAnsi="仿宋" w:eastAsia="仿宋"/>
          <w:kern w:val="1"/>
          <w:sz w:val="24"/>
        </w:rPr>
      </w:pPr>
      <w:r>
        <w:rPr>
          <w:rFonts w:ascii="仿宋" w:hAnsi="仿宋" w:eastAsia="仿宋"/>
          <w:kern w:val="1"/>
        </w:rPr>
        <w:br w:type="page"/>
      </w:r>
    </w:p>
    <w:bookmarkEnd w:id="9"/>
    <w:p w14:paraId="59EAF0AF">
      <w:pPr>
        <w:pStyle w:val="3"/>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w:t>
      </w:r>
      <w:bookmarkEnd w:id="10"/>
      <w:bookmarkEnd w:id="11"/>
      <w:r>
        <w:rPr>
          <w:rFonts w:hint="eastAsia" w:ascii="仿宋" w:hAnsi="仿宋" w:eastAsia="仿宋"/>
          <w:bCs/>
          <w:iCs/>
          <w:sz w:val="24"/>
          <w:szCs w:val="24"/>
        </w:rPr>
        <w:t xml:space="preserve">有独立承担民事责任的能力（企业法人应提供统一社会信用代码的营业执照；事业法人应提供事业单位法人证、组织机构代码证等证明文件；其他组织应提供合法证明文件；自然人提供身份证明文件）； </w:t>
      </w:r>
    </w:p>
    <w:p w14:paraId="18DAAE0C">
      <w:pPr>
        <w:widowControl/>
        <w:jc w:val="left"/>
        <w:rPr>
          <w:rFonts w:ascii="仿宋" w:hAnsi="仿宋" w:eastAsia="仿宋"/>
          <w:bCs/>
          <w:iCs/>
          <w:sz w:val="24"/>
          <w:szCs w:val="24"/>
        </w:rPr>
      </w:pPr>
      <w:r>
        <w:rPr>
          <w:rFonts w:ascii="仿宋" w:hAnsi="仿宋" w:eastAsia="仿宋"/>
          <w:b/>
          <w:bCs/>
          <w:iCs/>
          <w:sz w:val="24"/>
          <w:szCs w:val="24"/>
        </w:rPr>
        <w:br w:type="page"/>
      </w:r>
    </w:p>
    <w:p w14:paraId="6F703837">
      <w:pPr>
        <w:pStyle w:val="3"/>
        <w:spacing w:line="240" w:lineRule="auto"/>
        <w:rPr>
          <w:rFonts w:hint="eastAsia" w:ascii="仿宋" w:hAnsi="仿宋" w:eastAsia="仿宋" w:cs="Times New Roman"/>
          <w:b/>
          <w:bCs w:val="0"/>
          <w:iCs/>
          <w:sz w:val="24"/>
          <w:szCs w:val="24"/>
        </w:rPr>
      </w:pPr>
      <w:bookmarkStart w:id="12" w:name="_Toc428"/>
      <w:bookmarkStart w:id="13" w:name="_Toc102769686"/>
      <w:bookmarkStart w:id="14" w:name="_Toc85019471"/>
      <w:r>
        <w:rPr>
          <w:rFonts w:hint="eastAsia" w:ascii="仿宋" w:hAnsi="仿宋" w:eastAsia="仿宋" w:cs="Times New Roman"/>
          <w:b/>
          <w:bCs w:val="0"/>
          <w:iCs/>
          <w:sz w:val="24"/>
          <w:szCs w:val="24"/>
        </w:rPr>
        <w:t>具有良好的商业信誉和健全的财务会计制度（提供2023年度财务审计报告或开标前12个月内银行资信证明或财政部门认可的政府采购专业担保机构出具的投标担保函）</w:t>
      </w:r>
    </w:p>
    <w:p w14:paraId="3019EC5F">
      <w:pPr>
        <w:bidi w:val="0"/>
        <w:rPr>
          <w:rFonts w:ascii="仿宋" w:hAnsi="仿宋" w:eastAsia="仿宋"/>
          <w:bCs/>
          <w:iCs/>
          <w:szCs w:val="24"/>
        </w:rPr>
      </w:pPr>
      <w:r>
        <w:br w:type="page"/>
      </w:r>
    </w:p>
    <w:p w14:paraId="69EDE280">
      <w:pPr>
        <w:pStyle w:val="3"/>
        <w:spacing w:line="240" w:lineRule="auto"/>
        <w:rPr>
          <w:rFonts w:ascii="仿宋" w:hAnsi="仿宋" w:eastAsia="仿宋"/>
          <w:b/>
          <w:bCs w:val="0"/>
          <w:iCs/>
          <w:sz w:val="24"/>
          <w:szCs w:val="24"/>
        </w:rPr>
      </w:pPr>
      <w:bookmarkStart w:id="15" w:name="_Toc14970"/>
      <w:bookmarkStart w:id="16" w:name="_Toc105617042"/>
      <w:r>
        <w:rPr>
          <w:rFonts w:hint="eastAsia" w:ascii="仿宋" w:hAnsi="仿宋" w:eastAsia="仿宋"/>
          <w:b/>
          <w:bCs w:val="0"/>
          <w:iCs/>
          <w:sz w:val="24"/>
          <w:szCs w:val="24"/>
        </w:rPr>
        <w:t>具有履行合同所必需的设备和专业技术能力</w:t>
      </w:r>
      <w:bookmarkEnd w:id="15"/>
      <w:bookmarkEnd w:id="16"/>
    </w:p>
    <w:p w14:paraId="7174274B">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4AF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00116C10">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451F5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107C13E3">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76B075BF">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000DE510">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6E4F4C55">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3A8FA25C">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16640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557019E3">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12CF5C1D">
            <w:pPr>
              <w:spacing w:line="360" w:lineRule="auto"/>
              <w:jc w:val="center"/>
              <w:rPr>
                <w:rFonts w:ascii="仿宋" w:hAnsi="仿宋" w:eastAsia="仿宋" w:cs="仿宋"/>
                <w:sz w:val="24"/>
              </w:rPr>
            </w:pPr>
          </w:p>
        </w:tc>
        <w:tc>
          <w:tcPr>
            <w:tcW w:w="2268" w:type="dxa"/>
            <w:vAlign w:val="center"/>
          </w:tcPr>
          <w:p w14:paraId="6649D375">
            <w:pPr>
              <w:spacing w:line="360" w:lineRule="auto"/>
              <w:jc w:val="center"/>
              <w:rPr>
                <w:rFonts w:ascii="仿宋" w:hAnsi="仿宋" w:eastAsia="仿宋" w:cs="仿宋"/>
                <w:sz w:val="24"/>
              </w:rPr>
            </w:pPr>
          </w:p>
        </w:tc>
        <w:tc>
          <w:tcPr>
            <w:tcW w:w="851" w:type="dxa"/>
            <w:vAlign w:val="center"/>
          </w:tcPr>
          <w:p w14:paraId="182C2BF1">
            <w:pPr>
              <w:spacing w:line="360" w:lineRule="auto"/>
              <w:jc w:val="center"/>
              <w:rPr>
                <w:rFonts w:ascii="仿宋" w:hAnsi="仿宋" w:eastAsia="仿宋" w:cs="仿宋"/>
                <w:sz w:val="24"/>
              </w:rPr>
            </w:pPr>
          </w:p>
        </w:tc>
        <w:tc>
          <w:tcPr>
            <w:tcW w:w="2126" w:type="dxa"/>
            <w:vAlign w:val="center"/>
          </w:tcPr>
          <w:p w14:paraId="65A3C382">
            <w:pPr>
              <w:spacing w:line="360" w:lineRule="auto"/>
              <w:jc w:val="center"/>
              <w:rPr>
                <w:rFonts w:ascii="仿宋" w:hAnsi="仿宋" w:eastAsia="仿宋" w:cs="仿宋"/>
                <w:sz w:val="24"/>
              </w:rPr>
            </w:pPr>
          </w:p>
        </w:tc>
      </w:tr>
      <w:tr w14:paraId="40E3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73ADF9CD">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2748BC1A">
            <w:pPr>
              <w:spacing w:line="360" w:lineRule="auto"/>
              <w:jc w:val="center"/>
              <w:rPr>
                <w:rFonts w:ascii="仿宋" w:hAnsi="仿宋" w:eastAsia="仿宋" w:cs="仿宋"/>
                <w:sz w:val="24"/>
              </w:rPr>
            </w:pPr>
          </w:p>
        </w:tc>
        <w:tc>
          <w:tcPr>
            <w:tcW w:w="2268" w:type="dxa"/>
            <w:vAlign w:val="center"/>
          </w:tcPr>
          <w:p w14:paraId="785B7EA6">
            <w:pPr>
              <w:spacing w:line="360" w:lineRule="auto"/>
              <w:jc w:val="center"/>
              <w:rPr>
                <w:rFonts w:ascii="仿宋" w:hAnsi="仿宋" w:eastAsia="仿宋" w:cs="仿宋"/>
                <w:sz w:val="24"/>
              </w:rPr>
            </w:pPr>
          </w:p>
        </w:tc>
        <w:tc>
          <w:tcPr>
            <w:tcW w:w="851" w:type="dxa"/>
            <w:vAlign w:val="center"/>
          </w:tcPr>
          <w:p w14:paraId="5B3EEB47">
            <w:pPr>
              <w:spacing w:line="360" w:lineRule="auto"/>
              <w:jc w:val="center"/>
              <w:rPr>
                <w:rFonts w:ascii="仿宋" w:hAnsi="仿宋" w:eastAsia="仿宋" w:cs="仿宋"/>
                <w:sz w:val="24"/>
              </w:rPr>
            </w:pPr>
          </w:p>
        </w:tc>
        <w:tc>
          <w:tcPr>
            <w:tcW w:w="2126" w:type="dxa"/>
            <w:vAlign w:val="center"/>
          </w:tcPr>
          <w:p w14:paraId="5D12CF36">
            <w:pPr>
              <w:spacing w:line="360" w:lineRule="auto"/>
              <w:jc w:val="center"/>
              <w:rPr>
                <w:rFonts w:ascii="仿宋" w:hAnsi="仿宋" w:eastAsia="仿宋" w:cs="仿宋"/>
                <w:sz w:val="24"/>
              </w:rPr>
            </w:pPr>
          </w:p>
        </w:tc>
      </w:tr>
      <w:tr w14:paraId="4684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23D0FA16">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128C6C87">
            <w:pPr>
              <w:spacing w:line="360" w:lineRule="auto"/>
              <w:jc w:val="center"/>
              <w:rPr>
                <w:rFonts w:ascii="仿宋" w:hAnsi="仿宋" w:eastAsia="仿宋" w:cs="仿宋"/>
                <w:sz w:val="24"/>
              </w:rPr>
            </w:pPr>
          </w:p>
        </w:tc>
        <w:tc>
          <w:tcPr>
            <w:tcW w:w="2268" w:type="dxa"/>
            <w:vAlign w:val="center"/>
          </w:tcPr>
          <w:p w14:paraId="6BFA57AF">
            <w:pPr>
              <w:spacing w:line="360" w:lineRule="auto"/>
              <w:jc w:val="center"/>
              <w:rPr>
                <w:rFonts w:ascii="仿宋" w:hAnsi="仿宋" w:eastAsia="仿宋" w:cs="仿宋"/>
                <w:sz w:val="24"/>
              </w:rPr>
            </w:pPr>
          </w:p>
        </w:tc>
        <w:tc>
          <w:tcPr>
            <w:tcW w:w="851" w:type="dxa"/>
            <w:vAlign w:val="center"/>
          </w:tcPr>
          <w:p w14:paraId="5ABAA76B">
            <w:pPr>
              <w:spacing w:line="360" w:lineRule="auto"/>
              <w:jc w:val="center"/>
              <w:rPr>
                <w:rFonts w:ascii="仿宋" w:hAnsi="仿宋" w:eastAsia="仿宋" w:cs="仿宋"/>
                <w:sz w:val="24"/>
              </w:rPr>
            </w:pPr>
          </w:p>
        </w:tc>
        <w:tc>
          <w:tcPr>
            <w:tcW w:w="2126" w:type="dxa"/>
            <w:vAlign w:val="center"/>
          </w:tcPr>
          <w:p w14:paraId="14988AC9">
            <w:pPr>
              <w:spacing w:line="360" w:lineRule="auto"/>
              <w:jc w:val="center"/>
              <w:rPr>
                <w:rFonts w:ascii="仿宋" w:hAnsi="仿宋" w:eastAsia="仿宋" w:cs="仿宋"/>
                <w:sz w:val="24"/>
              </w:rPr>
            </w:pPr>
          </w:p>
        </w:tc>
      </w:tr>
      <w:tr w14:paraId="0218B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54B9491A">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274E332C">
            <w:pPr>
              <w:spacing w:line="360" w:lineRule="auto"/>
              <w:jc w:val="center"/>
              <w:rPr>
                <w:rFonts w:ascii="仿宋" w:hAnsi="仿宋" w:eastAsia="仿宋" w:cs="仿宋"/>
                <w:sz w:val="24"/>
              </w:rPr>
            </w:pPr>
          </w:p>
        </w:tc>
        <w:tc>
          <w:tcPr>
            <w:tcW w:w="2268" w:type="dxa"/>
            <w:vAlign w:val="center"/>
          </w:tcPr>
          <w:p w14:paraId="457738C4">
            <w:pPr>
              <w:spacing w:line="360" w:lineRule="auto"/>
              <w:jc w:val="center"/>
              <w:rPr>
                <w:rFonts w:ascii="仿宋" w:hAnsi="仿宋" w:eastAsia="仿宋" w:cs="仿宋"/>
                <w:sz w:val="24"/>
              </w:rPr>
            </w:pPr>
          </w:p>
        </w:tc>
        <w:tc>
          <w:tcPr>
            <w:tcW w:w="851" w:type="dxa"/>
            <w:vAlign w:val="center"/>
          </w:tcPr>
          <w:p w14:paraId="60F2BA0C">
            <w:pPr>
              <w:spacing w:line="360" w:lineRule="auto"/>
              <w:jc w:val="center"/>
              <w:rPr>
                <w:rFonts w:ascii="仿宋" w:hAnsi="仿宋" w:eastAsia="仿宋" w:cs="仿宋"/>
                <w:sz w:val="24"/>
              </w:rPr>
            </w:pPr>
          </w:p>
        </w:tc>
        <w:tc>
          <w:tcPr>
            <w:tcW w:w="2126" w:type="dxa"/>
            <w:vAlign w:val="center"/>
          </w:tcPr>
          <w:p w14:paraId="26BEB5BD">
            <w:pPr>
              <w:spacing w:line="360" w:lineRule="auto"/>
              <w:jc w:val="center"/>
              <w:rPr>
                <w:rFonts w:ascii="仿宋" w:hAnsi="仿宋" w:eastAsia="仿宋" w:cs="仿宋"/>
                <w:sz w:val="24"/>
              </w:rPr>
            </w:pPr>
          </w:p>
        </w:tc>
      </w:tr>
    </w:tbl>
    <w:p w14:paraId="311D91E0">
      <w:pPr>
        <w:spacing w:before="240" w:beforeLines="100" w:after="120" w:afterLines="50" w:line="360" w:lineRule="auto"/>
        <w:ind w:firstLine="496" w:firstLineChars="200"/>
        <w:rPr>
          <w:rFonts w:ascii="仿宋" w:hAnsi="仿宋" w:eastAsia="仿宋" w:cs="仿宋"/>
          <w:spacing w:val="4"/>
          <w:sz w:val="24"/>
        </w:rPr>
      </w:pPr>
    </w:p>
    <w:p w14:paraId="4075E57D">
      <w:pPr>
        <w:pStyle w:val="4"/>
        <w:rPr>
          <w:rFonts w:ascii="仿宋" w:hAnsi="仿宋" w:eastAsia="仿宋" w:cs="仿宋"/>
          <w:spacing w:val="4"/>
          <w:sz w:val="24"/>
        </w:rPr>
      </w:pPr>
    </w:p>
    <w:p w14:paraId="2CCD87C6">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2EADC81A">
        <w:tblPrEx>
          <w:tblCellMar>
            <w:top w:w="0" w:type="dxa"/>
            <w:left w:w="108" w:type="dxa"/>
            <w:bottom w:w="0" w:type="dxa"/>
            <w:right w:w="108" w:type="dxa"/>
          </w:tblCellMar>
        </w:tblPrEx>
        <w:trPr>
          <w:trHeight w:val="680" w:hRule="atLeast"/>
        </w:trPr>
        <w:tc>
          <w:tcPr>
            <w:tcW w:w="2410" w:type="dxa"/>
            <w:vAlign w:val="bottom"/>
          </w:tcPr>
          <w:p w14:paraId="4A80A0B6">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48BC1D85">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3135E0DB">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5930FD23">
        <w:tblPrEx>
          <w:tblCellMar>
            <w:top w:w="0" w:type="dxa"/>
            <w:left w:w="108" w:type="dxa"/>
            <w:bottom w:w="0" w:type="dxa"/>
            <w:right w:w="108" w:type="dxa"/>
          </w:tblCellMar>
        </w:tblPrEx>
        <w:trPr>
          <w:trHeight w:val="680" w:hRule="atLeast"/>
        </w:trPr>
        <w:tc>
          <w:tcPr>
            <w:tcW w:w="2410" w:type="dxa"/>
            <w:vAlign w:val="bottom"/>
          </w:tcPr>
          <w:p w14:paraId="2D110E0E">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5A948AD1">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4B1D7679">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63517945">
        <w:tblPrEx>
          <w:tblCellMar>
            <w:top w:w="0" w:type="dxa"/>
            <w:left w:w="108" w:type="dxa"/>
            <w:bottom w:w="0" w:type="dxa"/>
            <w:right w:w="108" w:type="dxa"/>
          </w:tblCellMar>
        </w:tblPrEx>
        <w:trPr>
          <w:trHeight w:val="680" w:hRule="atLeast"/>
        </w:trPr>
        <w:tc>
          <w:tcPr>
            <w:tcW w:w="2410" w:type="dxa"/>
            <w:vAlign w:val="bottom"/>
          </w:tcPr>
          <w:p w14:paraId="6BB95956">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22631B80">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124E1E84">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16243510">
      <w:pPr>
        <w:pStyle w:val="4"/>
        <w:rPr>
          <w:rFonts w:ascii="仿宋" w:hAnsi="仿宋" w:eastAsia="仿宋"/>
        </w:rPr>
      </w:pPr>
    </w:p>
    <w:p w14:paraId="6A1EAD1C">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14:paraId="46CE5756">
      <w:pPr>
        <w:pStyle w:val="3"/>
        <w:spacing w:line="240" w:lineRule="auto"/>
        <w:rPr>
          <w:rFonts w:ascii="仿宋" w:hAnsi="仿宋" w:eastAsia="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14:paraId="635683F3">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14:paraId="29A4502D">
      <w:pPr>
        <w:rPr>
          <w:rFonts w:ascii="仿宋" w:hAnsi="仿宋" w:eastAsia="仿宋"/>
        </w:rPr>
      </w:pPr>
      <w:r>
        <w:rPr>
          <w:rFonts w:hint="eastAsia" w:ascii="仿宋" w:hAnsi="仿宋" w:eastAsia="仿宋"/>
        </w:rPr>
        <w:t xml:space="preserve">依法不需要缴纳社会保障资金、免税或无须缴纳税款的供应商，应提供相关证明文件)； </w:t>
      </w:r>
    </w:p>
    <w:bookmarkEnd w:id="19"/>
    <w:p w14:paraId="6748042D">
      <w:pPr>
        <w:pStyle w:val="3"/>
        <w:spacing w:line="240" w:lineRule="auto"/>
        <w:rPr>
          <w:rFonts w:ascii="仿宋" w:hAnsi="仿宋" w:eastAsia="仿宋"/>
          <w:b w:val="0"/>
          <w:bCs/>
          <w:iCs/>
          <w:sz w:val="24"/>
          <w:szCs w:val="24"/>
        </w:rPr>
      </w:pPr>
      <w:r>
        <w:rPr>
          <w:rFonts w:ascii="仿宋" w:hAnsi="仿宋" w:eastAsia="仿宋"/>
        </w:rPr>
        <w:br w:type="page"/>
      </w:r>
      <w:bookmarkEnd w:id="20"/>
      <w:bookmarkStart w:id="21" w:name="_Toc105617044"/>
      <w:bookmarkStart w:id="22" w:name="_Toc6131"/>
      <w:r>
        <w:rPr>
          <w:rFonts w:hint="eastAsia" w:ascii="仿宋" w:hAnsi="仿宋" w:eastAsia="仿宋"/>
          <w:b/>
          <w:bCs w:val="0"/>
          <w:iCs/>
          <w:sz w:val="24"/>
          <w:szCs w:val="24"/>
        </w:rPr>
        <w:t>参加政府采购活动前三年内，在经营活动中没有重大违法记录</w:t>
      </w:r>
      <w:bookmarkEnd w:id="21"/>
      <w:bookmarkEnd w:id="22"/>
    </w:p>
    <w:p w14:paraId="132E9F32">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西安工业大学</w:t>
      </w:r>
      <w:r>
        <w:rPr>
          <w:rFonts w:hint="eastAsia" w:ascii="仿宋" w:hAnsi="仿宋" w:eastAsia="仿宋" w:cs="仿宋"/>
          <w:szCs w:val="24"/>
          <w:shd w:val="clear" w:color="auto" w:fill="FFFFFF"/>
        </w:rPr>
        <w:t>：</w:t>
      </w:r>
    </w:p>
    <w:p w14:paraId="628F3CE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59E4C414">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4A1FD9">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547B2087">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73309225">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4FB6D13C">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4FE2B901">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43C3768F">
      <w:pPr>
        <w:pStyle w:val="5"/>
        <w:wordWrap w:val="0"/>
        <w:spacing w:before="0" w:beforeAutospacing="0" w:after="0" w:afterAutospacing="0" w:line="360" w:lineRule="auto"/>
        <w:ind w:firstLine="420"/>
        <w:rPr>
          <w:rFonts w:ascii="仿宋" w:hAnsi="仿宋" w:eastAsia="仿宋" w:cs="仿宋"/>
          <w:szCs w:val="24"/>
          <w:shd w:val="clear" w:color="auto" w:fill="FFFFFF"/>
        </w:rPr>
      </w:pPr>
    </w:p>
    <w:p w14:paraId="523305BE">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4CA99874">
        <w:tblPrEx>
          <w:tblCellMar>
            <w:top w:w="0" w:type="dxa"/>
            <w:left w:w="108" w:type="dxa"/>
            <w:bottom w:w="0" w:type="dxa"/>
            <w:right w:w="108" w:type="dxa"/>
          </w:tblCellMar>
        </w:tblPrEx>
        <w:trPr>
          <w:trHeight w:val="680" w:hRule="atLeast"/>
        </w:trPr>
        <w:tc>
          <w:tcPr>
            <w:tcW w:w="2410" w:type="dxa"/>
            <w:vAlign w:val="bottom"/>
          </w:tcPr>
          <w:p w14:paraId="743B738A">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37E111BB">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3B2703A1">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0DF37166">
        <w:tblPrEx>
          <w:tblCellMar>
            <w:top w:w="0" w:type="dxa"/>
            <w:left w:w="108" w:type="dxa"/>
            <w:bottom w:w="0" w:type="dxa"/>
            <w:right w:w="108" w:type="dxa"/>
          </w:tblCellMar>
        </w:tblPrEx>
        <w:trPr>
          <w:trHeight w:val="680" w:hRule="atLeast"/>
        </w:trPr>
        <w:tc>
          <w:tcPr>
            <w:tcW w:w="2410" w:type="dxa"/>
            <w:vAlign w:val="bottom"/>
          </w:tcPr>
          <w:p w14:paraId="483D93E0">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0DD71253">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6966EEF0">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33388CA4">
        <w:tblPrEx>
          <w:tblCellMar>
            <w:top w:w="0" w:type="dxa"/>
            <w:left w:w="108" w:type="dxa"/>
            <w:bottom w:w="0" w:type="dxa"/>
            <w:right w:w="108" w:type="dxa"/>
          </w:tblCellMar>
        </w:tblPrEx>
        <w:trPr>
          <w:trHeight w:val="680" w:hRule="atLeast"/>
        </w:trPr>
        <w:tc>
          <w:tcPr>
            <w:tcW w:w="2410" w:type="dxa"/>
            <w:vAlign w:val="bottom"/>
          </w:tcPr>
          <w:p w14:paraId="09CFAA0D">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7CC2F85C">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2D417442">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0DF62F72">
      <w:pPr>
        <w:rPr>
          <w:rFonts w:ascii="仿宋" w:hAnsi="仿宋" w:eastAsia="仿宋"/>
        </w:rPr>
      </w:pPr>
    </w:p>
    <w:bookmarkEnd w:id="3"/>
    <w:bookmarkEnd w:id="4"/>
    <w:bookmarkEnd w:id="5"/>
    <w:bookmarkEnd w:id="6"/>
    <w:bookmarkEnd w:id="7"/>
    <w:bookmarkEnd w:id="8"/>
    <w:p w14:paraId="1AF1ECE8">
      <w:pPr>
        <w:widowControl/>
        <w:jc w:val="left"/>
        <w:rPr>
          <w:rFonts w:ascii="仿宋" w:hAnsi="仿宋" w:eastAsia="仿宋"/>
          <w:bCs/>
          <w:iCs/>
          <w:sz w:val="24"/>
          <w:szCs w:val="24"/>
        </w:rPr>
      </w:pPr>
      <w:r>
        <w:rPr>
          <w:rFonts w:ascii="仿宋" w:hAnsi="仿宋" w:eastAsia="仿宋"/>
          <w:b/>
          <w:bCs/>
          <w:iCs/>
          <w:sz w:val="24"/>
          <w:szCs w:val="24"/>
        </w:rPr>
        <w:br w:type="page"/>
      </w:r>
    </w:p>
    <w:p w14:paraId="3CF7B057">
      <w:pPr>
        <w:pStyle w:val="3"/>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w:t>
      </w:r>
      <w:bookmarkEnd w:id="23"/>
      <w:bookmarkEnd w:id="24"/>
      <w:bookmarkStart w:id="27" w:name="_GoBack"/>
      <w:bookmarkEnd w:id="27"/>
      <w:r>
        <w:rPr>
          <w:rFonts w:hint="eastAsia" w:ascii="仿宋" w:hAnsi="仿宋" w:eastAsia="仿宋"/>
          <w:b/>
          <w:bCs w:val="0"/>
          <w:iCs/>
          <w:sz w:val="24"/>
          <w:szCs w:val="24"/>
        </w:rPr>
        <w:t>定代表人授权代表参加投标的，须出具法定代表人授权书及授权代表身份证（法定代表人直接参加磋商的，须出具法定代表人身份证）；</w:t>
      </w:r>
    </w:p>
    <w:p w14:paraId="15389034">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14:paraId="1FF9D470">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62BE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14:paraId="51297ED6">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14:paraId="20D06EA5">
            <w:pPr>
              <w:spacing w:line="360" w:lineRule="auto"/>
              <w:jc w:val="center"/>
              <w:rPr>
                <w:rFonts w:ascii="仿宋" w:hAnsi="仿宋" w:eastAsia="仿宋" w:cs="仿宋_GB2312"/>
                <w:sz w:val="24"/>
              </w:rPr>
            </w:pPr>
          </w:p>
          <w:p w14:paraId="29242EE2">
            <w:pPr>
              <w:spacing w:line="360" w:lineRule="auto"/>
              <w:jc w:val="center"/>
              <w:rPr>
                <w:rFonts w:ascii="仿宋" w:hAnsi="仿宋" w:eastAsia="仿宋" w:cs="仿宋_GB2312"/>
                <w:sz w:val="24"/>
              </w:rPr>
            </w:pPr>
            <w:r>
              <w:rPr>
                <w:rFonts w:hint="eastAsia" w:ascii="仿宋" w:hAnsi="仿宋" w:eastAsia="仿宋" w:cs="仿宋_GB2312"/>
                <w:sz w:val="24"/>
              </w:rPr>
              <w:t>正反面</w:t>
            </w:r>
          </w:p>
          <w:p w14:paraId="477EE2B3">
            <w:pPr>
              <w:spacing w:line="360" w:lineRule="auto"/>
              <w:rPr>
                <w:rFonts w:ascii="仿宋" w:hAnsi="仿宋" w:eastAsia="仿宋"/>
                <w:sz w:val="24"/>
                <w:szCs w:val="24"/>
              </w:rPr>
            </w:pPr>
          </w:p>
        </w:tc>
        <w:tc>
          <w:tcPr>
            <w:tcW w:w="4390" w:type="dxa"/>
            <w:vAlign w:val="center"/>
          </w:tcPr>
          <w:p w14:paraId="1EA7FA13">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14:paraId="564F13C6">
            <w:pPr>
              <w:spacing w:line="360" w:lineRule="auto"/>
              <w:jc w:val="center"/>
              <w:rPr>
                <w:rFonts w:ascii="仿宋" w:hAnsi="仿宋" w:eastAsia="仿宋" w:cs="仿宋_GB2312"/>
                <w:sz w:val="24"/>
              </w:rPr>
            </w:pPr>
          </w:p>
          <w:p w14:paraId="034F7F44">
            <w:pPr>
              <w:spacing w:line="360" w:lineRule="auto"/>
              <w:jc w:val="center"/>
              <w:rPr>
                <w:rFonts w:ascii="仿宋" w:hAnsi="仿宋" w:eastAsia="仿宋" w:cs="仿宋_GB2312"/>
                <w:sz w:val="24"/>
              </w:rPr>
            </w:pPr>
            <w:r>
              <w:rPr>
                <w:rFonts w:hint="eastAsia" w:ascii="仿宋" w:hAnsi="仿宋" w:eastAsia="仿宋" w:cs="仿宋_GB2312"/>
                <w:sz w:val="24"/>
              </w:rPr>
              <w:t>正反面</w:t>
            </w:r>
          </w:p>
          <w:p w14:paraId="6C430D07">
            <w:pPr>
              <w:spacing w:line="360" w:lineRule="auto"/>
              <w:jc w:val="center"/>
              <w:rPr>
                <w:rFonts w:ascii="仿宋" w:hAnsi="仿宋" w:eastAsia="仿宋"/>
                <w:sz w:val="24"/>
                <w:szCs w:val="24"/>
              </w:rPr>
            </w:pPr>
          </w:p>
        </w:tc>
      </w:tr>
    </w:tbl>
    <w:p w14:paraId="25030B0F">
      <w:pPr>
        <w:rPr>
          <w:rFonts w:ascii="仿宋" w:hAnsi="仿宋" w:eastAsia="仿宋"/>
        </w:rPr>
      </w:pPr>
    </w:p>
    <w:p w14:paraId="1E470DC3">
      <w:pPr>
        <w:rPr>
          <w:rFonts w:ascii="仿宋" w:hAnsi="仿宋" w:eastAsia="仿宋"/>
        </w:rPr>
      </w:pPr>
    </w:p>
    <w:p w14:paraId="7A3A94CE">
      <w:pPr>
        <w:rPr>
          <w:rFonts w:hint="eastAsia" w:ascii="仿宋" w:hAnsi="仿宋" w:eastAsia="仿宋"/>
          <w:sz w:val="24"/>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p>
    <w:p w14:paraId="0F3A6558">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14:paraId="19EE1D9D">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14:paraId="03579839">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14:paraId="4F2E14F7">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14:paraId="37D12634">
      <w:pPr>
        <w:pStyle w:val="4"/>
        <w:rPr>
          <w:rFonts w:ascii="仿宋" w:hAnsi="仿宋" w:eastAsia="仿宋"/>
        </w:rPr>
      </w:pPr>
      <w:r>
        <w:rPr>
          <w:rFonts w:ascii="仿宋" w:hAnsi="仿宋" w:eastAsia="仿宋"/>
        </w:rPr>
        <w:br w:type="page"/>
      </w:r>
    </w:p>
    <w:p w14:paraId="271CAC35">
      <w:pPr>
        <w:pStyle w:val="3"/>
        <w:spacing w:line="240" w:lineRule="auto"/>
        <w:rPr>
          <w:rFonts w:hint="eastAsia" w:ascii="仿宋" w:hAnsi="仿宋" w:eastAsia="仿宋"/>
          <w:b/>
          <w:bCs w:val="0"/>
          <w:iCs/>
          <w:sz w:val="24"/>
          <w:szCs w:val="24"/>
        </w:rPr>
      </w:pPr>
      <w:bookmarkStart w:id="25" w:name="_Toc22607"/>
      <w:bookmarkStart w:id="26" w:name="_Toc105617047"/>
      <w:r>
        <w:rPr>
          <w:rFonts w:hint="eastAsia" w:ascii="仿宋" w:hAnsi="仿宋" w:eastAsia="仿宋"/>
          <w:b/>
          <w:bCs w:val="0"/>
          <w:iCs/>
          <w:sz w:val="24"/>
          <w:szCs w:val="24"/>
        </w:rPr>
        <w:t>供应商应具有电力行业（送电、变电工程）专业工程设计乙级及以上（含乙级）资质；</w:t>
      </w:r>
    </w:p>
    <w:p w14:paraId="38FF9536">
      <w:pPr>
        <w:rPr>
          <w:rFonts w:hint="eastAsia" w:ascii="仿宋" w:hAnsi="仿宋" w:eastAsia="仿宋"/>
          <w:b/>
          <w:bCs w:val="0"/>
          <w:iCs/>
          <w:sz w:val="24"/>
          <w:szCs w:val="24"/>
        </w:rPr>
      </w:pPr>
      <w:r>
        <w:rPr>
          <w:rFonts w:hint="eastAsia" w:ascii="仿宋" w:hAnsi="仿宋" w:eastAsia="仿宋"/>
          <w:b/>
          <w:bCs w:val="0"/>
          <w:iCs/>
          <w:sz w:val="24"/>
          <w:szCs w:val="24"/>
        </w:rPr>
        <w:br w:type="page"/>
      </w:r>
    </w:p>
    <w:p w14:paraId="60960C52">
      <w:pPr>
        <w:pStyle w:val="3"/>
        <w:spacing w:line="240" w:lineRule="auto"/>
        <w:rPr>
          <w:rFonts w:hint="eastAsia" w:ascii="仿宋" w:hAnsi="仿宋" w:eastAsia="仿宋"/>
          <w:b/>
          <w:bCs w:val="0"/>
          <w:iCs/>
          <w:sz w:val="24"/>
          <w:szCs w:val="24"/>
        </w:rPr>
      </w:pPr>
      <w:r>
        <w:rPr>
          <w:rFonts w:hint="eastAsia" w:ascii="仿宋" w:hAnsi="仿宋" w:eastAsia="仿宋"/>
          <w:b/>
          <w:bCs w:val="0"/>
          <w:iCs/>
          <w:sz w:val="24"/>
          <w:szCs w:val="24"/>
        </w:rPr>
        <w:t>拟派项目负责人须具有国家注册电气工程师资格，并与投标人具有劳动合同关系，提供注册于本单位不少于6个月的交纳社会保险证明；</w:t>
      </w:r>
    </w:p>
    <w:p w14:paraId="5C5781C8">
      <w:pPr>
        <w:rPr>
          <w:rFonts w:hint="eastAsia" w:ascii="仿宋" w:hAnsi="仿宋" w:eastAsia="仿宋"/>
          <w:b/>
          <w:bCs w:val="0"/>
          <w:iCs/>
          <w:sz w:val="24"/>
          <w:szCs w:val="24"/>
        </w:rPr>
      </w:pPr>
      <w:r>
        <w:rPr>
          <w:rFonts w:hint="eastAsia" w:ascii="仿宋" w:hAnsi="仿宋" w:eastAsia="仿宋"/>
          <w:b/>
          <w:bCs w:val="0"/>
          <w:iCs/>
          <w:sz w:val="24"/>
          <w:szCs w:val="24"/>
        </w:rPr>
        <w:br w:type="page"/>
      </w:r>
    </w:p>
    <w:p w14:paraId="1C7226C8">
      <w:pPr>
        <w:pStyle w:val="3"/>
        <w:spacing w:line="240" w:lineRule="auto"/>
        <w:rPr>
          <w:rFonts w:hint="eastAsia" w:ascii="仿宋" w:hAnsi="仿宋" w:eastAsia="仿宋"/>
          <w:b/>
          <w:bCs w:val="0"/>
          <w:iCs/>
          <w:sz w:val="24"/>
          <w:szCs w:val="24"/>
        </w:rPr>
      </w:pPr>
      <w:r>
        <w:rPr>
          <w:rFonts w:hint="eastAsia" w:ascii="仿宋" w:hAnsi="仿宋" w:eastAsia="仿宋"/>
          <w:b/>
          <w:bCs w:val="0"/>
          <w:iCs/>
          <w:sz w:val="24"/>
          <w:szCs w:val="24"/>
        </w:rPr>
        <w:t>本项目为专门面向中小企业采购仅限符合《政府采购促进中小企业发展办法》（财库〔2020〕46 号）条件的中小企业参与，投标人应填写中小企业声明函并对真实性负责</w:t>
      </w:r>
    </w:p>
    <w:p w14:paraId="70CF940E">
      <w:pPr>
        <w:jc w:val="center"/>
        <w:outlineLvl w:val="9"/>
        <w:rPr>
          <w:rFonts w:hint="eastAsia" w:ascii="仿宋" w:hAnsi="仿宋" w:eastAsia="仿宋" w:cs="仿宋"/>
          <w:bCs/>
          <w:color w:val="auto"/>
          <w:szCs w:val="32"/>
          <w:highlight w:val="none"/>
        </w:rPr>
      </w:pPr>
      <w:r>
        <w:rPr>
          <w:rFonts w:hint="eastAsia" w:ascii="仿宋" w:hAnsi="仿宋" w:eastAsia="仿宋" w:cs="仿宋"/>
          <w:b/>
          <w:bCs w:val="0"/>
          <w:color w:val="auto"/>
          <w:sz w:val="32"/>
          <w:szCs w:val="48"/>
          <w:highlight w:val="none"/>
        </w:rPr>
        <w:t>中小企业声明函（工程、服务）</w:t>
      </w:r>
    </w:p>
    <w:p w14:paraId="6833A0CD">
      <w:pPr>
        <w:rPr>
          <w:rFonts w:hint="eastAsia" w:ascii="仿宋" w:hAnsi="仿宋" w:eastAsia="仿宋" w:cs="仿宋"/>
          <w:color w:val="auto"/>
          <w:highlight w:val="none"/>
        </w:rPr>
      </w:pPr>
    </w:p>
    <w:p w14:paraId="68BE4E6D">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highlight w:val="none"/>
          <w:u w:val="single"/>
          <w:lang w:bidi="ar"/>
        </w:rPr>
        <w:t>（单位名称）</w:t>
      </w:r>
      <w:r>
        <w:rPr>
          <w:rFonts w:hint="eastAsia" w:ascii="仿宋" w:hAnsi="仿宋" w:eastAsia="仿宋" w:cs="仿宋"/>
          <w:color w:val="auto"/>
          <w:kern w:val="0"/>
          <w:sz w:val="24"/>
          <w:szCs w:val="24"/>
          <w:highlight w:val="none"/>
          <w:lang w:bidi="ar"/>
        </w:rPr>
        <w:t>的</w:t>
      </w:r>
      <w:r>
        <w:rPr>
          <w:rFonts w:hint="eastAsia" w:ascii="仿宋" w:hAnsi="仿宋" w:eastAsia="仿宋" w:cs="仿宋"/>
          <w:color w:val="auto"/>
          <w:kern w:val="0"/>
          <w:sz w:val="24"/>
          <w:szCs w:val="24"/>
          <w:highlight w:val="none"/>
          <w:u w:val="single"/>
          <w:lang w:bidi="ar"/>
        </w:rPr>
        <w:t>（项目名称）</w:t>
      </w:r>
      <w:r>
        <w:rPr>
          <w:rFonts w:hint="eastAsia" w:ascii="仿宋" w:hAnsi="仿宋" w:eastAsia="仿宋" w:cs="仿宋"/>
          <w:color w:val="auto"/>
          <w:kern w:val="0"/>
          <w:sz w:val="24"/>
          <w:szCs w:val="24"/>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4B1A6BA5">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1. </w:t>
      </w:r>
      <w:r>
        <w:rPr>
          <w:rFonts w:hint="eastAsia" w:ascii="仿宋" w:hAnsi="仿宋" w:eastAsia="仿宋" w:cs="仿宋"/>
          <w:i/>
          <w:iCs/>
          <w:color w:val="auto"/>
          <w:kern w:val="0"/>
          <w:sz w:val="24"/>
          <w:szCs w:val="24"/>
          <w:highlight w:val="none"/>
          <w:u w:val="single"/>
          <w:lang w:bidi="ar"/>
        </w:rPr>
        <w:t xml:space="preserve">（标的名称） </w:t>
      </w:r>
      <w:r>
        <w:rPr>
          <w:rFonts w:hint="eastAsia" w:ascii="仿宋" w:hAnsi="仿宋" w:eastAsia="仿宋" w:cs="仿宋"/>
          <w:color w:val="auto"/>
          <w:kern w:val="0"/>
          <w:sz w:val="24"/>
          <w:szCs w:val="24"/>
          <w:highlight w:val="none"/>
          <w:lang w:bidi="ar"/>
        </w:rPr>
        <w:t>，属于</w:t>
      </w:r>
      <w:r>
        <w:rPr>
          <w:rFonts w:hint="eastAsia" w:ascii="仿宋" w:hAnsi="仿宋" w:eastAsia="仿宋" w:cs="仿宋"/>
          <w:i/>
          <w:iCs/>
          <w:color w:val="auto"/>
          <w:kern w:val="0"/>
          <w:sz w:val="24"/>
          <w:szCs w:val="24"/>
          <w:highlight w:val="none"/>
          <w:u w:val="single"/>
          <w:lang w:bidi="ar"/>
        </w:rPr>
        <w:t>（其他未列明行业）</w:t>
      </w:r>
      <w:r>
        <w:rPr>
          <w:rFonts w:hint="eastAsia" w:ascii="仿宋" w:hAnsi="仿宋" w:eastAsia="仿宋" w:cs="仿宋"/>
          <w:color w:val="auto"/>
          <w:kern w:val="0"/>
          <w:sz w:val="24"/>
          <w:szCs w:val="24"/>
          <w:highlight w:val="none"/>
          <w:lang w:bidi="ar"/>
        </w:rPr>
        <w:t>；承建（承接）企业为</w:t>
      </w:r>
      <w:r>
        <w:rPr>
          <w:rFonts w:hint="eastAsia" w:ascii="仿宋" w:hAnsi="仿宋" w:eastAsia="仿宋" w:cs="仿宋"/>
          <w:i/>
          <w:iCs/>
          <w:color w:val="auto"/>
          <w:kern w:val="0"/>
          <w:sz w:val="24"/>
          <w:szCs w:val="24"/>
          <w:highlight w:val="none"/>
          <w:u w:val="single"/>
          <w:lang w:bidi="ar"/>
        </w:rPr>
        <w:t>（企业名称）</w:t>
      </w:r>
      <w:r>
        <w:rPr>
          <w:rFonts w:hint="eastAsia" w:ascii="仿宋" w:hAnsi="仿宋" w:eastAsia="仿宋" w:cs="仿宋"/>
          <w:color w:val="auto"/>
          <w:kern w:val="0"/>
          <w:sz w:val="24"/>
          <w:szCs w:val="24"/>
          <w:highlight w:val="none"/>
          <w:lang w:bidi="ar"/>
        </w:rPr>
        <w:t>，从业人员</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人，营业收入为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万元，资产总额为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万元，属于</w:t>
      </w:r>
      <w:r>
        <w:rPr>
          <w:rFonts w:hint="eastAsia" w:ascii="仿宋" w:hAnsi="仿宋" w:eastAsia="仿宋" w:cs="仿宋"/>
          <w:i/>
          <w:iCs/>
          <w:color w:val="auto"/>
          <w:kern w:val="0"/>
          <w:sz w:val="24"/>
          <w:szCs w:val="24"/>
          <w:highlight w:val="none"/>
          <w:u w:val="single"/>
          <w:lang w:bidi="ar"/>
        </w:rPr>
        <w:t>（中型企业、小型企业、微型企业）</w:t>
      </w:r>
      <w:r>
        <w:rPr>
          <w:rFonts w:hint="eastAsia" w:ascii="仿宋" w:hAnsi="仿宋" w:eastAsia="仿宋" w:cs="仿宋"/>
          <w:color w:val="auto"/>
          <w:kern w:val="0"/>
          <w:sz w:val="24"/>
          <w:szCs w:val="24"/>
          <w:highlight w:val="none"/>
          <w:lang w:bidi="ar"/>
        </w:rPr>
        <w:t xml:space="preserve">； </w:t>
      </w:r>
    </w:p>
    <w:p w14:paraId="35DA6B01">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w:t>
      </w:r>
    </w:p>
    <w:p w14:paraId="4826F28A">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以上企业，不属于大企业的分支机构，不存在控股股东为大企业的情形，也不存在与大企业的负责人为同一人的情形。</w:t>
      </w:r>
    </w:p>
    <w:p w14:paraId="2FFF1240">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本企业对上述声明内容的真实性负责。如有虚假，将依法承担相应责任。 </w:t>
      </w:r>
    </w:p>
    <w:p w14:paraId="24FD2257">
      <w:pPr>
        <w:widowControl/>
        <w:spacing w:line="360" w:lineRule="auto"/>
        <w:jc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 xml:space="preserve">                 </w:t>
      </w:r>
    </w:p>
    <w:p w14:paraId="3AE3805C">
      <w:pPr>
        <w:widowControl/>
        <w:spacing w:line="360" w:lineRule="auto"/>
        <w:jc w:val="center"/>
        <w:rPr>
          <w:rFonts w:hint="eastAsia" w:ascii="仿宋" w:hAnsi="仿宋" w:eastAsia="仿宋" w:cs="仿宋"/>
          <w:color w:val="auto"/>
          <w:kern w:val="0"/>
          <w:sz w:val="24"/>
          <w:szCs w:val="24"/>
          <w:highlight w:val="none"/>
          <w:lang w:bidi="ar"/>
        </w:rPr>
      </w:pPr>
    </w:p>
    <w:p w14:paraId="57EB688E">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企业名称（盖章）：</w:t>
      </w:r>
    </w:p>
    <w:p w14:paraId="760FA45B">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日 期：</w:t>
      </w:r>
    </w:p>
    <w:p w14:paraId="42C711C9">
      <w:pPr>
        <w:rPr>
          <w:rFonts w:hint="eastAsia" w:ascii="仿宋" w:hAnsi="仿宋" w:eastAsia="仿宋" w:cs="仿宋"/>
          <w:color w:val="auto"/>
          <w:kern w:val="0"/>
          <w:szCs w:val="21"/>
          <w:highlight w:val="none"/>
          <w:lang w:bidi="ar"/>
        </w:rPr>
      </w:pPr>
    </w:p>
    <w:p w14:paraId="3CE5D96D">
      <w:pPr>
        <w:rPr>
          <w:rFonts w:hint="eastAsia" w:ascii="仿宋" w:hAnsi="仿宋" w:eastAsia="仿宋" w:cs="仿宋"/>
          <w:color w:val="auto"/>
          <w:highlight w:val="none"/>
        </w:rPr>
      </w:pPr>
      <w:r>
        <w:rPr>
          <w:rFonts w:hint="eastAsia" w:ascii="仿宋" w:hAnsi="仿宋" w:eastAsia="仿宋" w:cs="仿宋"/>
          <w:color w:val="auto"/>
          <w:kern w:val="0"/>
          <w:szCs w:val="21"/>
          <w:highlight w:val="none"/>
          <w:lang w:bidi="ar"/>
        </w:rPr>
        <w:t>从业人员、营业收入、资产总额填报上一年度数据，无上一年度数据的新成立企业可不填报。</w:t>
      </w:r>
    </w:p>
    <w:p w14:paraId="3998AAF0">
      <w:pPr>
        <w:spacing w:line="360" w:lineRule="auto"/>
        <w:rPr>
          <w:rFonts w:hint="eastAsia" w:ascii="仿宋" w:hAnsi="仿宋" w:eastAsia="仿宋" w:cs="仿宋"/>
          <w:b/>
          <w:bCs/>
          <w:color w:val="36363D"/>
          <w:sz w:val="24"/>
          <w:szCs w:val="40"/>
        </w:rPr>
      </w:pPr>
    </w:p>
    <w:p w14:paraId="50F82B9C">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备注：本项目界定行业为</w:t>
      </w:r>
      <w:r>
        <w:rPr>
          <w:rFonts w:hint="eastAsia" w:ascii="仿宋" w:hAnsi="仿宋" w:eastAsia="仿宋" w:cs="仿宋"/>
          <w:b/>
          <w:bCs/>
          <w:color w:val="36363D"/>
          <w:sz w:val="24"/>
          <w:szCs w:val="40"/>
          <w:lang w:eastAsia="zh-CN"/>
        </w:rPr>
        <w:t>其他未列明行业</w:t>
      </w:r>
      <w:r>
        <w:rPr>
          <w:rFonts w:hint="eastAsia" w:ascii="仿宋" w:hAnsi="仿宋" w:eastAsia="仿宋" w:cs="仿宋"/>
          <w:b/>
          <w:bCs/>
          <w:color w:val="36363D"/>
          <w:sz w:val="24"/>
          <w:szCs w:val="40"/>
        </w:rPr>
        <w:t>。</w:t>
      </w:r>
    </w:p>
    <w:p w14:paraId="5BC66D65">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中小企业判别标准如下：从业人员300人以下的为中小微型企业。其中，从业人员100人及以上的为中型企业;从业人员10人及以上的为小型企业;从业人员10人以下的为微型企业。</w:t>
      </w:r>
    </w:p>
    <w:p w14:paraId="7CBBCA41">
      <w:pPr>
        <w:widowControl/>
        <w:spacing w:line="360" w:lineRule="auto"/>
        <w:jc w:val="left"/>
        <w:rPr>
          <w:rFonts w:hint="eastAsia"/>
          <w:lang w:val="en-US" w:eastAsia="zh-CN"/>
        </w:rPr>
      </w:pPr>
      <w:r>
        <w:rPr>
          <w:rFonts w:hint="eastAsia" w:ascii="仿宋" w:hAnsi="仿宋" w:eastAsia="仿宋" w:cs="仿宋"/>
          <w:color w:val="000000"/>
          <w:kern w:val="0"/>
          <w:sz w:val="24"/>
          <w:szCs w:val="24"/>
        </w:rPr>
        <w:t>本表所属行业不允更改，更改将导致无法认定。</w:t>
      </w:r>
    </w:p>
    <w:p w14:paraId="6F72EB1A">
      <w:pPr>
        <w:rPr>
          <w:rFonts w:hint="eastAsia"/>
        </w:rPr>
      </w:pPr>
    </w:p>
    <w:p w14:paraId="290E5A05">
      <w:pPr>
        <w:rPr>
          <w:rFonts w:hint="eastAsia" w:ascii="仿宋" w:hAnsi="仿宋" w:eastAsia="仿宋"/>
          <w:b/>
          <w:bCs w:val="0"/>
          <w:iCs/>
          <w:sz w:val="24"/>
          <w:szCs w:val="24"/>
        </w:rPr>
      </w:pPr>
      <w:r>
        <w:rPr>
          <w:rFonts w:hint="eastAsia" w:ascii="仿宋" w:hAnsi="仿宋" w:eastAsia="仿宋"/>
          <w:b/>
          <w:bCs w:val="0"/>
          <w:iCs/>
          <w:sz w:val="24"/>
          <w:szCs w:val="24"/>
        </w:rPr>
        <w:br w:type="page"/>
      </w:r>
    </w:p>
    <w:p w14:paraId="0743124D">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5"/>
      <w:bookmarkEnd w:id="26"/>
    </w:p>
    <w:p w14:paraId="0B2F345C">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西安工业大学</w:t>
      </w:r>
    </w:p>
    <w:p w14:paraId="6D48E252">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44C9AED4">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68FE2ABD">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026C3771">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FF1103E">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2A661185">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42CFD0EC">
      <w:pPr>
        <w:pStyle w:val="5"/>
        <w:wordWrap w:val="0"/>
        <w:spacing w:before="0" w:beforeAutospacing="0" w:after="0" w:afterAutospacing="0" w:line="360" w:lineRule="auto"/>
        <w:ind w:firstLine="420"/>
        <w:rPr>
          <w:rFonts w:ascii="仿宋" w:hAnsi="仿宋" w:eastAsia="仿宋" w:cs="仿宋_GB2312"/>
          <w:szCs w:val="24"/>
          <w:highlight w:val="yellow"/>
        </w:rPr>
      </w:pPr>
    </w:p>
    <w:p w14:paraId="55676038">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167A55CB">
        <w:tblPrEx>
          <w:tblCellMar>
            <w:top w:w="0" w:type="dxa"/>
            <w:left w:w="108" w:type="dxa"/>
            <w:bottom w:w="0" w:type="dxa"/>
            <w:right w:w="108" w:type="dxa"/>
          </w:tblCellMar>
        </w:tblPrEx>
        <w:trPr>
          <w:trHeight w:val="680" w:hRule="atLeast"/>
        </w:trPr>
        <w:tc>
          <w:tcPr>
            <w:tcW w:w="2268" w:type="dxa"/>
            <w:vAlign w:val="bottom"/>
          </w:tcPr>
          <w:p w14:paraId="4E467D3C">
            <w:pPr>
              <w:pStyle w:val="4"/>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14:paraId="1431A59B">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210FD61C">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r w14:paraId="06E1B03B">
        <w:tblPrEx>
          <w:tblCellMar>
            <w:top w:w="0" w:type="dxa"/>
            <w:left w:w="108" w:type="dxa"/>
            <w:bottom w:w="0" w:type="dxa"/>
            <w:right w:w="108" w:type="dxa"/>
          </w:tblCellMar>
        </w:tblPrEx>
        <w:trPr>
          <w:trHeight w:val="680" w:hRule="atLeast"/>
        </w:trPr>
        <w:tc>
          <w:tcPr>
            <w:tcW w:w="2268" w:type="dxa"/>
            <w:vAlign w:val="bottom"/>
          </w:tcPr>
          <w:p w14:paraId="24F84F9D">
            <w:pPr>
              <w:pStyle w:val="4"/>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14:paraId="158687EA">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00636F23">
            <w:pPr>
              <w:pStyle w:val="4"/>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675E525F">
        <w:tblPrEx>
          <w:tblCellMar>
            <w:top w:w="0" w:type="dxa"/>
            <w:left w:w="108" w:type="dxa"/>
            <w:bottom w:w="0" w:type="dxa"/>
            <w:right w:w="108" w:type="dxa"/>
          </w:tblCellMar>
        </w:tblPrEx>
        <w:trPr>
          <w:trHeight w:val="680" w:hRule="atLeast"/>
        </w:trPr>
        <w:tc>
          <w:tcPr>
            <w:tcW w:w="2268" w:type="dxa"/>
            <w:vAlign w:val="bottom"/>
          </w:tcPr>
          <w:p w14:paraId="25BA531A">
            <w:pPr>
              <w:pStyle w:val="4"/>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14:paraId="4C364B48">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175EC311">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bl>
    <w:p w14:paraId="1FD66B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02105134"/>
    <w:rsid w:val="023713C1"/>
    <w:rsid w:val="03FD05D6"/>
    <w:rsid w:val="046E76D5"/>
    <w:rsid w:val="124F1F2D"/>
    <w:rsid w:val="1BFE5ADE"/>
    <w:rsid w:val="1DC934C9"/>
    <w:rsid w:val="3B6A197D"/>
    <w:rsid w:val="486F273F"/>
    <w:rsid w:val="4B751DCD"/>
    <w:rsid w:val="4C6360CA"/>
    <w:rsid w:val="69CC6242"/>
    <w:rsid w:val="72856B50"/>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b/>
      <w:sz w:val="28"/>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2145</Words>
  <Characters>2154</Characters>
  <Lines>0</Lines>
  <Paragraphs>0</Paragraphs>
  <TotalTime>0</TotalTime>
  <ScaleCrop>false</ScaleCrop>
  <LinksUpToDate>false</LinksUpToDate>
  <CharactersWithSpaces>2785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2024-10-11T07:39:34Z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F8A8DF1BFD67441683E2C28521FEE55D_11</vt:lpwstr>
  </property>
</Properties>
</file>