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版本号：241012001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2024年广域网线路、互联网出口、灾备线路及办公网络线路租赁、维保项目(二次)</w:t>
      </w:r>
    </w:p>
    <w:p>
      <w:pPr>
        <w:pStyle w:val="null3"/>
        <w:jc w:val="center"/>
        <w:outlineLvl w:val="2"/>
      </w:pPr>
      <w:r>
        <w:rPr>
          <w:sz w:val="28"/>
          <w:b/>
        </w:rPr>
        <w:t>采购项目编号：</w:t>
      </w:r>
      <w:r>
        <w:rPr>
          <w:sz w:val="28"/>
          <w:b/>
        </w:rPr>
        <w:t>HC-FZB-2024-101.1.2.3B1</w:t>
      </w:r>
      <w:r>
        <w:br/>
      </w:r>
      <w:r>
        <w:br/>
      </w:r>
      <w:r>
        <w:br/>
      </w:r>
    </w:p>
    <w:p>
      <w:pPr>
        <w:pStyle w:val="null3"/>
        <w:jc w:val="center"/>
        <w:outlineLvl w:val="2"/>
      </w:pPr>
      <w:r>
        <w:rPr>
          <w:sz w:val="28"/>
          <w:b/>
        </w:rPr>
        <w:t>陕西省财政厅机关</w:t>
      </w:r>
    </w:p>
    <w:p>
      <w:pPr>
        <w:pStyle w:val="null3"/>
        <w:jc w:val="center"/>
        <w:outlineLvl w:val="2"/>
      </w:pPr>
      <w:r>
        <w:rPr>
          <w:sz w:val="28"/>
          <w:b/>
        </w:rPr>
        <w:t>华春建设工程项目管理有限责任公司</w:t>
      </w:r>
      <w:r>
        <w:rPr>
          <w:sz w:val="28"/>
          <w:b/>
        </w:rPr>
        <w:t>共同编制</w:t>
      </w:r>
    </w:p>
    <w:p>
      <w:pPr>
        <w:pStyle w:val="null3"/>
        <w:jc w:val="center"/>
        <w:outlineLvl w:val="2"/>
      </w:pPr>
      <w:r>
        <w:rPr>
          <w:sz w:val="28"/>
          <w:b/>
        </w:rPr>
        <w:t>2024年10月12日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华春建设工程项目管理有限责任公司</w:t>
      </w:r>
      <w:r>
        <w:rPr/>
        <w:t>（以下简称“代理机构”）受</w:t>
      </w:r>
      <w:r>
        <w:rPr/>
        <w:t>陕西省财政厅机关</w:t>
      </w:r>
      <w:r>
        <w:rPr/>
        <w:t>委托，拟对</w:t>
      </w:r>
      <w:r>
        <w:rPr/>
        <w:t>2024年广域网线路、互联网出口、灾备线路及办公网络线路租赁、维保项目(二次)</w:t>
      </w:r>
      <w:r>
        <w:rPr/>
        <w:t>进行国内公开招标，兹邀请符合本次招标要求的供应商参加投标。</w:t>
      </w:r>
    </w:p>
    <w:p>
      <w:pPr>
        <w:pStyle w:val="null3"/>
        <w:outlineLvl w:val="2"/>
      </w:pPr>
      <w:r>
        <w:rPr>
          <w:sz w:val="28"/>
          <w:b/>
        </w:rPr>
        <w:t>一、采购项目编号：</w:t>
      </w:r>
      <w:r>
        <w:rPr>
          <w:sz w:val="28"/>
          <w:b/>
        </w:rPr>
        <w:t>HC-FZB-2024-101.1.2.3B1</w:t>
      </w:r>
    </w:p>
    <w:p>
      <w:pPr>
        <w:pStyle w:val="null3"/>
        <w:outlineLvl w:val="2"/>
      </w:pPr>
      <w:r>
        <w:rPr>
          <w:sz w:val="28"/>
          <w:b/>
        </w:rPr>
        <w:t>二、采购项目名称：</w:t>
      </w:r>
      <w:r>
        <w:rPr>
          <w:sz w:val="28"/>
          <w:b/>
        </w:rPr>
        <w:t>2024年广域网线路、互联网出口、灾备线路及办公网络线路租赁、维保项目(二次)</w:t>
      </w:r>
    </w:p>
    <w:p>
      <w:pPr>
        <w:pStyle w:val="null3"/>
        <w:outlineLvl w:val="2"/>
      </w:pPr>
      <w:r>
        <w:rPr>
          <w:sz w:val="28"/>
          <w:b/>
        </w:rPr>
        <w:t>三、招标项目简介</w:t>
      </w:r>
    </w:p>
    <w:p>
      <w:pPr>
        <w:pStyle w:val="null3"/>
        <w:ind w:firstLine="480"/>
      </w:pPr>
      <w:r>
        <w:rPr/>
        <w:t>广域网线路租赁项目涉及全省广域网141条数字电路，其中省到市12条60M电路，市到县128条20M电路，人民银行到财政1条20M电路；互联网出口线路包括三条本地运营商提供的带宽为千兆的互联网光纤线路，实现主备互联网出口业务；延安灾备线路提供延安灾备中心到财政厅千兆专线一条；厅机关办公网络线路维保项目用于我厅办公网络传输系统（东办公楼、西办公楼、综合楼、五星街56号院、裕源办公楼、厅远端办公系统等）的光缆传输；</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并出具合法有效的营业执照或事业单位法人证书等国家规定的相关证明，自然人参与的提供其身份证明书：具有独立承担民事责任能力的法人、其他组织或自然人，并出具合法有效的营业执照或事业单位法人证书等国家规定的相关证明，自然人参与的提供其身份证明书</w:t>
      </w:r>
    </w:p>
    <w:p>
      <w:pPr>
        <w:pStyle w:val="null3"/>
      </w:pPr>
      <w:r>
        <w:rPr/>
        <w:t>2、法定代表人授权书：法定代表人授权书（附法定代表人、被授权人身份证复印件）及被授权人身份证原件（法定代表人直接参加招标，须提供法定代表人身份证明及身份证原件）；非法人单位参照执行</w:t>
      </w:r>
    </w:p>
    <w:p>
      <w:pPr>
        <w:pStyle w:val="null3"/>
      </w:pPr>
      <w:r>
        <w:rPr/>
        <w:t>3、财务状况报告：提供具有财务审计资质单位出具的2023年度的财务报告（成立时间至投标时间不足一年的可提供成立后任意时段的资产负债表）或投标前六个月内其基本账户银行出具的资信证明（附开户许可证）或政府采购信用担保机构出具的投标担保函；</w:t>
      </w:r>
    </w:p>
    <w:p>
      <w:pPr>
        <w:pStyle w:val="null3"/>
      </w:pPr>
      <w:r>
        <w:rPr/>
        <w:t>4、税收缴纳证明：提供自2023年9月1日至今已缴纳的至少一个月的纳税证明或完税证明，纳税证明或完税证明上应有代收机构或税务机关的公章或业务专用章，依法免税的服务商应提供相关文件证明；</w:t>
      </w:r>
    </w:p>
    <w:p>
      <w:pPr>
        <w:pStyle w:val="null3"/>
      </w:pPr>
      <w:r>
        <w:rPr/>
        <w:t>5、社会保障资金缴纳证明：提供供应商2023年9月1日至今已缴存的任意一个月的社会保障资金缴存单据或社保机构开具的社会保险参保缴费情况证明；依法不需要缴纳社会保障资金的应提供相关文件证明；</w:t>
      </w:r>
    </w:p>
    <w:p>
      <w:pPr>
        <w:pStyle w:val="null3"/>
      </w:pPr>
      <w:r>
        <w:rPr/>
        <w:t>6、前三年内无重大违法记录：参加政府采购活动前3年内，在经营活动中没有重大违法记录；</w:t>
      </w:r>
    </w:p>
    <w:p>
      <w:pPr>
        <w:pStyle w:val="null3"/>
      </w:pPr>
      <w:r>
        <w:rPr/>
        <w:t>7、书面声明：提供具有履行本合同所必需的设备和专业技术能力的声明；</w:t>
      </w:r>
    </w:p>
    <w:p>
      <w:pPr>
        <w:pStyle w:val="null3"/>
      </w:pPr>
      <w:r>
        <w:rPr/>
        <w:t>8、信用查询(采购人或采购代理机构开标当天查询,投标人无须提供截图)：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t>9、控股管理关系：本项目不接受联合体投标，投标单位负责人为同一人或者存在控股、管理关系的不同单位，不得参加同一招标项目投标；</w:t>
      </w:r>
    </w:p>
    <w:p>
      <w:pPr>
        <w:pStyle w:val="null3"/>
      </w:pPr>
      <w:r>
        <w:rPr/>
        <w:t>采购包2：</w:t>
      </w:r>
    </w:p>
    <w:p>
      <w:pPr>
        <w:pStyle w:val="null3"/>
      </w:pPr>
      <w:r>
        <w:rPr/>
        <w:t>1、具有独立承担民事责任能力的法人、其他组织或自然人，并出具合法有效的营业执照或事业单位法人证书等国家规定的相关证明，自然人参与的提供其身份证明书：具有独立承担民事责任能力的法人、其他组织或自然人，并出具合法有效的营业执照或事业单位法人证书等国家规定的相关证明，自然人参与的提供其身份证明书</w:t>
      </w:r>
    </w:p>
    <w:p>
      <w:pPr>
        <w:pStyle w:val="null3"/>
      </w:pPr>
      <w:r>
        <w:rPr/>
        <w:t>2、法定代表人授权书：法定代表人授权书（附法定代表人、被授权人身份证复印件）及被授权人身份证原件（法定代表人直接参加招标，须提供法定代表人身份证明及身份证原件）；非法人单位参照执行。</w:t>
      </w:r>
    </w:p>
    <w:p>
      <w:pPr>
        <w:pStyle w:val="null3"/>
      </w:pPr>
      <w:r>
        <w:rPr/>
        <w:t>3、财务状况报告：提供具有财务审计资质单位出具的2023年度的财务报告（成立时间至投标时间不足一年的可提供成立后任意时段的资产负债表）或投标前六个月内其基本账户银行出具的资信证明（附开户许可证）或政府采购信用担保机构出具的投标担保函；</w:t>
      </w:r>
    </w:p>
    <w:p>
      <w:pPr>
        <w:pStyle w:val="null3"/>
      </w:pPr>
      <w:r>
        <w:rPr/>
        <w:t>4、税收缴纳证明：提供自2023年9月1日至今已缴纳的至少一个月的纳税证明或完税证明，纳税证明或完税证明上应有代收机构或税务机关的公章或业务专用章，依法免税的服务商应提供相关文件证明；</w:t>
      </w:r>
    </w:p>
    <w:p>
      <w:pPr>
        <w:pStyle w:val="null3"/>
      </w:pPr>
      <w:r>
        <w:rPr/>
        <w:t>5、社会保障资金缴纳证明：提供供应商2023年9月1日至今已缴存的任意一个月的社会保障资金缴存单据或社保机构开具的社会保险参保缴费情况证明；依法不需要缴纳社会保障资金的应提供相关文件证明；</w:t>
      </w:r>
    </w:p>
    <w:p>
      <w:pPr>
        <w:pStyle w:val="null3"/>
      </w:pPr>
      <w:r>
        <w:rPr/>
        <w:t>6、前三年内无重大违法记录：参加政府采购活动前3年内，在经营活动中没有重大违法记录；</w:t>
      </w:r>
    </w:p>
    <w:p>
      <w:pPr>
        <w:pStyle w:val="null3"/>
      </w:pPr>
      <w:r>
        <w:rPr/>
        <w:t>7、书面声明：提供具有履行本合同所必需的设备和专业技术能力的声明；</w:t>
      </w:r>
    </w:p>
    <w:p>
      <w:pPr>
        <w:pStyle w:val="null3"/>
      </w:pPr>
      <w:r>
        <w:rPr/>
        <w:t>8、信用查询(采购人或采购代理机构开标当天查询,投标人无须提供截图)：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t>9、控股管理关系：本项目不接受联合体投标，投标单位负责人为同一人或者存在控股、管理关系的不同单位，不得参加同一招标项目投标；</w:t>
      </w:r>
    </w:p>
    <w:p>
      <w:pPr>
        <w:pStyle w:val="null3"/>
      </w:pPr>
      <w:r>
        <w:rPr/>
        <w:t>采购包3：</w:t>
      </w:r>
    </w:p>
    <w:p>
      <w:pPr>
        <w:pStyle w:val="null3"/>
      </w:pPr>
      <w:r>
        <w:rPr/>
        <w:t>1、具有独立承担民事责任能力的法人、其他组织或自然人，并出具合法有效的营业执照或事业单位法人证书等国家规定的相关证明，自然人参与的提供其身份证明书：具有独立承担民事责任能力的法人、其他组织或自然人，并出具合法有效的营业执照或事业单位法人证书等国家规定的相关证明，自然人参与的提供其身份证明书</w:t>
      </w:r>
    </w:p>
    <w:p>
      <w:pPr>
        <w:pStyle w:val="null3"/>
      </w:pPr>
      <w:r>
        <w:rPr/>
        <w:t>2、法定代表人授权书：法定代表人授权书（附法定代表人、被授权人身份证复印件）及被授权人身份证原件（法定代表人直接参加招标，须提供法定代表人身份证明及身份证原件）；非法人单位参照执行。</w:t>
      </w:r>
    </w:p>
    <w:p>
      <w:pPr>
        <w:pStyle w:val="null3"/>
      </w:pPr>
      <w:r>
        <w:rPr/>
        <w:t>3、财务状况报告：提供具有财务审计资质单位出具的2023年度的财务报告（成立时间至投标时间不足一年的可提供成立后任意时段的资产负债表）或投标前六个月内其基本账户银行出具的资信证明（附开户许可证）或政府采购信用担保机构出具的投标担保函；</w:t>
      </w:r>
    </w:p>
    <w:p>
      <w:pPr>
        <w:pStyle w:val="null3"/>
      </w:pPr>
      <w:r>
        <w:rPr/>
        <w:t>4、税收缴纳证明：提供自2023年9月1日至今已缴纳的至少一个月的纳税证明或完税证明，纳税证明或完税证明上应有代收机构或税务机关的公章或业务专用章，依法免税的服务商应提供相关文件证明；</w:t>
      </w:r>
    </w:p>
    <w:p>
      <w:pPr>
        <w:pStyle w:val="null3"/>
      </w:pPr>
      <w:r>
        <w:rPr/>
        <w:t>5、社会保障资金缴纳证明：提供供应商2023年9月1日至今已缴存的任意一个月的社会保障资金缴存单据或社保机构开具的社会保险参保缴费情况证明；依法不需要缴纳社会保障资金的应提供相关文件证明；</w:t>
      </w:r>
    </w:p>
    <w:p>
      <w:pPr>
        <w:pStyle w:val="null3"/>
      </w:pPr>
      <w:r>
        <w:rPr/>
        <w:t>6、前三年内无重大违法记录：参加政府采购活动前3年内，在经营活动中没有重大违法记录；</w:t>
      </w:r>
    </w:p>
    <w:p>
      <w:pPr>
        <w:pStyle w:val="null3"/>
      </w:pPr>
      <w:r>
        <w:rPr/>
        <w:t>7、书面声明：提供具有履行本合同所必需的设备和专业技术能力的声明；</w:t>
      </w:r>
    </w:p>
    <w:p>
      <w:pPr>
        <w:pStyle w:val="null3"/>
      </w:pPr>
      <w:r>
        <w:rPr/>
        <w:t>8、信用查询(采购人或采购代理机构开标当天查询,投标人无须提供截图)：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t>9、控股管理关系：本项目不接受联合体投标，投标单位负责人为同一人或者存在控股、管理关系的不同单位，不得参加同一招标项目投标；</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陕西省财政厅机关</w:t>
      </w:r>
    </w:p>
    <w:p>
      <w:pPr>
        <w:pStyle w:val="null3"/>
      </w:pPr>
      <w:r>
        <w:rPr/>
        <w:t xml:space="preserve"> 地址： </w:t>
      </w:r>
      <w:r>
        <w:rPr/>
        <w:t>西安市北院门街道冰窖巷</w:t>
      </w:r>
    </w:p>
    <w:p>
      <w:pPr>
        <w:pStyle w:val="null3"/>
      </w:pPr>
      <w:r>
        <w:rPr/>
        <w:t xml:space="preserve"> 邮编： </w:t>
      </w:r>
      <w:r>
        <w:rPr/>
        <w:t>710000</w:t>
      </w:r>
    </w:p>
    <w:p>
      <w:pPr>
        <w:pStyle w:val="null3"/>
      </w:pPr>
      <w:r>
        <w:rPr/>
        <w:t xml:space="preserve"> 联系人： </w:t>
      </w:r>
      <w:r>
        <w:rPr/>
        <w:t>黄卫东</w:t>
      </w:r>
    </w:p>
    <w:p>
      <w:pPr>
        <w:pStyle w:val="null3"/>
      </w:pPr>
      <w:r>
        <w:rPr/>
        <w:t xml:space="preserve"> 联系电话： </w:t>
      </w:r>
      <w:r>
        <w:rPr/>
        <w:t>029-68936196</w:t>
      </w:r>
    </w:p>
    <w:p>
      <w:pPr>
        <w:pStyle w:val="null3"/>
        <w:outlineLvl w:val="2"/>
      </w:pPr>
      <w:r>
        <w:rPr>
          <w:sz w:val="28"/>
          <w:b/>
        </w:rPr>
        <w:t>代理机构：</w:t>
      </w:r>
      <w:r>
        <w:rPr>
          <w:sz w:val="28"/>
          <w:b/>
        </w:rPr>
        <w:t>华春建设工程项目管理有限责任公司</w:t>
      </w:r>
    </w:p>
    <w:p>
      <w:pPr>
        <w:pStyle w:val="null3"/>
      </w:pPr>
      <w:r>
        <w:rPr/>
        <w:t xml:space="preserve"> 地址： </w:t>
      </w:r>
      <w:r>
        <w:rPr/>
        <w:t>西安市南二环西段58号成长大厦8楼</w:t>
      </w:r>
    </w:p>
    <w:p>
      <w:pPr>
        <w:pStyle w:val="null3"/>
      </w:pPr>
      <w:r>
        <w:rPr/>
        <w:t xml:space="preserve"> 邮编： </w:t>
      </w:r>
      <w:r>
        <w:rPr/>
        <w:t>710000</w:t>
      </w:r>
    </w:p>
    <w:p>
      <w:pPr>
        <w:pStyle w:val="null3"/>
      </w:pPr>
      <w:r>
        <w:rPr/>
        <w:t xml:space="preserve"> 联系人： </w:t>
      </w:r>
      <w:r>
        <w:rPr/>
        <w:t>张工</w:t>
      </w:r>
    </w:p>
    <w:p>
      <w:pPr>
        <w:pStyle w:val="null3"/>
      </w:pPr>
      <w:r>
        <w:rPr/>
        <w:t xml:space="preserve"> 联系电话： </w:t>
      </w:r>
      <w:r>
        <w:rPr/>
        <w:t>18392767108</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采购包1：4,578,400.00元</w:t>
            </w:r>
          </w:p>
          <w:p>
            <w:pPr>
              <w:pStyle w:val="null3"/>
            </w:pPr>
            <w:r>
              <w:rPr/>
              <w:t>采购包2：600,000.00元</w:t>
            </w:r>
          </w:p>
          <w:p>
            <w:pPr>
              <w:pStyle w:val="null3"/>
            </w:pPr>
            <w:r>
              <w:rPr/>
              <w:t>采购包3：1,770,000.00元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p>
          <w:p>
            <w:pPr>
              <w:pStyle w:val="null3"/>
            </w:pPr>
            <w:r>
              <w:rPr/>
              <w:t>采购包3：综合评分法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p>
            <w:pPr>
              <w:pStyle w:val="null3"/>
            </w:pPr>
            <w:r>
              <w:rPr/>
              <w:t>采购包3：不缴纳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供应商应向采购代理机构交纳招标代理服务费。本项目招标代理服务费收取参照国家计委颁布的《招标代理服务收费管理暂行办法》（计价格〔2002〕1980号）和（发改办价格〔2003〕857号）中服务类收费标准下浮30%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陕西省财政厅机关</w:t>
      </w:r>
      <w:r>
        <w:rPr/>
        <w:t>和</w:t>
      </w:r>
      <w:r>
        <w:rPr/>
        <w:t>华春建设工程项目管理有限责任公司</w:t>
      </w:r>
      <w:r>
        <w:rPr/>
        <w:t>享有。对招标文件中供应商参加本次政府采购活动应当具备的条件，招标项目技术、服务、商务及其他要求，评标细则及标准由</w:t>
      </w:r>
      <w:r>
        <w:rPr/>
        <w:t>陕西省财政厅机关</w:t>
      </w:r>
      <w:r>
        <w:rPr/>
        <w:t>负责解释。除上述招标文件内容，其他内容由</w:t>
      </w:r>
      <w:r>
        <w:rPr/>
        <w:t>华春建设工程项目管理有限责任公司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陕西省财政厅机关</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华春建设工程项目管理有限责任公司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sz w:val="24"/>
          <w:b/>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outlineLvl w:val="3"/>
      </w:pPr>
      <w:r>
        <w:rPr>
          <w:sz w:val="24"/>
          <w:b/>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按照陕西省财政厅网络安全和信息化项目验收管理暂行办法执行。</w:t>
      </w:r>
    </w:p>
    <w:p>
      <w:pPr>
        <w:pStyle w:val="null3"/>
      </w:pPr>
      <w:r>
        <w:rPr/>
        <w:t>采购包2：</w:t>
      </w:r>
    </w:p>
    <w:p>
      <w:pPr>
        <w:pStyle w:val="null3"/>
      </w:pPr>
      <w:r>
        <w:rPr/>
        <w:t>按照陕西省财政厅网络安全和信息化项目验收管理暂行办法执行。</w:t>
      </w:r>
    </w:p>
    <w:p>
      <w:pPr>
        <w:pStyle w:val="null3"/>
      </w:pPr>
      <w:r>
        <w:rPr/>
        <w:t>采购包3：</w:t>
      </w:r>
    </w:p>
    <w:p>
      <w:pPr>
        <w:pStyle w:val="null3"/>
      </w:pPr>
      <w:r>
        <w:rPr/>
        <w:t>按照陕西省财政厅网络安全和信息化项目验收管理暂行办法执行。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sz w:val="24"/>
          <w:b/>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sz w:val="24"/>
          <w:b/>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华春建设工程项目管理有限责任公司</w:t>
      </w:r>
      <w:r>
        <w:rPr/>
        <w:t xml:space="preserve"> 负责答复；供应商对除采购需求外的采购文件的询问、质疑由</w:t>
      </w:r>
      <w:r>
        <w:rPr/>
        <w:t>华春建设工程项目管理有限责任公司</w:t>
      </w:r>
      <w:r>
        <w:rPr/>
        <w:t xml:space="preserve"> 负责答复；供应商对采购过程、采购结果的询问、质疑由 </w:t>
      </w:r>
      <w:r>
        <w:rPr/>
        <w:t>华春建设工程项目管理有限责任公司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联系人：张工</w:t>
      </w:r>
    </w:p>
    <w:p>
      <w:pPr>
        <w:pStyle w:val="null3"/>
      </w:pPr>
      <w:r>
        <w:rPr/>
        <w:t>联系电话：18392767108</w:t>
      </w:r>
    </w:p>
    <w:p>
      <w:pPr>
        <w:pStyle w:val="null3"/>
      </w:pPr>
      <w:r>
        <w:rPr/>
        <w:t>地址：西安市南二环西段58号成长大厦8楼</w:t>
      </w:r>
    </w:p>
    <w:p>
      <w:pPr>
        <w:pStyle w:val="null3"/>
      </w:pPr>
      <w:r>
        <w:rPr/>
        <w:t>邮编：710000</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广域网线路租赁项目涉及全省广域网141条数字电路，其中省到市12条60M电路，市到县128条20M电路，人民银行到财政1条20M电路；互联网出口线路包括三条本地运营商提供的带宽为千兆的互联网光纤线路，实现主备互联网出口业务；延安灾备线路提供延安灾备中心到财政厅千兆专线一条；厅机关办公网络线路维保项目用于我厅办公网络传输系统（东办公楼、西办公楼、综合楼、五星街56号院、裕源办公楼、厅远端办公系统等）的光缆传输。</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4,578,400.00</w:t>
      </w:r>
    </w:p>
    <w:p>
      <w:pPr>
        <w:pStyle w:val="null3"/>
      </w:pPr>
      <w:r>
        <w:rPr/>
        <w:t>采购包最高限价（元）: 4,578,400.00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广域网线路、互联网出口线路租赁项目</w:t>
            </w:r>
          </w:p>
        </w:tc>
        <w:tc>
          <w:tcPr>
            <w:tcW w:type="dxa" w:w="831"/>
          </w:tcPr>
          <w:p>
            <w:pPr>
              <w:pStyle w:val="null3"/>
              <w:jc w:val="right"/>
            </w:pPr>
            <w:r>
              <w:rPr/>
              <w:t>1.00</w:t>
            </w:r>
          </w:p>
        </w:tc>
        <w:tc>
          <w:tcPr>
            <w:tcW w:type="dxa" w:w="831"/>
          </w:tcPr>
          <w:p>
            <w:pPr>
              <w:pStyle w:val="null3"/>
              <w:jc w:val="right"/>
            </w:pPr>
            <w:r>
              <w:rPr/>
              <w:t>4,578,400.00</w:t>
            </w:r>
          </w:p>
        </w:tc>
        <w:tc>
          <w:tcPr>
            <w:tcW w:type="dxa" w:w="831"/>
          </w:tcPr>
          <w:p>
            <w:pPr>
              <w:pStyle w:val="null3"/>
            </w:pPr>
            <w:r>
              <w:rPr/>
              <w:t>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600,000.00</w:t>
      </w:r>
    </w:p>
    <w:p>
      <w:pPr>
        <w:pStyle w:val="null3"/>
      </w:pPr>
      <w:r>
        <w:rPr/>
        <w:t>采购包最高限价（元）: 600,000.00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互联网出口线路租赁项目</w:t>
            </w:r>
          </w:p>
        </w:tc>
        <w:tc>
          <w:tcPr>
            <w:tcW w:type="dxa" w:w="831"/>
          </w:tcPr>
          <w:p>
            <w:pPr>
              <w:pStyle w:val="null3"/>
              <w:jc w:val="right"/>
            </w:pPr>
            <w:r>
              <w:rPr/>
              <w:t>1.00</w:t>
            </w:r>
          </w:p>
        </w:tc>
        <w:tc>
          <w:tcPr>
            <w:tcW w:type="dxa" w:w="831"/>
          </w:tcPr>
          <w:p>
            <w:pPr>
              <w:pStyle w:val="null3"/>
              <w:jc w:val="right"/>
            </w:pPr>
            <w:r>
              <w:rPr/>
              <w:t>600,000.00</w:t>
            </w:r>
          </w:p>
        </w:tc>
        <w:tc>
          <w:tcPr>
            <w:tcW w:type="dxa" w:w="831"/>
          </w:tcPr>
          <w:p>
            <w:pPr>
              <w:pStyle w:val="null3"/>
            </w:pPr>
            <w:r>
              <w:rPr/>
              <w:t>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1,770,000.00</w:t>
      </w:r>
    </w:p>
    <w:p>
      <w:pPr>
        <w:pStyle w:val="null3"/>
      </w:pPr>
      <w:r>
        <w:rPr/>
        <w:t>采购包最高限价（元）: 1,770,000.00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互联网出口、灾备线路及办公网络线路租赁、维保项目</w:t>
            </w:r>
          </w:p>
        </w:tc>
        <w:tc>
          <w:tcPr>
            <w:tcW w:type="dxa" w:w="831"/>
          </w:tcPr>
          <w:p>
            <w:pPr>
              <w:pStyle w:val="null3"/>
              <w:jc w:val="right"/>
            </w:pPr>
            <w:r>
              <w:rPr/>
              <w:t>1.00</w:t>
            </w:r>
          </w:p>
        </w:tc>
        <w:tc>
          <w:tcPr>
            <w:tcW w:type="dxa" w:w="831"/>
          </w:tcPr>
          <w:p>
            <w:pPr>
              <w:pStyle w:val="null3"/>
              <w:jc w:val="right"/>
            </w:pPr>
            <w:r>
              <w:rPr/>
              <w:t>1,770,000.00</w:t>
            </w:r>
          </w:p>
        </w:tc>
        <w:tc>
          <w:tcPr>
            <w:tcW w:type="dxa" w:w="831"/>
          </w:tcPr>
          <w:p>
            <w:pPr>
              <w:pStyle w:val="null3"/>
            </w:pPr>
            <w:r>
              <w:rPr/>
              <w:t>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sz w:val="24"/>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标的名称：广域网线路、互联网出口线路租赁项目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rPr>
              <w:t>1、项目功能：广域网线路租赁项目涉及全省广域网141条数字电路，其中省到市12条60M电路，市到县128条20M电路，人民银行到财政1条20M电路；互联网出口线路一条，带宽为千兆。</w:t>
            </w:r>
          </w:p>
          <w:p>
            <w:pPr>
              <w:pStyle w:val="null3"/>
              <w:jc w:val="both"/>
            </w:pPr>
            <w:r>
              <w:rPr>
                <w:rFonts w:ascii="宋体" w:hAnsi="宋体" w:cs="宋体" w:eastAsia="宋体"/>
                <w:sz w:val="24"/>
              </w:rPr>
              <w:t>2、</w:t>
            </w:r>
            <w:r>
              <w:rPr>
                <w:rFonts w:ascii="宋体" w:hAnsi="宋体" w:cs="宋体" w:eastAsia="宋体"/>
                <w:sz w:val="24"/>
              </w:rPr>
              <w:t>项目</w:t>
            </w:r>
            <w:r>
              <w:rPr>
                <w:rFonts w:ascii="宋体" w:hAnsi="宋体" w:cs="宋体" w:eastAsia="宋体"/>
                <w:sz w:val="24"/>
              </w:rPr>
              <w:t>运行周期</w:t>
            </w:r>
            <w:r>
              <w:rPr>
                <w:rFonts w:ascii="宋体" w:hAnsi="宋体" w:cs="宋体" w:eastAsia="宋体"/>
                <w:sz w:val="24"/>
              </w:rPr>
              <w:t>：一年。</w:t>
            </w:r>
          </w:p>
          <w:p>
            <w:pPr>
              <w:pStyle w:val="null3"/>
              <w:jc w:val="both"/>
            </w:pPr>
            <w:r>
              <w:rPr>
                <w:rFonts w:ascii="宋体" w:hAnsi="宋体" w:cs="宋体" w:eastAsia="宋体"/>
                <w:sz w:val="24"/>
              </w:rPr>
              <w:t>3、</w:t>
            </w:r>
            <w:r>
              <w:rPr>
                <w:rFonts w:ascii="宋体" w:hAnsi="宋体" w:cs="宋体" w:eastAsia="宋体"/>
                <w:sz w:val="24"/>
              </w:rPr>
              <w:t>项目地点</w:t>
            </w:r>
            <w:r>
              <w:rPr>
                <w:rFonts w:ascii="宋体" w:hAnsi="宋体" w:cs="宋体" w:eastAsia="宋体"/>
                <w:sz w:val="24"/>
              </w:rPr>
              <w:t>：陕西省财政厅</w:t>
            </w:r>
          </w:p>
          <w:p>
            <w:pPr>
              <w:pStyle w:val="null3"/>
              <w:jc w:val="both"/>
            </w:pPr>
            <w:r>
              <w:rPr>
                <w:rFonts w:ascii="宋体" w:hAnsi="宋体" w:cs="宋体" w:eastAsia="宋体"/>
                <w:sz w:val="24"/>
              </w:rPr>
              <w:t>4、项目技术需求：</w:t>
            </w:r>
          </w:p>
          <w:p>
            <w:pPr>
              <w:pStyle w:val="null3"/>
              <w:jc w:val="both"/>
            </w:pPr>
            <w:r>
              <w:rPr>
                <w:rFonts w:ascii="宋体" w:hAnsi="宋体" w:cs="宋体" w:eastAsia="宋体"/>
                <w:sz w:val="24"/>
              </w:rPr>
              <w:t>4.1.1、广域网线路技术参数要求：</w:t>
            </w:r>
          </w:p>
          <w:tbl>
            <w:tblPr>
              <w:tblInd w:type="dxa" w:w="120"/>
              <w:tblBorders>
                <w:top w:val="none" w:color="000000" w:sz="4"/>
                <w:left w:val="none" w:color="000000" w:sz="4"/>
                <w:bottom w:val="none" w:color="000000" w:sz="4"/>
                <w:right w:val="none" w:color="000000" w:sz="4"/>
                <w:insideH w:val="none"/>
                <w:insideV w:val="none"/>
              </w:tblBorders>
            </w:tblPr>
            <w:tblGrid>
              <w:gridCol w:w="190"/>
              <w:gridCol w:w="1149"/>
              <w:gridCol w:w="1201"/>
            </w:tblGrid>
            <w:tr>
              <w:tc>
                <w:tcPr>
                  <w:tcW w:type="dxa" w:w="1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序号</w:t>
                  </w:r>
                </w:p>
              </w:tc>
              <w:tc>
                <w:tcPr>
                  <w:tcW w:type="dxa" w:w="11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广域网专线技术参数指标</w:t>
                  </w:r>
                </w:p>
              </w:tc>
              <w:tc>
                <w:tcPr>
                  <w:tcW w:type="dxa" w:w="1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参数要求</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网络可用性</w:t>
                  </w:r>
                </w:p>
              </w:tc>
              <w:tc>
                <w:tcPr>
                  <w:tcW w:type="dxa" w:w="1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≥99.99%</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接口实测速率</w:t>
                  </w:r>
                </w:p>
              </w:tc>
              <w:tc>
                <w:tcPr>
                  <w:tcW w:type="dxa" w:w="1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≥接口理论速率×90%</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上下行速率差</w:t>
                  </w:r>
                </w:p>
              </w:tc>
              <w:tc>
                <w:tcPr>
                  <w:tcW w:type="dxa" w:w="1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上行速率</w:t>
                  </w:r>
                  <w:r>
                    <w:rPr>
                      <w:rFonts w:ascii="宋体" w:hAnsi="宋体" w:cs="宋体" w:eastAsia="宋体"/>
                      <w:sz w:val="24"/>
                    </w:rPr>
                    <w:t>≥下行速率×99%</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4</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年中断次数</w:t>
                  </w:r>
                </w:p>
              </w:tc>
              <w:tc>
                <w:tcPr>
                  <w:tcW w:type="dxa" w:w="1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≤4</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5</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每次中断时间</w:t>
                  </w:r>
                </w:p>
              </w:tc>
              <w:tc>
                <w:tcPr>
                  <w:tcW w:type="dxa" w:w="1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≤4h</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6</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故障处理时间</w:t>
                  </w:r>
                </w:p>
              </w:tc>
              <w:tc>
                <w:tcPr>
                  <w:tcW w:type="dxa" w:w="1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响应时间</w:t>
                  </w:r>
                  <w:r>
                    <w:rPr>
                      <w:rFonts w:ascii="宋体" w:hAnsi="宋体" w:cs="宋体" w:eastAsia="宋体"/>
                      <w:sz w:val="24"/>
                    </w:rPr>
                    <w:t>≤15min</w:t>
                  </w:r>
                </w:p>
                <w:p>
                  <w:pPr>
                    <w:pStyle w:val="null3"/>
                    <w:jc w:val="both"/>
                  </w:pPr>
                  <w:r>
                    <w:rPr>
                      <w:rFonts w:ascii="宋体" w:hAnsi="宋体" w:cs="宋体" w:eastAsia="宋体"/>
                      <w:sz w:val="24"/>
                    </w:rPr>
                    <w:t>排除时间</w:t>
                  </w:r>
                  <w:r>
                    <w:rPr>
                      <w:rFonts w:ascii="宋体" w:hAnsi="宋体" w:cs="宋体" w:eastAsia="宋体"/>
                      <w:sz w:val="24"/>
                    </w:rPr>
                    <w:t>≤4h</w:t>
                  </w:r>
                </w:p>
              </w:tc>
            </w:tr>
          </w:tbl>
          <w:p>
            <w:pPr>
              <w:pStyle w:val="null3"/>
              <w:jc w:val="both"/>
            </w:pPr>
            <w:r>
              <w:rPr>
                <w:rFonts w:ascii="宋体" w:hAnsi="宋体" w:cs="宋体" w:eastAsia="宋体"/>
                <w:sz w:val="24"/>
              </w:rPr>
              <w:t>4.1.2、广域网线路服务内容：</w:t>
            </w:r>
          </w:p>
          <w:tbl>
            <w:tblPr>
              <w:tblInd w:type="dxa" w:w="120"/>
              <w:tblBorders>
                <w:top w:val="none" w:color="000000" w:sz="4"/>
                <w:left w:val="none" w:color="000000" w:sz="4"/>
                <w:bottom w:val="none" w:color="000000" w:sz="4"/>
                <w:right w:val="none" w:color="000000" w:sz="4"/>
                <w:insideH w:val="none"/>
                <w:insideV w:val="none"/>
              </w:tblBorders>
            </w:tblPr>
            <w:tblGrid>
              <w:gridCol w:w="223"/>
              <w:gridCol w:w="1135"/>
              <w:gridCol w:w="436"/>
              <w:gridCol w:w="745"/>
            </w:tblGrid>
            <w:tr>
              <w:tc>
                <w:tcPr>
                  <w:tcW w:type="dxa" w:w="2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序号</w:t>
                  </w:r>
                </w:p>
              </w:tc>
              <w:tc>
                <w:tcPr>
                  <w:tcW w:type="dxa" w:w="1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线路名称</w:t>
                  </w:r>
                </w:p>
              </w:tc>
              <w:tc>
                <w:tcPr>
                  <w:tcW w:type="dxa" w:w="4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带宽</w:t>
                  </w:r>
                </w:p>
              </w:tc>
              <w:tc>
                <w:tcPr>
                  <w:tcW w:type="dxa" w:w="7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数量</w:t>
                  </w:r>
                  <w:r>
                    <w:rPr>
                      <w:rFonts w:ascii="宋体" w:hAnsi="宋体" w:cs="宋体" w:eastAsia="宋体"/>
                      <w:sz w:val="24"/>
                    </w:rPr>
                    <w:t>/条</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数字电路（省至市）</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60M</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12</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w:t>
                  </w: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数字电路（市至县）</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20M</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128</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w:t>
                  </w: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数字电路（省厅至省人行）</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20M</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r>
          </w:tbl>
          <w:p>
            <w:pPr>
              <w:pStyle w:val="null3"/>
              <w:jc w:val="both"/>
            </w:pPr>
            <w:r>
              <w:rPr>
                <w:rFonts w:ascii="宋体" w:hAnsi="宋体" w:cs="宋体" w:eastAsia="宋体"/>
                <w:sz w:val="24"/>
              </w:rPr>
              <w:t>4.2.1、互联网出口线路具体技术参数要求</w:t>
            </w:r>
          </w:p>
          <w:tbl>
            <w:tblPr>
              <w:tblInd w:type="dxa" w:w="120"/>
              <w:tblBorders>
                <w:top w:val="none" w:color="000000" w:sz="4"/>
                <w:left w:val="none" w:color="000000" w:sz="4"/>
                <w:bottom w:val="none" w:color="000000" w:sz="4"/>
                <w:right w:val="none" w:color="000000" w:sz="4"/>
                <w:insideH w:val="none"/>
                <w:insideV w:val="none"/>
              </w:tblBorders>
            </w:tblPr>
            <w:tblGrid>
              <w:gridCol w:w="228"/>
              <w:gridCol w:w="217"/>
              <w:gridCol w:w="383"/>
              <w:gridCol w:w="996"/>
              <w:gridCol w:w="715"/>
            </w:tblGrid>
            <w:tr>
              <w:tc>
                <w:tcPr>
                  <w:tcW w:type="dxa" w:w="2539"/>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互联网光纤技术规范要求</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1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线路</w:t>
                  </w:r>
                </w:p>
              </w:tc>
              <w:tc>
                <w:tcPr>
                  <w:tcW w:type="dxa" w:w="3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接入</w:t>
                  </w:r>
                </w:p>
              </w:tc>
              <w:tc>
                <w:tcPr>
                  <w:tcW w:type="dxa" w:w="9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互联网光纤专线</w:t>
                  </w:r>
                </w:p>
              </w:tc>
              <w:tc>
                <w:tcPr>
                  <w:tcW w:type="dxa" w:w="7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说明</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217"/>
                  <w:vMerge/>
                  <w:tcBorders>
                    <w:top w:val="single" w:color="000000" w:sz="4"/>
                    <w:left w:val="none" w:color="000000" w:sz="4"/>
                    <w:bottom w:val="single" w:color="000000" w:sz="4"/>
                    <w:right w:val="single" w:color="000000" w:sz="4"/>
                  </w:tcBorders>
                </w:tcP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带宽</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1000M</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见线路明细</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217"/>
                  <w:vMerge/>
                  <w:tcBorders>
                    <w:top w:val="single" w:color="000000" w:sz="4"/>
                    <w:left w:val="none" w:color="000000" w:sz="4"/>
                    <w:bottom w:val="single" w:color="000000" w:sz="4"/>
                    <w:right w:val="single" w:color="000000" w:sz="4"/>
                  </w:tcBorders>
                </w:tcP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接口</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IEEE 802.3z Ethernet</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光口</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217"/>
                  <w:vMerge/>
                  <w:tcBorders>
                    <w:top w:val="single" w:color="000000" w:sz="4"/>
                    <w:left w:val="none" w:color="000000" w:sz="4"/>
                    <w:bottom w:val="single" w:color="000000" w:sz="4"/>
                    <w:right w:val="single" w:color="000000" w:sz="4"/>
                  </w:tcBorders>
                </w:tcP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IP地址</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64个固定地址</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供应商应有保证本项目业务系统连续性的解决方案</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217"/>
                  <w:vMerge/>
                  <w:tcBorders>
                    <w:top w:val="single" w:color="000000" w:sz="4"/>
                    <w:left w:val="none" w:color="000000" w:sz="4"/>
                    <w:bottom w:val="single" w:color="000000" w:sz="4"/>
                    <w:right w:val="single" w:color="000000" w:sz="4"/>
                  </w:tcBorders>
                </w:tcP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接口实测速率</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≥接口理论速率×90%</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217"/>
                  <w:vMerge/>
                  <w:tcBorders>
                    <w:top w:val="single" w:color="000000" w:sz="4"/>
                    <w:left w:val="none" w:color="000000" w:sz="4"/>
                    <w:bottom w:val="single" w:color="000000" w:sz="4"/>
                    <w:right w:val="single" w:color="000000" w:sz="4"/>
                  </w:tcBorders>
                </w:tcP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上下行速率差</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上行速率</w:t>
                  </w:r>
                  <w:r>
                    <w:rPr>
                      <w:rFonts w:ascii="宋体" w:hAnsi="宋体" w:cs="宋体" w:eastAsia="宋体"/>
                      <w:sz w:val="24"/>
                    </w:rPr>
                    <w:t>≥下行速率×99%</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217"/>
                  <w:vMerge/>
                  <w:tcBorders>
                    <w:top w:val="single" w:color="000000" w:sz="4"/>
                    <w:left w:val="none" w:color="000000" w:sz="4"/>
                    <w:bottom w:val="single" w:color="000000" w:sz="4"/>
                    <w:right w:val="single" w:color="000000" w:sz="4"/>
                  </w:tcBorders>
                </w:tcP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年中断次数</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≤4</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217"/>
                  <w:vMerge/>
                  <w:tcBorders>
                    <w:top w:val="single" w:color="000000" w:sz="4"/>
                    <w:left w:val="none" w:color="000000" w:sz="4"/>
                    <w:bottom w:val="single" w:color="000000" w:sz="4"/>
                    <w:right w:val="single" w:color="000000" w:sz="4"/>
                  </w:tcBorders>
                </w:tcP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每次中断时间</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w:t>
                  </w:r>
                  <w:r>
                    <w:rPr>
                      <w:rFonts w:ascii="宋体" w:hAnsi="宋体" w:cs="宋体" w:eastAsia="宋体"/>
                      <w:sz w:val="24"/>
                    </w:rPr>
                    <w:t>4h</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217"/>
                  <w:vMerge/>
                  <w:tcBorders>
                    <w:top w:val="single" w:color="000000" w:sz="4"/>
                    <w:left w:val="none" w:color="000000" w:sz="4"/>
                    <w:bottom w:val="single" w:color="000000" w:sz="4"/>
                    <w:right w:val="single" w:color="000000" w:sz="4"/>
                  </w:tcBorders>
                </w:tcP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线路接入要求</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要求从运营商就近节点布放两条不同物理路由光缆接入省财政厅机房。</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两条双路由光纤通过光倒换设备实现光路的自动保护</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设备</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光倒换设备</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要求倒换时间</w:t>
                  </w:r>
                  <w:r>
                    <w:rPr>
                      <w:rFonts w:ascii="宋体" w:hAnsi="宋体" w:cs="宋体" w:eastAsia="宋体"/>
                      <w:sz w:val="24"/>
                    </w:rPr>
                    <w:t>≤50</w:t>
                  </w:r>
                  <w:r>
                    <w:rPr>
                      <w:rFonts w:ascii="宋体" w:hAnsi="宋体" w:cs="宋体" w:eastAsia="宋体"/>
                      <w:sz w:val="24"/>
                    </w:rPr>
                    <w:t>ms</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服务</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故障处理时间</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响应时间</w:t>
                  </w:r>
                  <w:r>
                    <w:rPr>
                      <w:rFonts w:ascii="宋体" w:hAnsi="宋体" w:cs="宋体" w:eastAsia="宋体"/>
                      <w:sz w:val="24"/>
                    </w:rPr>
                    <w:t>≤2h</w:t>
                  </w:r>
                </w:p>
                <w:p>
                  <w:pPr>
                    <w:pStyle w:val="null3"/>
                    <w:jc w:val="both"/>
                  </w:pPr>
                  <w:r>
                    <w:rPr>
                      <w:rFonts w:ascii="宋体" w:hAnsi="宋体" w:cs="宋体" w:eastAsia="宋体"/>
                      <w:sz w:val="24"/>
                    </w:rPr>
                    <w:t>排除时间</w:t>
                  </w:r>
                  <w:r>
                    <w:rPr>
                      <w:rFonts w:ascii="宋体" w:hAnsi="宋体" w:cs="宋体" w:eastAsia="宋体"/>
                      <w:sz w:val="24"/>
                    </w:rPr>
                    <w:t>≤4h</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rFonts w:ascii="宋体" w:hAnsi="宋体" w:cs="宋体" w:eastAsia="宋体"/>
                <w:sz w:val="24"/>
              </w:rPr>
              <w:t>4.2.2、互联网出口线路服务内容：</w:t>
            </w:r>
          </w:p>
          <w:tbl>
            <w:tblPr>
              <w:tblInd w:type="dxa" w:w="120"/>
              <w:tblBorders>
                <w:top w:val="none" w:color="000000" w:sz="4"/>
                <w:left w:val="none" w:color="000000" w:sz="4"/>
                <w:bottom w:val="none" w:color="000000" w:sz="4"/>
                <w:right w:val="none" w:color="000000" w:sz="4"/>
                <w:insideH w:val="none"/>
                <w:insideV w:val="none"/>
              </w:tblBorders>
            </w:tblPr>
            <w:tblGrid>
              <w:gridCol w:w="254"/>
              <w:gridCol w:w="526"/>
              <w:gridCol w:w="1134"/>
              <w:gridCol w:w="619"/>
            </w:tblGrid>
            <w:tr>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序号</w:t>
                  </w:r>
                </w:p>
              </w:tc>
              <w:tc>
                <w:tcPr>
                  <w:tcW w:type="dxa" w:w="5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线路名称</w:t>
                  </w:r>
                </w:p>
              </w:tc>
              <w:tc>
                <w:tcPr>
                  <w:tcW w:type="dxa" w:w="11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带宽</w:t>
                  </w:r>
                </w:p>
              </w:tc>
              <w:tc>
                <w:tcPr>
                  <w:tcW w:type="dxa" w:w="6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数量</w:t>
                  </w:r>
                  <w:r>
                    <w:rPr>
                      <w:rFonts w:ascii="宋体" w:hAnsi="宋体" w:cs="宋体" w:eastAsia="宋体"/>
                      <w:sz w:val="24"/>
                    </w:rPr>
                    <w:t>/条</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互联网光纤线路</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1000M</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r>
          </w:tbl>
          <w:p>
            <w:pPr>
              <w:pStyle w:val="null3"/>
            </w:pPr>
            <w:r>
              <w:rPr>
                <w:rFonts w:ascii="宋体" w:hAnsi="宋体" w:cs="宋体" w:eastAsia="宋体"/>
                <w:sz w:val="24"/>
              </w:rPr>
              <w:t>5、线路服务要求：</w:t>
            </w:r>
          </w:p>
          <w:p>
            <w:pPr>
              <w:pStyle w:val="null3"/>
              <w:numPr>
                <w:ilvl w:val="0"/>
                <w:numId w:val="1"/>
              </w:numPr>
              <w:jc w:val="both"/>
            </w:pPr>
            <w:r>
              <w:rPr>
                <w:rFonts w:ascii="宋体" w:hAnsi="宋体" w:cs="宋体" w:eastAsia="宋体"/>
                <w:sz w:val="24"/>
              </w:rPr>
              <w:t>合同签订与设备采购</w:t>
            </w:r>
          </w:p>
          <w:p>
            <w:pPr>
              <w:pStyle w:val="null3"/>
              <w:numPr>
                <w:ilvl w:val="0"/>
                <w:numId w:val="1"/>
              </w:numPr>
              <w:jc w:val="both"/>
            </w:pPr>
            <w:r>
              <w:rPr>
                <w:rFonts w:ascii="宋体" w:hAnsi="宋体" w:cs="宋体" w:eastAsia="宋体"/>
                <w:sz w:val="24"/>
              </w:rPr>
              <w:t>业务开通准备</w:t>
            </w:r>
          </w:p>
          <w:p>
            <w:pPr>
              <w:pStyle w:val="null3"/>
              <w:numPr>
                <w:ilvl w:val="0"/>
                <w:numId w:val="1"/>
              </w:numPr>
              <w:jc w:val="both"/>
            </w:pPr>
            <w:r>
              <w:rPr>
                <w:rFonts w:ascii="宋体" w:hAnsi="宋体" w:cs="宋体" w:eastAsia="宋体"/>
                <w:sz w:val="24"/>
              </w:rPr>
              <w:t>总体方案优化设计工作</w:t>
            </w:r>
          </w:p>
          <w:p>
            <w:pPr>
              <w:pStyle w:val="null3"/>
              <w:numPr>
                <w:ilvl w:val="0"/>
                <w:numId w:val="1"/>
              </w:numPr>
              <w:jc w:val="both"/>
            </w:pPr>
            <w:r>
              <w:rPr>
                <w:rFonts w:ascii="宋体" w:hAnsi="宋体" w:cs="宋体" w:eastAsia="宋体"/>
                <w:sz w:val="24"/>
              </w:rPr>
              <w:t>制定系统实施计划</w:t>
            </w:r>
          </w:p>
          <w:p>
            <w:pPr>
              <w:pStyle w:val="null3"/>
              <w:numPr>
                <w:ilvl w:val="0"/>
                <w:numId w:val="1"/>
              </w:numPr>
              <w:jc w:val="both"/>
            </w:pPr>
            <w:r>
              <w:rPr>
                <w:rFonts w:ascii="宋体" w:hAnsi="宋体" w:cs="宋体" w:eastAsia="宋体"/>
                <w:sz w:val="24"/>
              </w:rPr>
              <w:t>工程实施准备工作</w:t>
            </w:r>
          </w:p>
          <w:p>
            <w:pPr>
              <w:pStyle w:val="null3"/>
              <w:numPr>
                <w:ilvl w:val="0"/>
                <w:numId w:val="1"/>
              </w:numPr>
              <w:jc w:val="both"/>
            </w:pPr>
            <w:r>
              <w:rPr>
                <w:rFonts w:ascii="宋体" w:hAnsi="宋体" w:cs="宋体" w:eastAsia="宋体"/>
                <w:sz w:val="24"/>
              </w:rPr>
              <w:t>完成业务开通及设备安装调试</w:t>
            </w:r>
          </w:p>
          <w:p>
            <w:pPr>
              <w:pStyle w:val="null3"/>
              <w:numPr>
                <w:ilvl w:val="0"/>
                <w:numId w:val="1"/>
              </w:numPr>
              <w:jc w:val="both"/>
            </w:pPr>
            <w:r>
              <w:rPr>
                <w:rFonts w:ascii="宋体" w:hAnsi="宋体" w:cs="宋体" w:eastAsia="宋体"/>
                <w:sz w:val="24"/>
              </w:rPr>
              <w:t>项目的运行</w:t>
            </w:r>
          </w:p>
          <w:p>
            <w:pPr>
              <w:pStyle w:val="null3"/>
              <w:jc w:val="both"/>
            </w:pPr>
            <w:r>
              <w:rPr>
                <w:rFonts w:ascii="宋体" w:hAnsi="宋体" w:cs="宋体" w:eastAsia="宋体"/>
                <w:sz w:val="24"/>
              </w:rPr>
              <w:t>项</w:t>
            </w:r>
            <w:r>
              <w:rPr>
                <w:rFonts w:ascii="宋体" w:hAnsi="宋体" w:cs="宋体" w:eastAsia="宋体"/>
                <w:sz w:val="24"/>
              </w:rPr>
              <w:t>目运行周</w:t>
            </w:r>
            <w:r>
              <w:rPr>
                <w:rFonts w:ascii="宋体" w:hAnsi="宋体" w:cs="宋体" w:eastAsia="宋体"/>
                <w:sz w:val="24"/>
              </w:rPr>
              <w:t>期</w:t>
            </w:r>
            <w:r>
              <w:rPr>
                <w:rFonts w:ascii="宋体" w:hAnsi="宋体" w:cs="宋体" w:eastAsia="宋体"/>
                <w:sz w:val="24"/>
              </w:rPr>
              <w:t>：一年。</w:t>
            </w:r>
          </w:p>
          <w:p>
            <w:pPr>
              <w:pStyle w:val="null3"/>
              <w:jc w:val="both"/>
            </w:pPr>
            <w:r>
              <w:rPr>
                <w:rFonts w:ascii="宋体" w:hAnsi="宋体" w:cs="宋体" w:eastAsia="宋体"/>
                <w:sz w:val="24"/>
              </w:rPr>
              <w:t>交付规范：</w:t>
            </w:r>
          </w:p>
          <w:p>
            <w:pPr>
              <w:pStyle w:val="null3"/>
              <w:jc w:val="both"/>
            </w:pPr>
            <w:r>
              <w:rPr>
                <w:rFonts w:ascii="宋体" w:hAnsi="宋体" w:cs="宋体" w:eastAsia="宋体"/>
                <w:sz w:val="24"/>
              </w:rPr>
              <w:t>在业务开通后，线路提供商组织人员在三个工作日内上门进行业务交付，具体包括：现场端到端电路测试、现场培训、完成网络测试交付报告、配合客户完成全网联调等，同时交付包括致客户信、业务交付清单、进网保修服务卡、进网业务使用说明书在内的交付资料，使客户了解所使用的电路故障申告服务热线及常见故障处理方法等，便于客户确认计费信息。</w:t>
            </w:r>
          </w:p>
          <w:p>
            <w:pPr>
              <w:pStyle w:val="null3"/>
              <w:jc w:val="both"/>
            </w:pPr>
            <w:r>
              <w:rPr>
                <w:rFonts w:ascii="宋体" w:hAnsi="宋体" w:cs="宋体" w:eastAsia="宋体"/>
                <w:sz w:val="24"/>
              </w:rPr>
              <w:t>回访服务：</w:t>
            </w:r>
          </w:p>
          <w:p>
            <w:pPr>
              <w:pStyle w:val="null3"/>
              <w:jc w:val="both"/>
            </w:pPr>
            <w:r>
              <w:rPr>
                <w:rFonts w:ascii="宋体" w:hAnsi="宋体" w:cs="宋体" w:eastAsia="宋体"/>
                <w:sz w:val="24"/>
              </w:rPr>
              <w:t>陕西省财政厅要求的各项业务开通以后每月进行一次线路检测并提供检测报告。一月内或故障申告处理后</w:t>
            </w:r>
            <w:r>
              <w:rPr>
                <w:rFonts w:ascii="宋体" w:hAnsi="宋体" w:cs="宋体" w:eastAsia="宋体"/>
                <w:sz w:val="24"/>
              </w:rPr>
              <w:t>3日之内，要进行100%回访，及时了解陕西省财政厅进网或对故障处理的意见、存在的问题，发现陕西省财政厅不满的问题立即组织力量予以解决。要做好回访记录，作为大客户档案资料予以保存。</w:t>
            </w:r>
          </w:p>
          <w:p>
            <w:pPr>
              <w:pStyle w:val="null3"/>
              <w:jc w:val="both"/>
            </w:pPr>
            <w:r>
              <w:rPr>
                <w:rFonts w:ascii="宋体" w:hAnsi="宋体" w:cs="宋体" w:eastAsia="宋体"/>
                <w:sz w:val="24"/>
              </w:rPr>
              <w:t>回访服务岗位工作人员要礼貌回访，用语亲切、柔和，要耐心倾听客户的意见。</w:t>
            </w:r>
          </w:p>
          <w:p>
            <w:pPr>
              <w:pStyle w:val="null3"/>
              <w:jc w:val="both"/>
            </w:pPr>
            <w:r>
              <w:rPr>
                <w:rFonts w:ascii="宋体" w:hAnsi="宋体" w:cs="宋体" w:eastAsia="宋体"/>
                <w:sz w:val="24"/>
              </w:rPr>
              <w:t>回访记录分类整理之后送客户经理，由客户经理牵头处理陕西省财政厅遗留问题。</w:t>
            </w:r>
          </w:p>
          <w:p>
            <w:pPr>
              <w:pStyle w:val="null3"/>
              <w:jc w:val="both"/>
            </w:pPr>
            <w:r>
              <w:rPr>
                <w:rFonts w:ascii="宋体" w:hAnsi="宋体" w:cs="宋体" w:eastAsia="宋体"/>
                <w:sz w:val="24"/>
              </w:rPr>
              <w:t>一站服务包括：一点业务咨询、一点业务受理、一点故障申告、一点计费结算、一点技术支持。</w:t>
            </w:r>
          </w:p>
          <w:p>
            <w:pPr>
              <w:pStyle w:val="null3"/>
              <w:numPr>
                <w:ilvl w:val="0"/>
                <w:numId w:val="1"/>
              </w:numPr>
              <w:jc w:val="both"/>
            </w:pPr>
            <w:r>
              <w:rPr>
                <w:rFonts w:ascii="宋体" w:hAnsi="宋体" w:cs="宋体" w:eastAsia="宋体"/>
                <w:sz w:val="24"/>
              </w:rPr>
              <w:t>一点业务咨询</w:t>
            </w:r>
          </w:p>
          <w:p>
            <w:pPr>
              <w:pStyle w:val="null3"/>
            </w:pPr>
            <w:r>
              <w:rPr>
                <w:rFonts w:ascii="宋体" w:hAnsi="宋体" w:cs="宋体" w:eastAsia="宋体"/>
                <w:sz w:val="24"/>
              </w:rPr>
              <w:t>各级大客户服务部门均可以根据客户组网的需求，提供业务介绍、组网方案设计，编制网络应用解决方案等咨询服务。</w:t>
            </w:r>
          </w:p>
          <w:p>
            <w:pPr>
              <w:pStyle w:val="null3"/>
              <w:numPr>
                <w:ilvl w:val="0"/>
                <w:numId w:val="1"/>
              </w:numPr>
              <w:jc w:val="both"/>
            </w:pPr>
            <w:r>
              <w:rPr>
                <w:rFonts w:ascii="宋体" w:hAnsi="宋体" w:cs="宋体" w:eastAsia="宋体"/>
                <w:sz w:val="24"/>
              </w:rPr>
              <w:t>一点业务受理</w:t>
            </w:r>
          </w:p>
          <w:p>
            <w:pPr>
              <w:pStyle w:val="null3"/>
            </w:pPr>
            <w:r>
              <w:rPr>
                <w:rFonts w:ascii="宋体" w:hAnsi="宋体" w:cs="宋体" w:eastAsia="宋体"/>
                <w:sz w:val="24"/>
              </w:rPr>
              <w:t>各级大客户服务部门可以根据客户的需求，一点受理客户的全部电信业务，并组织电路调度、调测开通，在承诺的时限内完成客户的进网工作。对客户的紧急需求，可采取绿色通道，快速办理。</w:t>
            </w:r>
          </w:p>
          <w:p>
            <w:pPr>
              <w:pStyle w:val="null3"/>
              <w:numPr>
                <w:ilvl w:val="0"/>
                <w:numId w:val="1"/>
              </w:numPr>
              <w:jc w:val="both"/>
            </w:pPr>
            <w:r>
              <w:rPr>
                <w:rFonts w:ascii="宋体" w:hAnsi="宋体" w:cs="宋体" w:eastAsia="宋体"/>
                <w:sz w:val="24"/>
              </w:rPr>
              <w:t>一点故障申告</w:t>
            </w:r>
          </w:p>
          <w:p>
            <w:pPr>
              <w:pStyle w:val="null3"/>
            </w:pPr>
            <w:r>
              <w:rPr>
                <w:rFonts w:ascii="宋体" w:hAnsi="宋体" w:cs="宋体" w:eastAsia="宋体"/>
                <w:sz w:val="24"/>
              </w:rPr>
              <w:t>线路提供商为客户提供</w:t>
            </w:r>
            <w:r>
              <w:rPr>
                <w:rFonts w:ascii="宋体" w:hAnsi="宋体" w:cs="宋体" w:eastAsia="宋体"/>
                <w:sz w:val="24"/>
              </w:rPr>
              <w:t>7*24小时一点故障申告处理和投诉服务。按照“首问负责”的原则，客户可以就近向当地客户服务热线提出故障申告或投诉，以便获得更加及时的服务。同时，大客户的绿色通道及时解决客户使用网络中遇到的问题，为客户提供快速、优质响应服务。</w:t>
            </w:r>
          </w:p>
          <w:p>
            <w:pPr>
              <w:pStyle w:val="null3"/>
              <w:numPr>
                <w:ilvl w:val="0"/>
                <w:numId w:val="1"/>
              </w:numPr>
              <w:jc w:val="both"/>
            </w:pPr>
            <w:r>
              <w:rPr>
                <w:rFonts w:ascii="宋体" w:hAnsi="宋体" w:cs="宋体" w:eastAsia="宋体"/>
                <w:sz w:val="24"/>
              </w:rPr>
              <w:t>一点计费结算</w:t>
            </w:r>
          </w:p>
          <w:p>
            <w:pPr>
              <w:pStyle w:val="null3"/>
            </w:pPr>
            <w:r>
              <w:rPr>
                <w:rFonts w:ascii="宋体" w:hAnsi="宋体" w:cs="宋体" w:eastAsia="宋体"/>
                <w:sz w:val="24"/>
              </w:rPr>
              <w:t>根据客户需求，本着方便客户的原则，线路提供商为客户提供统一的计费结算服务。客户可以在合同中选择向大客户服务部门一点付费，避免在各地分散交费的烦恼。</w:t>
            </w:r>
          </w:p>
          <w:p>
            <w:pPr>
              <w:pStyle w:val="null3"/>
              <w:numPr>
                <w:ilvl w:val="0"/>
                <w:numId w:val="1"/>
              </w:numPr>
              <w:jc w:val="both"/>
            </w:pPr>
            <w:r>
              <w:rPr>
                <w:rFonts w:ascii="宋体" w:hAnsi="宋体" w:cs="宋体" w:eastAsia="宋体"/>
                <w:sz w:val="24"/>
              </w:rPr>
              <w:t>一点技术支持</w:t>
            </w:r>
          </w:p>
          <w:p>
            <w:pPr>
              <w:pStyle w:val="null3"/>
              <w:jc w:val="both"/>
            </w:pPr>
            <w:r>
              <w:rPr>
                <w:rFonts w:ascii="宋体" w:hAnsi="宋体" w:cs="宋体" w:eastAsia="宋体"/>
                <w:sz w:val="24"/>
              </w:rPr>
              <w:t>线路提供商就业务咨询、组网与网络应用、系统集成、网络代维、网络测试、故障诊断等提供全面技术支持，为每个客户量身定制个性化的整体解决方案，全面提升客户的价值。</w:t>
            </w:r>
          </w:p>
          <w:p>
            <w:pPr>
              <w:pStyle w:val="null3"/>
              <w:jc w:val="both"/>
            </w:pPr>
            <w:r>
              <w:rPr>
                <w:rFonts w:ascii="宋体" w:hAnsi="宋体" w:cs="宋体" w:eastAsia="宋体"/>
                <w:sz w:val="24"/>
              </w:rPr>
              <w:t>通信保障服务</w:t>
            </w:r>
          </w:p>
          <w:p>
            <w:pPr>
              <w:pStyle w:val="null3"/>
              <w:jc w:val="both"/>
            </w:pPr>
            <w:r>
              <w:rPr>
                <w:rFonts w:ascii="宋体" w:hAnsi="宋体" w:cs="宋体" w:eastAsia="宋体"/>
                <w:sz w:val="24"/>
              </w:rPr>
              <w:t>a.服务目标</w:t>
            </w:r>
          </w:p>
          <w:p>
            <w:pPr>
              <w:pStyle w:val="null3"/>
              <w:jc w:val="both"/>
            </w:pPr>
            <w:r>
              <w:rPr>
                <w:rFonts w:ascii="宋体" w:hAnsi="宋体" w:cs="宋体" w:eastAsia="宋体"/>
                <w:sz w:val="24"/>
              </w:rPr>
              <w:t>保障客户应用信息网络系统的可靠平稳运行。针对本次财政厅内部网络组网项目，线路提供商将在业务进行期间为财政厅提供完备的信息化建设保障服务。</w:t>
            </w:r>
          </w:p>
          <w:p>
            <w:pPr>
              <w:pStyle w:val="null3"/>
              <w:jc w:val="both"/>
            </w:pPr>
            <w:r>
              <w:rPr>
                <w:rFonts w:ascii="宋体" w:hAnsi="宋体" w:cs="宋体" w:eastAsia="宋体"/>
                <w:sz w:val="24"/>
              </w:rPr>
              <w:t>b.服务内容</w:t>
            </w:r>
          </w:p>
          <w:p>
            <w:pPr>
              <w:pStyle w:val="null3"/>
              <w:jc w:val="both"/>
            </w:pPr>
            <w:r>
              <w:rPr>
                <w:rFonts w:ascii="宋体" w:hAnsi="宋体" w:cs="宋体" w:eastAsia="宋体"/>
                <w:sz w:val="24"/>
              </w:rPr>
              <w:t>线路提供商将为财政厅内部网络提供信息化建设保障服务，财政厅内部网络在业务进行之前可向运营商提出信息化建设保障需求，客户应说明服务涉及的项目以及服务时间要求，线路提供商将制定服务保障方案并采取必要的措施保证业务的可靠平稳运行，保障服务措施包括以下几点：</w:t>
            </w:r>
          </w:p>
          <w:p>
            <w:pPr>
              <w:pStyle w:val="null3"/>
              <w:jc w:val="both"/>
            </w:pPr>
            <w:r>
              <w:rPr>
                <w:rFonts w:ascii="宋体" w:hAnsi="宋体" w:cs="宋体" w:eastAsia="宋体"/>
                <w:sz w:val="24"/>
              </w:rPr>
              <w:t>（</w:t>
            </w:r>
            <w:r>
              <w:rPr>
                <w:rFonts w:ascii="宋体" w:hAnsi="宋体" w:cs="宋体" w:eastAsia="宋体"/>
                <w:sz w:val="24"/>
              </w:rPr>
              <w:t>1）建立完备的客户档案</w:t>
            </w:r>
          </w:p>
          <w:p>
            <w:pPr>
              <w:pStyle w:val="null3"/>
              <w:jc w:val="both"/>
            </w:pPr>
            <w:r>
              <w:rPr>
                <w:rFonts w:ascii="宋体" w:hAnsi="宋体" w:cs="宋体" w:eastAsia="宋体"/>
                <w:sz w:val="24"/>
              </w:rPr>
              <w:t>线路提供商将对相应的电路、设备进行特殊标记，以保证其相关维护资料的准确性；建立详细、完备的电路资料档案、网络运行档案以及设备运行参数档案，为保证财政厅内部网络信息网络系统稳定运行提供良好的条件。</w:t>
            </w:r>
          </w:p>
          <w:p>
            <w:pPr>
              <w:pStyle w:val="null3"/>
              <w:jc w:val="both"/>
            </w:pPr>
            <w:r>
              <w:rPr>
                <w:rFonts w:ascii="宋体" w:hAnsi="宋体" w:cs="宋体" w:eastAsia="宋体"/>
                <w:sz w:val="24"/>
              </w:rPr>
              <w:t>（</w:t>
            </w:r>
            <w:r>
              <w:rPr>
                <w:rFonts w:ascii="宋体" w:hAnsi="宋体" w:cs="宋体" w:eastAsia="宋体"/>
                <w:sz w:val="24"/>
              </w:rPr>
              <w:t>2）信息网络系统保障</w:t>
            </w:r>
          </w:p>
          <w:p>
            <w:pPr>
              <w:pStyle w:val="null3"/>
              <w:jc w:val="both"/>
            </w:pPr>
            <w:r>
              <w:rPr>
                <w:rFonts w:ascii="宋体" w:hAnsi="宋体" w:cs="宋体" w:eastAsia="宋体"/>
                <w:sz w:val="24"/>
              </w:rPr>
              <w:t>线路提供商派技术过硬的员工进驻财政厅内部网络有需要的信息网络系统管理机房或现场，协助客户进行保障工作。</w:t>
            </w:r>
          </w:p>
          <w:p>
            <w:pPr>
              <w:pStyle w:val="null3"/>
              <w:jc w:val="both"/>
            </w:pPr>
            <w:r>
              <w:rPr>
                <w:rFonts w:ascii="宋体" w:hAnsi="宋体" w:cs="宋体" w:eastAsia="宋体"/>
                <w:sz w:val="24"/>
              </w:rPr>
              <w:t>（</w:t>
            </w:r>
            <w:r>
              <w:rPr>
                <w:rFonts w:ascii="宋体" w:hAnsi="宋体" w:cs="宋体" w:eastAsia="宋体"/>
                <w:sz w:val="24"/>
              </w:rPr>
              <w:t>3）应急故障处理</w:t>
            </w:r>
          </w:p>
          <w:p>
            <w:pPr>
              <w:pStyle w:val="null3"/>
              <w:jc w:val="both"/>
            </w:pPr>
            <w:r>
              <w:rPr>
                <w:rFonts w:ascii="宋体" w:hAnsi="宋体" w:cs="宋体" w:eastAsia="宋体"/>
                <w:sz w:val="24"/>
              </w:rPr>
              <w:t>为财政厅内部网络制定完善的紧急故障处理流程及应急预案，保证紧急情况下快速进行故障处理，缩短障碍处理时间和电路倒接时间。</w:t>
            </w:r>
          </w:p>
          <w:p>
            <w:pPr>
              <w:pStyle w:val="null3"/>
              <w:jc w:val="both"/>
            </w:pPr>
            <w:r>
              <w:rPr>
                <w:rFonts w:ascii="宋体" w:hAnsi="宋体" w:cs="宋体" w:eastAsia="宋体"/>
                <w:sz w:val="24"/>
              </w:rPr>
              <w:t>故障响应和处理服务</w:t>
            </w:r>
          </w:p>
          <w:p>
            <w:pPr>
              <w:pStyle w:val="null3"/>
              <w:jc w:val="both"/>
            </w:pPr>
            <w:r>
              <w:rPr>
                <w:rFonts w:ascii="宋体" w:hAnsi="宋体" w:cs="宋体" w:eastAsia="宋体"/>
                <w:sz w:val="24"/>
              </w:rPr>
              <w:t>（</w:t>
            </w:r>
            <w:r>
              <w:rPr>
                <w:rFonts w:ascii="宋体" w:hAnsi="宋体" w:cs="宋体" w:eastAsia="宋体"/>
                <w:sz w:val="24"/>
              </w:rPr>
              <w:t>1）服务目标： 实现“零时延”故障响应。通过多种方式，在最短的时间内响应并解决财政厅内部网络业务运行过程中出现的故障，最大程度的降低网络故障对财政厅内部网络各项业务产生的影响。</w:t>
            </w:r>
          </w:p>
          <w:p>
            <w:pPr>
              <w:pStyle w:val="null3"/>
              <w:jc w:val="both"/>
            </w:pPr>
            <w:r>
              <w:rPr>
                <w:rFonts w:ascii="宋体" w:hAnsi="宋体" w:cs="宋体" w:eastAsia="宋体"/>
                <w:sz w:val="24"/>
              </w:rPr>
              <w:t>（</w:t>
            </w:r>
            <w:r>
              <w:rPr>
                <w:rFonts w:ascii="宋体" w:hAnsi="宋体" w:cs="宋体" w:eastAsia="宋体"/>
                <w:sz w:val="24"/>
              </w:rPr>
              <w:t>2）服务内容</w:t>
            </w:r>
          </w:p>
          <w:p>
            <w:pPr>
              <w:pStyle w:val="null3"/>
              <w:jc w:val="both"/>
            </w:pPr>
            <w:r>
              <w:rPr>
                <w:rFonts w:ascii="宋体" w:hAnsi="宋体" w:cs="宋体" w:eastAsia="宋体"/>
                <w:sz w:val="24"/>
              </w:rPr>
              <w:t>财政厅内部网络享受运营商大客户的服务。对于财政厅内部网络在业务运行过程中出现的故障，财政厅内部网络可以通过我们的大客户服务获得更为及时的服务响应，提供</w:t>
            </w:r>
            <w:r>
              <w:rPr>
                <w:rFonts w:ascii="宋体" w:hAnsi="宋体" w:cs="宋体" w:eastAsia="宋体"/>
                <w:sz w:val="24"/>
              </w:rPr>
              <w:t>7*24的不间断服务。为使财政厅内部网络获得更加及时的服务。</w:t>
            </w:r>
          </w:p>
          <w:p>
            <w:pPr>
              <w:pStyle w:val="null3"/>
              <w:jc w:val="both"/>
            </w:pPr>
            <w:r>
              <w:rPr>
                <w:rFonts w:ascii="宋体" w:hAnsi="宋体" w:cs="宋体" w:eastAsia="宋体"/>
                <w:sz w:val="24"/>
              </w:rPr>
              <w:t>（</w:t>
            </w:r>
            <w:r>
              <w:rPr>
                <w:rFonts w:ascii="宋体" w:hAnsi="宋体" w:cs="宋体" w:eastAsia="宋体"/>
                <w:sz w:val="24"/>
              </w:rPr>
              <w:t>3）故障申告方式</w:t>
            </w:r>
          </w:p>
          <w:p>
            <w:pPr>
              <w:pStyle w:val="null3"/>
              <w:jc w:val="both"/>
            </w:pPr>
            <w:r>
              <w:rPr>
                <w:rFonts w:ascii="宋体" w:hAnsi="宋体" w:cs="宋体" w:eastAsia="宋体"/>
                <w:sz w:val="24"/>
              </w:rPr>
              <w:t>财政厅内部网络可选择以下任何一种方式向运营商申告，针对不同等级的网络故障，采用不同的处理方式，并有相应的处理流程提供保证，直到客户满意为止。</w:t>
            </w:r>
          </w:p>
          <w:p>
            <w:pPr>
              <w:pStyle w:val="null3"/>
              <w:jc w:val="both"/>
            </w:pPr>
            <w:r>
              <w:rPr>
                <w:rFonts w:ascii="宋体" w:hAnsi="宋体" w:cs="宋体" w:eastAsia="宋体"/>
                <w:sz w:val="24"/>
              </w:rPr>
              <w:t>全省性故障或复杂、重大故障，财政厅内部网络可以直接拨打绿色通道电话，为财政厅内部网络提供全程联动的故障处理机制，缩短故障历时，并将处理情况反馈给客户。</w:t>
            </w:r>
          </w:p>
          <w:p>
            <w:pPr>
              <w:pStyle w:val="null3"/>
              <w:jc w:val="both"/>
            </w:pPr>
            <w:r>
              <w:rPr>
                <w:rFonts w:ascii="宋体" w:hAnsi="宋体" w:cs="宋体" w:eastAsia="宋体"/>
                <w:sz w:val="24"/>
              </w:rPr>
              <w:t>如果客户确定故障属于局部地域的本地故障，为方便故障的及时处理，当地的财政局可直接向当地服务热线申告。</w:t>
            </w:r>
          </w:p>
          <w:p>
            <w:pPr>
              <w:pStyle w:val="null3"/>
              <w:jc w:val="both"/>
            </w:pPr>
            <w:r>
              <w:rPr>
                <w:rFonts w:ascii="宋体" w:hAnsi="宋体" w:cs="宋体" w:eastAsia="宋体"/>
                <w:sz w:val="24"/>
              </w:rPr>
              <w:t>如果客户认为故障原因和地域无法判明，或与服务热线沟通有困难，可以选择向您的客户经理申告故障，由他代向有关部门申告故障，并全程协调解决，将解决情况告之客户。</w:t>
            </w:r>
          </w:p>
          <w:p>
            <w:pPr>
              <w:pStyle w:val="null3"/>
              <w:jc w:val="both"/>
            </w:pPr>
            <w:r>
              <w:rPr>
                <w:rFonts w:ascii="宋体" w:hAnsi="宋体" w:cs="宋体" w:eastAsia="宋体"/>
                <w:sz w:val="24"/>
              </w:rPr>
              <w:t>上述客户服务热线均提供</w:t>
            </w:r>
            <w:r>
              <w:rPr>
                <w:rFonts w:ascii="宋体" w:hAnsi="宋体" w:cs="宋体" w:eastAsia="宋体"/>
                <w:sz w:val="24"/>
              </w:rPr>
              <w:t>7*24的不间断服务。</w:t>
            </w:r>
          </w:p>
          <w:p>
            <w:pPr>
              <w:pStyle w:val="null3"/>
              <w:jc w:val="both"/>
            </w:pPr>
            <w:r>
              <w:rPr>
                <w:rFonts w:ascii="宋体" w:hAnsi="宋体" w:cs="宋体" w:eastAsia="宋体"/>
                <w:sz w:val="24"/>
              </w:rPr>
              <w:t>（</w:t>
            </w:r>
            <w:r>
              <w:rPr>
                <w:rFonts w:ascii="宋体" w:hAnsi="宋体" w:cs="宋体" w:eastAsia="宋体"/>
                <w:sz w:val="24"/>
              </w:rPr>
              <w:t>4）故障处理流程</w:t>
            </w:r>
          </w:p>
          <w:p>
            <w:pPr>
              <w:pStyle w:val="null3"/>
              <w:jc w:val="both"/>
            </w:pPr>
            <w:r>
              <w:rPr>
                <w:rFonts w:ascii="宋体" w:hAnsi="宋体" w:cs="宋体" w:eastAsia="宋体"/>
                <w:sz w:val="24"/>
              </w:rPr>
              <w:t>线路提供商承诺为财政厅广域网网络提供</w:t>
            </w:r>
            <w:r>
              <w:rPr>
                <w:rFonts w:ascii="宋体" w:hAnsi="宋体" w:cs="宋体" w:eastAsia="宋体"/>
                <w:sz w:val="24"/>
              </w:rPr>
              <w:t>7*24小时的不间断服务。在接到财政厅广域网络申告电话后，10分钟内给予故障申告响应回复，同城4小时内解决问题，异地6小时解决问题。</w:t>
            </w:r>
          </w:p>
          <w:p>
            <w:pPr>
              <w:pStyle w:val="null3"/>
              <w:jc w:val="both"/>
            </w:pPr>
            <w:r>
              <w:rPr>
                <w:rFonts w:ascii="宋体" w:hAnsi="宋体" w:cs="宋体" w:eastAsia="宋体"/>
                <w:sz w:val="24"/>
              </w:rPr>
              <w:t>6、项目验收标准：按照陕西省财政厅网络安全和信息化项目验收管理暂行办法执行。</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标的名称：互联网出口线路租赁项目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rPr>
              <w:t>1、项目功能：互联网出口线路一条，带宽为千兆。</w:t>
            </w:r>
          </w:p>
          <w:p>
            <w:pPr>
              <w:pStyle w:val="null3"/>
              <w:jc w:val="both"/>
            </w:pPr>
            <w:r>
              <w:rPr>
                <w:rFonts w:ascii="宋体" w:hAnsi="宋体" w:cs="宋体" w:eastAsia="宋体"/>
                <w:sz w:val="24"/>
              </w:rPr>
              <w:t>2、</w:t>
            </w:r>
            <w:r>
              <w:rPr>
                <w:rFonts w:ascii="宋体" w:hAnsi="宋体" w:cs="宋体" w:eastAsia="宋体"/>
                <w:sz w:val="24"/>
              </w:rPr>
              <w:t>项目运行周期</w:t>
            </w:r>
            <w:r>
              <w:rPr>
                <w:rFonts w:ascii="宋体" w:hAnsi="宋体" w:cs="宋体" w:eastAsia="宋体"/>
                <w:sz w:val="24"/>
              </w:rPr>
              <w:t>：一年</w:t>
            </w:r>
            <w:r>
              <w:rPr>
                <w:rFonts w:ascii="宋体" w:hAnsi="宋体" w:cs="宋体" w:eastAsia="宋体"/>
                <w:sz w:val="24"/>
              </w:rPr>
              <w:t>.</w:t>
            </w:r>
          </w:p>
          <w:p>
            <w:pPr>
              <w:pStyle w:val="null3"/>
              <w:jc w:val="both"/>
            </w:pPr>
            <w:r>
              <w:rPr>
                <w:rFonts w:ascii="宋体" w:hAnsi="宋体" w:cs="宋体" w:eastAsia="宋体"/>
                <w:sz w:val="24"/>
              </w:rPr>
              <w:t>3、</w:t>
            </w:r>
            <w:r>
              <w:rPr>
                <w:rFonts w:ascii="宋体" w:hAnsi="宋体" w:cs="宋体" w:eastAsia="宋体"/>
                <w:sz w:val="24"/>
              </w:rPr>
              <w:t>项目地点</w:t>
            </w:r>
            <w:r>
              <w:rPr>
                <w:rFonts w:ascii="宋体" w:hAnsi="宋体" w:cs="宋体" w:eastAsia="宋体"/>
                <w:sz w:val="24"/>
              </w:rPr>
              <w:t>：陕西省财政厅</w:t>
            </w:r>
          </w:p>
          <w:p>
            <w:pPr>
              <w:pStyle w:val="null3"/>
              <w:jc w:val="both"/>
            </w:pPr>
            <w:r>
              <w:rPr>
                <w:rFonts w:ascii="宋体" w:hAnsi="宋体" w:cs="宋体" w:eastAsia="宋体"/>
                <w:sz w:val="24"/>
              </w:rPr>
              <w:t>4、项目技术需求：</w:t>
            </w:r>
          </w:p>
          <w:p>
            <w:pPr>
              <w:pStyle w:val="null3"/>
              <w:jc w:val="both"/>
            </w:pPr>
            <w:r>
              <w:rPr>
                <w:rFonts w:ascii="宋体" w:hAnsi="宋体" w:cs="宋体" w:eastAsia="宋体"/>
                <w:sz w:val="24"/>
              </w:rPr>
              <w:t>4.1、互联网出口线路具体技术参数要求</w:t>
            </w:r>
          </w:p>
          <w:tbl>
            <w:tblPr>
              <w:tblInd w:type="dxa" w:w="120"/>
              <w:tblBorders>
                <w:top w:val="none" w:color="000000" w:sz="4"/>
                <w:left w:val="none" w:color="000000" w:sz="4"/>
                <w:bottom w:val="none" w:color="000000" w:sz="4"/>
                <w:right w:val="none" w:color="000000" w:sz="4"/>
                <w:insideH w:val="none"/>
                <w:insideV w:val="none"/>
              </w:tblBorders>
            </w:tblPr>
            <w:tblGrid>
              <w:gridCol w:w="195"/>
              <w:gridCol w:w="195"/>
              <w:gridCol w:w="744"/>
              <w:gridCol w:w="770"/>
              <w:gridCol w:w="639"/>
            </w:tblGrid>
            <w:tr>
              <w:tc>
                <w:tcPr>
                  <w:tcW w:type="dxa" w:w="2543"/>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互联网光纤技术规范要求</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9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线路</w:t>
                  </w:r>
                </w:p>
              </w:tc>
              <w:tc>
                <w:tcPr>
                  <w:tcW w:type="dxa" w:w="7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接入</w:t>
                  </w:r>
                </w:p>
              </w:tc>
              <w:tc>
                <w:tcPr>
                  <w:tcW w:type="dxa" w:w="7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互联网光纤专线</w:t>
                  </w:r>
                </w:p>
              </w:tc>
              <w:tc>
                <w:tcPr>
                  <w:tcW w:type="dxa" w:w="6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说明</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95"/>
                  <w:vMerge/>
                  <w:tcBorders>
                    <w:top w:val="single" w:color="000000" w:sz="4"/>
                    <w:left w:val="none" w:color="000000" w:sz="4"/>
                    <w:bottom w:val="single" w:color="000000" w:sz="4"/>
                    <w:right w:val="single" w:color="000000" w:sz="4"/>
                  </w:tcBorders>
                </w:tcPr>
                <w:p/>
              </w:tc>
              <w:tc>
                <w:tcPr>
                  <w:tcW w:type="dxa" w:w="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带宽</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1000M</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见线路明细</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95"/>
                  <w:vMerge/>
                  <w:tcBorders>
                    <w:top w:val="single" w:color="000000" w:sz="4"/>
                    <w:left w:val="none" w:color="000000" w:sz="4"/>
                    <w:bottom w:val="single" w:color="000000" w:sz="4"/>
                    <w:right w:val="single" w:color="000000" w:sz="4"/>
                  </w:tcBorders>
                </w:tcPr>
                <w:p/>
              </w:tc>
              <w:tc>
                <w:tcPr>
                  <w:tcW w:type="dxa" w:w="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接口</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IEEE 802.3z Ethernet</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光口</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95"/>
                  <w:vMerge/>
                  <w:tcBorders>
                    <w:top w:val="single" w:color="000000" w:sz="4"/>
                    <w:left w:val="none" w:color="000000" w:sz="4"/>
                    <w:bottom w:val="single" w:color="000000" w:sz="4"/>
                    <w:right w:val="single" w:color="000000" w:sz="4"/>
                  </w:tcBorders>
                </w:tcPr>
                <w:p/>
              </w:tc>
              <w:tc>
                <w:tcPr>
                  <w:tcW w:type="dxa" w:w="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IP地址</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64个固定地址</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供应商应有保证本项目业务系统连续性的解决方案</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195"/>
                  <w:vMerge/>
                  <w:tcBorders>
                    <w:top w:val="single" w:color="000000" w:sz="4"/>
                    <w:left w:val="none" w:color="000000" w:sz="4"/>
                    <w:bottom w:val="single" w:color="000000" w:sz="4"/>
                    <w:right w:val="single" w:color="000000" w:sz="4"/>
                  </w:tcBorders>
                </w:tcPr>
                <w:p/>
              </w:tc>
              <w:tc>
                <w:tcPr>
                  <w:tcW w:type="dxa" w:w="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接口实测速率</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≥接口理论速率×90%</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195"/>
                  <w:vMerge/>
                  <w:tcBorders>
                    <w:top w:val="single" w:color="000000" w:sz="4"/>
                    <w:left w:val="none" w:color="000000" w:sz="4"/>
                    <w:bottom w:val="single" w:color="000000" w:sz="4"/>
                    <w:right w:val="single" w:color="000000" w:sz="4"/>
                  </w:tcBorders>
                </w:tcPr>
                <w:p/>
              </w:tc>
              <w:tc>
                <w:tcPr>
                  <w:tcW w:type="dxa" w:w="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上下行速率差</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上行速率</w:t>
                  </w:r>
                  <w:r>
                    <w:rPr>
                      <w:rFonts w:ascii="宋体" w:hAnsi="宋体" w:cs="宋体" w:eastAsia="宋体"/>
                      <w:sz w:val="24"/>
                    </w:rPr>
                    <w:t>≥下行速率×99%</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195"/>
                  <w:vMerge/>
                  <w:tcBorders>
                    <w:top w:val="single" w:color="000000" w:sz="4"/>
                    <w:left w:val="none" w:color="000000" w:sz="4"/>
                    <w:bottom w:val="single" w:color="000000" w:sz="4"/>
                    <w:right w:val="single" w:color="000000" w:sz="4"/>
                  </w:tcBorders>
                </w:tcPr>
                <w:p/>
              </w:tc>
              <w:tc>
                <w:tcPr>
                  <w:tcW w:type="dxa" w:w="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年中断次数</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≤4</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195"/>
                  <w:vMerge/>
                  <w:tcBorders>
                    <w:top w:val="single" w:color="000000" w:sz="4"/>
                    <w:left w:val="none" w:color="000000" w:sz="4"/>
                    <w:bottom w:val="single" w:color="000000" w:sz="4"/>
                    <w:right w:val="single" w:color="000000" w:sz="4"/>
                  </w:tcBorders>
                </w:tcPr>
                <w:p/>
              </w:tc>
              <w:tc>
                <w:tcPr>
                  <w:tcW w:type="dxa" w:w="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每次中断时间</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w:t>
                  </w:r>
                  <w:r>
                    <w:rPr>
                      <w:rFonts w:ascii="宋体" w:hAnsi="宋体" w:cs="宋体" w:eastAsia="宋体"/>
                      <w:sz w:val="24"/>
                    </w:rPr>
                    <w:t>4h</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195"/>
                  <w:vMerge/>
                  <w:tcBorders>
                    <w:top w:val="single" w:color="000000" w:sz="4"/>
                    <w:left w:val="none" w:color="000000" w:sz="4"/>
                    <w:bottom w:val="single" w:color="000000" w:sz="4"/>
                    <w:right w:val="single" w:color="000000" w:sz="4"/>
                  </w:tcBorders>
                </w:tcPr>
                <w:p/>
              </w:tc>
              <w:tc>
                <w:tcPr>
                  <w:tcW w:type="dxa" w:w="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线路接入要求</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要求从运营商就近节点布放两条不同物理路由光缆接入省财政厅机房。</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两条双路由光纤通过光倒换设备实现光路的自动保护</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设备</w:t>
                  </w:r>
                </w:p>
              </w:tc>
              <w:tc>
                <w:tcPr>
                  <w:tcW w:type="dxa" w:w="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光倒换设备</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要求倒换时间</w:t>
                  </w:r>
                  <w:r>
                    <w:rPr>
                      <w:rFonts w:ascii="宋体" w:hAnsi="宋体" w:cs="宋体" w:eastAsia="宋体"/>
                      <w:sz w:val="24"/>
                    </w:rPr>
                    <w:t>≤50m</w:t>
                  </w:r>
                  <w:r>
                    <w:rPr>
                      <w:rFonts w:ascii="宋体" w:hAnsi="宋体" w:cs="宋体" w:eastAsia="宋体"/>
                      <w:sz w:val="24"/>
                    </w:rPr>
                    <w:t>s</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服务</w:t>
                  </w:r>
                </w:p>
              </w:tc>
              <w:tc>
                <w:tcPr>
                  <w:tcW w:type="dxa" w:w="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故障处理时间</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响应时间</w:t>
                  </w:r>
                  <w:r>
                    <w:rPr>
                      <w:rFonts w:ascii="宋体" w:hAnsi="宋体" w:cs="宋体" w:eastAsia="宋体"/>
                      <w:sz w:val="24"/>
                    </w:rPr>
                    <w:t>≤2h</w:t>
                  </w:r>
                </w:p>
                <w:p>
                  <w:pPr>
                    <w:pStyle w:val="null3"/>
                    <w:jc w:val="both"/>
                  </w:pPr>
                  <w:r>
                    <w:rPr>
                      <w:rFonts w:ascii="宋体" w:hAnsi="宋体" w:cs="宋体" w:eastAsia="宋体"/>
                      <w:sz w:val="24"/>
                    </w:rPr>
                    <w:t>排除时间</w:t>
                  </w:r>
                  <w:r>
                    <w:rPr>
                      <w:rFonts w:ascii="宋体" w:hAnsi="宋体" w:cs="宋体" w:eastAsia="宋体"/>
                      <w:sz w:val="24"/>
                    </w:rPr>
                    <w:t>≤4h</w:t>
                  </w:r>
                </w:p>
              </w:tc>
              <w:tc>
                <w:tcPr>
                  <w:tcW w:type="dxa" w:w="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rFonts w:ascii="宋体" w:hAnsi="宋体" w:cs="宋体" w:eastAsia="宋体"/>
                <w:sz w:val="24"/>
              </w:rPr>
              <w:t>4.2、互联网出口线路服务内容：</w:t>
            </w:r>
          </w:p>
          <w:tbl>
            <w:tblPr>
              <w:tblInd w:type="dxa" w:w="210"/>
              <w:tblBorders>
                <w:top w:val="none" w:color="000000" w:sz="4"/>
                <w:left w:val="none" w:color="000000" w:sz="4"/>
                <w:bottom w:val="none" w:color="000000" w:sz="4"/>
                <w:right w:val="none" w:color="000000" w:sz="4"/>
                <w:insideH w:val="none"/>
                <w:insideV w:val="none"/>
              </w:tblBorders>
            </w:tblPr>
            <w:tblGrid>
              <w:gridCol w:w="388"/>
              <w:gridCol w:w="846"/>
              <w:gridCol w:w="840"/>
              <w:gridCol w:w="471"/>
            </w:tblGrid>
            <w:tr>
              <w:tc>
                <w:tcPr>
                  <w:tcW w:type="dxa" w:w="3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序号</w:t>
                  </w:r>
                </w:p>
              </w:tc>
              <w:tc>
                <w:tcPr>
                  <w:tcW w:type="dxa" w:w="8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线路名称</w:t>
                  </w:r>
                </w:p>
              </w:tc>
              <w:tc>
                <w:tcPr>
                  <w:tcW w:type="dxa" w:w="8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带宽</w:t>
                  </w:r>
                </w:p>
              </w:tc>
              <w:tc>
                <w:tcPr>
                  <w:tcW w:type="dxa" w:w="4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数量</w:t>
                  </w:r>
                  <w:r>
                    <w:rPr>
                      <w:rFonts w:ascii="宋体" w:hAnsi="宋体" w:cs="宋体" w:eastAsia="宋体"/>
                      <w:sz w:val="24"/>
                    </w:rPr>
                    <w:t>/条</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互联网光纤线路</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1000M</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r>
          </w:tbl>
          <w:p>
            <w:pPr>
              <w:pStyle w:val="null3"/>
              <w:jc w:val="both"/>
            </w:pPr>
            <w:r>
              <w:rPr>
                <w:rFonts w:ascii="宋体" w:hAnsi="宋体" w:cs="宋体" w:eastAsia="宋体"/>
                <w:sz w:val="24"/>
              </w:rPr>
              <w:t>5、线路服务要求：</w:t>
            </w:r>
          </w:p>
          <w:p>
            <w:pPr>
              <w:pStyle w:val="null3"/>
              <w:numPr>
                <w:ilvl w:val="0"/>
                <w:numId w:val="1"/>
              </w:numPr>
              <w:jc w:val="both"/>
            </w:pPr>
            <w:r>
              <w:rPr>
                <w:rFonts w:ascii="宋体" w:hAnsi="宋体" w:cs="宋体" w:eastAsia="宋体"/>
                <w:sz w:val="24"/>
              </w:rPr>
              <w:t>合同签订与设备采购</w:t>
            </w:r>
          </w:p>
          <w:p>
            <w:pPr>
              <w:pStyle w:val="null3"/>
              <w:numPr>
                <w:ilvl w:val="0"/>
                <w:numId w:val="1"/>
              </w:numPr>
              <w:jc w:val="both"/>
            </w:pPr>
            <w:r>
              <w:rPr>
                <w:rFonts w:ascii="宋体" w:hAnsi="宋体" w:cs="宋体" w:eastAsia="宋体"/>
                <w:sz w:val="24"/>
              </w:rPr>
              <w:t>业务开通准备</w:t>
            </w:r>
          </w:p>
          <w:p>
            <w:pPr>
              <w:pStyle w:val="null3"/>
              <w:numPr>
                <w:ilvl w:val="0"/>
                <w:numId w:val="1"/>
              </w:numPr>
              <w:jc w:val="both"/>
            </w:pPr>
            <w:r>
              <w:rPr>
                <w:rFonts w:ascii="宋体" w:hAnsi="宋体" w:cs="宋体" w:eastAsia="宋体"/>
                <w:sz w:val="24"/>
              </w:rPr>
              <w:t>总体方案优化设计工作</w:t>
            </w:r>
          </w:p>
          <w:p>
            <w:pPr>
              <w:pStyle w:val="null3"/>
              <w:numPr>
                <w:ilvl w:val="0"/>
                <w:numId w:val="1"/>
              </w:numPr>
              <w:jc w:val="both"/>
            </w:pPr>
            <w:r>
              <w:rPr>
                <w:rFonts w:ascii="宋体" w:hAnsi="宋体" w:cs="宋体" w:eastAsia="宋体"/>
                <w:sz w:val="24"/>
              </w:rPr>
              <w:t>制定系统实施计划</w:t>
            </w:r>
          </w:p>
          <w:p>
            <w:pPr>
              <w:pStyle w:val="null3"/>
              <w:numPr>
                <w:ilvl w:val="0"/>
                <w:numId w:val="1"/>
              </w:numPr>
              <w:jc w:val="both"/>
            </w:pPr>
            <w:r>
              <w:rPr>
                <w:rFonts w:ascii="宋体" w:hAnsi="宋体" w:cs="宋体" w:eastAsia="宋体"/>
                <w:sz w:val="24"/>
              </w:rPr>
              <w:t>工程实施准备工作</w:t>
            </w:r>
          </w:p>
          <w:p>
            <w:pPr>
              <w:pStyle w:val="null3"/>
              <w:numPr>
                <w:ilvl w:val="0"/>
                <w:numId w:val="1"/>
              </w:numPr>
              <w:jc w:val="both"/>
            </w:pPr>
            <w:r>
              <w:rPr>
                <w:rFonts w:ascii="宋体" w:hAnsi="宋体" w:cs="宋体" w:eastAsia="宋体"/>
                <w:sz w:val="24"/>
              </w:rPr>
              <w:t>完成业务开通及设备安装调试</w:t>
            </w:r>
          </w:p>
          <w:p>
            <w:pPr>
              <w:pStyle w:val="null3"/>
              <w:numPr>
                <w:ilvl w:val="0"/>
                <w:numId w:val="1"/>
              </w:numPr>
              <w:jc w:val="both"/>
            </w:pPr>
            <w:r>
              <w:rPr>
                <w:rFonts w:ascii="宋体" w:hAnsi="宋体" w:cs="宋体" w:eastAsia="宋体"/>
                <w:sz w:val="24"/>
              </w:rPr>
              <w:t>项目的运行</w:t>
            </w:r>
          </w:p>
          <w:p>
            <w:pPr>
              <w:pStyle w:val="null3"/>
              <w:jc w:val="both"/>
            </w:pPr>
            <w:r>
              <w:rPr>
                <w:rFonts w:ascii="宋体" w:hAnsi="宋体" w:cs="宋体" w:eastAsia="宋体"/>
                <w:sz w:val="24"/>
              </w:rPr>
              <w:t>项目</w:t>
            </w:r>
            <w:r>
              <w:rPr>
                <w:rFonts w:ascii="宋体" w:hAnsi="宋体" w:cs="宋体" w:eastAsia="宋体"/>
                <w:sz w:val="24"/>
              </w:rPr>
              <w:t>运行</w:t>
            </w:r>
            <w:r>
              <w:rPr>
                <w:rFonts w:ascii="宋体" w:hAnsi="宋体" w:cs="宋体" w:eastAsia="宋体"/>
                <w:sz w:val="24"/>
              </w:rPr>
              <w:t>周期</w:t>
            </w:r>
            <w:r>
              <w:rPr>
                <w:rFonts w:ascii="宋体" w:hAnsi="宋体" w:cs="宋体" w:eastAsia="宋体"/>
                <w:sz w:val="24"/>
              </w:rPr>
              <w:t>：一年。</w:t>
            </w:r>
          </w:p>
          <w:p>
            <w:pPr>
              <w:pStyle w:val="null3"/>
              <w:jc w:val="both"/>
            </w:pPr>
            <w:r>
              <w:rPr>
                <w:rFonts w:ascii="宋体" w:hAnsi="宋体" w:cs="宋体" w:eastAsia="宋体"/>
                <w:sz w:val="24"/>
              </w:rPr>
              <w:t>交付规范：</w:t>
            </w:r>
          </w:p>
          <w:p>
            <w:pPr>
              <w:pStyle w:val="null3"/>
              <w:ind w:firstLine="480"/>
              <w:jc w:val="both"/>
            </w:pPr>
            <w:r>
              <w:rPr>
                <w:rFonts w:ascii="宋体" w:hAnsi="宋体" w:cs="宋体" w:eastAsia="宋体"/>
                <w:sz w:val="24"/>
              </w:rPr>
              <w:t>在业务开通后，线路提供商组织人员在三个工作日内上门进行业务交付，具体包括：现场端到端电路测试、现场培训、完成网络测试交付报告、配合客户完成全网联调等，同时交付包括致客户信、业务交付清单、进网保修服务卡、进网业务使用说明书在内的交付资料，使客户了解所使用的电路故障申告服务热线及常见故障处理方法等，便于客户确认计费信息。</w:t>
            </w:r>
          </w:p>
          <w:p>
            <w:pPr>
              <w:pStyle w:val="null3"/>
              <w:jc w:val="both"/>
            </w:pPr>
            <w:r>
              <w:rPr>
                <w:rFonts w:ascii="宋体" w:hAnsi="宋体" w:cs="宋体" w:eastAsia="宋体"/>
                <w:sz w:val="24"/>
              </w:rPr>
              <w:t>回访服务：</w:t>
            </w:r>
          </w:p>
          <w:p>
            <w:pPr>
              <w:pStyle w:val="null3"/>
              <w:ind w:firstLine="480"/>
              <w:jc w:val="both"/>
            </w:pPr>
            <w:r>
              <w:rPr>
                <w:rFonts w:ascii="宋体" w:hAnsi="宋体" w:cs="宋体" w:eastAsia="宋体"/>
                <w:sz w:val="24"/>
              </w:rPr>
              <w:t>陕西省财政厅要求的各项业务开通以后每月进行一次线路检测并提供检测报告。一月内或故障申告处理后</w:t>
            </w:r>
            <w:r>
              <w:rPr>
                <w:rFonts w:ascii="宋体" w:hAnsi="宋体" w:cs="宋体" w:eastAsia="宋体"/>
                <w:sz w:val="24"/>
              </w:rPr>
              <w:t>3日之内，要进行100%回访，及时了解陕西省财政厅进网或对故障处理的意见、存在的问题，发现陕西省财政厅不满的问题立即组织力量予以解决。要做好回访记录，作为大客户档案资料予以保存。</w:t>
            </w:r>
          </w:p>
          <w:p>
            <w:pPr>
              <w:pStyle w:val="null3"/>
              <w:jc w:val="both"/>
            </w:pPr>
            <w:r>
              <w:rPr>
                <w:rFonts w:ascii="宋体" w:hAnsi="宋体" w:cs="宋体" w:eastAsia="宋体"/>
                <w:sz w:val="24"/>
              </w:rPr>
              <w:t>回访服务岗位工作人员要礼貌回访，用语亲切、柔和，要耐心倾听客户的意见。</w:t>
            </w:r>
          </w:p>
          <w:p>
            <w:pPr>
              <w:pStyle w:val="null3"/>
              <w:jc w:val="both"/>
            </w:pPr>
            <w:r>
              <w:rPr>
                <w:rFonts w:ascii="宋体" w:hAnsi="宋体" w:cs="宋体" w:eastAsia="宋体"/>
                <w:sz w:val="24"/>
              </w:rPr>
              <w:t>回访记录分类整理之后送客户经理，由客户经理牵头处理陕西省财政厅遗留问题。</w:t>
            </w:r>
          </w:p>
          <w:p>
            <w:pPr>
              <w:pStyle w:val="null3"/>
              <w:ind w:firstLine="480"/>
              <w:jc w:val="both"/>
            </w:pPr>
            <w:r>
              <w:rPr>
                <w:rFonts w:ascii="宋体" w:hAnsi="宋体" w:cs="宋体" w:eastAsia="宋体"/>
                <w:sz w:val="24"/>
              </w:rPr>
              <w:t>一站服务包括：一点业务咨询、一点业务受理、一点故障申告、一点计费结算、一点技术支持。</w:t>
            </w:r>
          </w:p>
          <w:p>
            <w:pPr>
              <w:pStyle w:val="null3"/>
              <w:numPr>
                <w:ilvl w:val="0"/>
                <w:numId w:val="1"/>
              </w:numPr>
              <w:jc w:val="both"/>
            </w:pPr>
            <w:r>
              <w:rPr>
                <w:rFonts w:ascii="宋体" w:hAnsi="宋体" w:cs="宋体" w:eastAsia="宋体"/>
                <w:sz w:val="24"/>
              </w:rPr>
              <w:t>一点业务咨询</w:t>
            </w:r>
          </w:p>
          <w:p>
            <w:pPr>
              <w:pStyle w:val="null3"/>
              <w:ind w:left="480" w:firstLine="240"/>
              <w:jc w:val="both"/>
            </w:pPr>
            <w:r>
              <w:rPr>
                <w:rFonts w:ascii="宋体" w:hAnsi="宋体" w:cs="宋体" w:eastAsia="宋体"/>
                <w:sz w:val="24"/>
              </w:rPr>
              <w:t>各级大客户服务部门均可以根据客户组网的需求，提供业务介绍、组网方案设计，编制网络应用解决方案等咨询服务。</w:t>
            </w:r>
          </w:p>
          <w:p>
            <w:pPr>
              <w:pStyle w:val="null3"/>
              <w:numPr>
                <w:ilvl w:val="0"/>
                <w:numId w:val="1"/>
              </w:numPr>
              <w:jc w:val="both"/>
            </w:pPr>
            <w:r>
              <w:rPr>
                <w:rFonts w:ascii="宋体" w:hAnsi="宋体" w:cs="宋体" w:eastAsia="宋体"/>
                <w:sz w:val="24"/>
              </w:rPr>
              <w:t>一点业务受理</w:t>
            </w:r>
          </w:p>
          <w:p>
            <w:pPr>
              <w:pStyle w:val="null3"/>
              <w:ind w:left="480" w:firstLine="480"/>
              <w:jc w:val="both"/>
            </w:pPr>
            <w:r>
              <w:rPr>
                <w:rFonts w:ascii="宋体" w:hAnsi="宋体" w:cs="宋体" w:eastAsia="宋体"/>
                <w:sz w:val="24"/>
              </w:rPr>
              <w:t>各级大客户服务部门可以根据客户的需求，一点受理客户的全部电信业务，并组织电路调度、调测开通，在承诺的时限内完成客户的进网工作。对客户的紧急需求，可采取绿色通道，快速办理。</w:t>
            </w:r>
          </w:p>
          <w:p>
            <w:pPr>
              <w:pStyle w:val="null3"/>
              <w:numPr>
                <w:ilvl w:val="0"/>
                <w:numId w:val="1"/>
              </w:numPr>
              <w:jc w:val="both"/>
            </w:pPr>
            <w:r>
              <w:rPr>
                <w:rFonts w:ascii="宋体" w:hAnsi="宋体" w:cs="宋体" w:eastAsia="宋体"/>
                <w:sz w:val="24"/>
              </w:rPr>
              <w:t>一点故障申告</w:t>
            </w:r>
          </w:p>
          <w:p>
            <w:pPr>
              <w:pStyle w:val="null3"/>
              <w:ind w:left="480" w:firstLine="480"/>
              <w:jc w:val="both"/>
            </w:pPr>
            <w:r>
              <w:rPr>
                <w:rFonts w:ascii="宋体" w:hAnsi="宋体" w:cs="宋体" w:eastAsia="宋体"/>
                <w:sz w:val="24"/>
              </w:rPr>
              <w:t>线路提供商为客户提供</w:t>
            </w:r>
            <w:r>
              <w:rPr>
                <w:rFonts w:ascii="宋体" w:hAnsi="宋体" w:cs="宋体" w:eastAsia="宋体"/>
                <w:sz w:val="24"/>
              </w:rPr>
              <w:t>7*24小时一点故障申告处理和投诉服务。按照“首问负责”的原则，客户可以就近向当地客户服务热线提出故障申告或投诉，以便获得更加及时的服务。同时，大客户的绿色通道及时解决客户使用网络中遇到的问题，为客户提供快速、优质响应服务。</w:t>
            </w:r>
          </w:p>
          <w:p>
            <w:pPr>
              <w:pStyle w:val="null3"/>
              <w:numPr>
                <w:ilvl w:val="0"/>
                <w:numId w:val="1"/>
              </w:numPr>
              <w:jc w:val="both"/>
            </w:pPr>
            <w:r>
              <w:rPr>
                <w:rFonts w:ascii="宋体" w:hAnsi="宋体" w:cs="宋体" w:eastAsia="宋体"/>
                <w:sz w:val="24"/>
              </w:rPr>
              <w:t>一点计费结算</w:t>
            </w:r>
          </w:p>
          <w:p>
            <w:pPr>
              <w:pStyle w:val="null3"/>
              <w:ind w:left="480" w:firstLine="480"/>
              <w:jc w:val="both"/>
            </w:pPr>
            <w:r>
              <w:rPr>
                <w:rFonts w:ascii="宋体" w:hAnsi="宋体" w:cs="宋体" w:eastAsia="宋体"/>
                <w:sz w:val="24"/>
              </w:rPr>
              <w:t>根据客户需求，本着方便客户的原则，线路提供商为客户提供统一的计费结算服务。客户可以在合同中选择向大客户服务部门一点付费，避免在各地分散交费的烦恼。</w:t>
            </w:r>
          </w:p>
          <w:p>
            <w:pPr>
              <w:pStyle w:val="null3"/>
              <w:numPr>
                <w:ilvl w:val="0"/>
                <w:numId w:val="1"/>
              </w:numPr>
              <w:jc w:val="both"/>
            </w:pPr>
            <w:r>
              <w:rPr>
                <w:rFonts w:ascii="宋体" w:hAnsi="宋体" w:cs="宋体" w:eastAsia="宋体"/>
                <w:sz w:val="24"/>
              </w:rPr>
              <w:t>一点技术支持</w:t>
            </w:r>
          </w:p>
          <w:p>
            <w:pPr>
              <w:pStyle w:val="null3"/>
              <w:jc w:val="both"/>
            </w:pPr>
            <w:r>
              <w:rPr>
                <w:rFonts w:ascii="宋体" w:hAnsi="宋体" w:cs="宋体" w:eastAsia="宋体"/>
                <w:sz w:val="24"/>
              </w:rPr>
              <w:t>线路提供商就业务咨询、组网与网络应用、系统集成、网络代维、网络测试、故障诊断等提供全面技术支持，为每个客户量身定制个性化的整体解决方案，全面提升客户的价值。</w:t>
            </w:r>
          </w:p>
          <w:p>
            <w:pPr>
              <w:pStyle w:val="null3"/>
              <w:jc w:val="both"/>
            </w:pPr>
            <w:r>
              <w:rPr>
                <w:rFonts w:ascii="宋体" w:hAnsi="宋体" w:cs="宋体" w:eastAsia="宋体"/>
                <w:sz w:val="24"/>
                <w:b/>
              </w:rPr>
              <w:t>通信保障服务</w:t>
            </w:r>
          </w:p>
          <w:p>
            <w:pPr>
              <w:pStyle w:val="null3"/>
              <w:jc w:val="both"/>
            </w:pPr>
            <w:r>
              <w:rPr>
                <w:rFonts w:ascii="宋体" w:hAnsi="宋体" w:cs="宋体" w:eastAsia="宋体"/>
                <w:sz w:val="24"/>
              </w:rPr>
              <w:t>a.服务目标</w:t>
            </w:r>
          </w:p>
          <w:p>
            <w:pPr>
              <w:pStyle w:val="null3"/>
              <w:ind w:firstLine="480"/>
              <w:jc w:val="both"/>
            </w:pPr>
            <w:r>
              <w:rPr>
                <w:rFonts w:ascii="宋体" w:hAnsi="宋体" w:cs="宋体" w:eastAsia="宋体"/>
                <w:sz w:val="24"/>
              </w:rPr>
              <w:t>保障客户应用信息网络系统的可靠平稳运行。针对本次财政厅内部网络组网项目，线路提供商将在业务进行期间为财政厅提供完备的信息化建设保障服务。</w:t>
            </w:r>
          </w:p>
          <w:p>
            <w:pPr>
              <w:pStyle w:val="null3"/>
              <w:jc w:val="both"/>
            </w:pPr>
            <w:r>
              <w:rPr>
                <w:rFonts w:ascii="宋体" w:hAnsi="宋体" w:cs="宋体" w:eastAsia="宋体"/>
                <w:sz w:val="24"/>
              </w:rPr>
              <w:t>b.服务内容</w:t>
            </w:r>
          </w:p>
          <w:p>
            <w:pPr>
              <w:pStyle w:val="null3"/>
              <w:ind w:firstLine="480"/>
              <w:jc w:val="both"/>
            </w:pPr>
            <w:r>
              <w:rPr>
                <w:rFonts w:ascii="宋体" w:hAnsi="宋体" w:cs="宋体" w:eastAsia="宋体"/>
                <w:sz w:val="24"/>
              </w:rPr>
              <w:t>线路提供商将为财政厅内部网络提供信息化建设保障服务，财政厅内部网络在业务进行之前可向运营商提出信息化建设保障需求，客户应说明服务涉及的项目以及服务时间要求，线路提供商将制定服务保障方案并采取必要的措施保证业务的可靠平稳运行，保障服务措施包括以下几点：</w:t>
            </w:r>
          </w:p>
          <w:p>
            <w:pPr>
              <w:pStyle w:val="null3"/>
              <w:jc w:val="both"/>
            </w:pPr>
            <w:r>
              <w:rPr>
                <w:rFonts w:ascii="宋体" w:hAnsi="宋体" w:cs="宋体" w:eastAsia="宋体"/>
                <w:sz w:val="24"/>
              </w:rPr>
              <w:t>（</w:t>
            </w:r>
            <w:r>
              <w:rPr>
                <w:rFonts w:ascii="宋体" w:hAnsi="宋体" w:cs="宋体" w:eastAsia="宋体"/>
                <w:sz w:val="24"/>
              </w:rPr>
              <w:t>1）建立完备的客户档案</w:t>
            </w:r>
          </w:p>
          <w:p>
            <w:pPr>
              <w:pStyle w:val="null3"/>
              <w:ind w:firstLine="480"/>
              <w:jc w:val="both"/>
            </w:pPr>
            <w:r>
              <w:rPr>
                <w:rFonts w:ascii="宋体" w:hAnsi="宋体" w:cs="宋体" w:eastAsia="宋体"/>
                <w:sz w:val="24"/>
              </w:rPr>
              <w:t>线路提供商将对相应的电路、设备进行特殊标记，以保证其相关维护资料的准确性；建立详细、完备的电路资料档案、网络运行档案以及设备运行参数档案，为保证财政厅内部网络信息网络系统稳定运行提供良好的条件。</w:t>
            </w:r>
          </w:p>
          <w:p>
            <w:pPr>
              <w:pStyle w:val="null3"/>
              <w:jc w:val="both"/>
            </w:pPr>
            <w:r>
              <w:rPr>
                <w:rFonts w:ascii="宋体" w:hAnsi="宋体" w:cs="宋体" w:eastAsia="宋体"/>
                <w:sz w:val="24"/>
              </w:rPr>
              <w:t>（</w:t>
            </w:r>
            <w:r>
              <w:rPr>
                <w:rFonts w:ascii="宋体" w:hAnsi="宋体" w:cs="宋体" w:eastAsia="宋体"/>
                <w:sz w:val="24"/>
              </w:rPr>
              <w:t>2）信息网络系统保障</w:t>
            </w:r>
          </w:p>
          <w:p>
            <w:pPr>
              <w:pStyle w:val="null3"/>
              <w:ind w:firstLine="480"/>
              <w:jc w:val="both"/>
            </w:pPr>
            <w:r>
              <w:rPr>
                <w:rFonts w:ascii="宋体" w:hAnsi="宋体" w:cs="宋体" w:eastAsia="宋体"/>
                <w:sz w:val="24"/>
              </w:rPr>
              <w:t>线路提供商派技术过硬的员工进驻财政厅内部网络有需要的信息网络系统管理机房或现场，协助客户进行保障工作。</w:t>
            </w:r>
          </w:p>
          <w:p>
            <w:pPr>
              <w:pStyle w:val="null3"/>
              <w:jc w:val="both"/>
            </w:pPr>
            <w:r>
              <w:rPr>
                <w:rFonts w:ascii="宋体" w:hAnsi="宋体" w:cs="宋体" w:eastAsia="宋体"/>
                <w:sz w:val="24"/>
              </w:rPr>
              <w:t>（</w:t>
            </w:r>
            <w:r>
              <w:rPr>
                <w:rFonts w:ascii="宋体" w:hAnsi="宋体" w:cs="宋体" w:eastAsia="宋体"/>
                <w:sz w:val="24"/>
              </w:rPr>
              <w:t>3）应急故障处理</w:t>
            </w:r>
          </w:p>
          <w:p>
            <w:pPr>
              <w:pStyle w:val="null3"/>
              <w:ind w:firstLine="480"/>
              <w:jc w:val="both"/>
            </w:pPr>
            <w:r>
              <w:rPr>
                <w:rFonts w:ascii="宋体" w:hAnsi="宋体" w:cs="宋体" w:eastAsia="宋体"/>
                <w:sz w:val="24"/>
              </w:rPr>
              <w:t>为财政厅内部网络制定完善的紧急故障处理流程及应急预案，保证紧急情况下快速进行故障处理，缩短障碍处理时间和电路倒接时间。</w:t>
            </w:r>
          </w:p>
          <w:p>
            <w:pPr>
              <w:pStyle w:val="null3"/>
              <w:jc w:val="both"/>
            </w:pPr>
            <w:r>
              <w:rPr>
                <w:rFonts w:ascii="宋体" w:hAnsi="宋体" w:cs="宋体" w:eastAsia="宋体"/>
                <w:sz w:val="24"/>
              </w:rPr>
              <w:t>故障响应和处理服务</w:t>
            </w:r>
          </w:p>
          <w:p>
            <w:pPr>
              <w:pStyle w:val="null3"/>
              <w:ind w:firstLine="240"/>
              <w:jc w:val="both"/>
            </w:pPr>
            <w:r>
              <w:rPr>
                <w:rFonts w:ascii="宋体" w:hAnsi="宋体" w:cs="宋体" w:eastAsia="宋体"/>
                <w:sz w:val="24"/>
              </w:rPr>
              <w:t>（</w:t>
            </w:r>
            <w:r>
              <w:rPr>
                <w:rFonts w:ascii="宋体" w:hAnsi="宋体" w:cs="宋体" w:eastAsia="宋体"/>
                <w:sz w:val="24"/>
              </w:rPr>
              <w:t>1）服务目标： 实现“零时延”故障响应。通过多种方式，在最短的时间内响应并解决财政厅内部网络业务运行过程中出现的故障，最大程度的降低网络故障对财政厅内部网络各项业务产生的影响。</w:t>
            </w:r>
          </w:p>
          <w:p>
            <w:pPr>
              <w:pStyle w:val="null3"/>
              <w:ind w:firstLine="240"/>
              <w:jc w:val="both"/>
            </w:pPr>
            <w:r>
              <w:rPr>
                <w:rFonts w:ascii="宋体" w:hAnsi="宋体" w:cs="宋体" w:eastAsia="宋体"/>
                <w:sz w:val="24"/>
              </w:rPr>
              <w:t>（</w:t>
            </w:r>
            <w:r>
              <w:rPr>
                <w:rFonts w:ascii="宋体" w:hAnsi="宋体" w:cs="宋体" w:eastAsia="宋体"/>
                <w:sz w:val="24"/>
              </w:rPr>
              <w:t>2）服务内容</w:t>
            </w:r>
          </w:p>
          <w:p>
            <w:pPr>
              <w:pStyle w:val="null3"/>
              <w:ind w:firstLine="480"/>
              <w:jc w:val="both"/>
            </w:pPr>
            <w:r>
              <w:rPr>
                <w:rFonts w:ascii="宋体" w:hAnsi="宋体" w:cs="宋体" w:eastAsia="宋体"/>
                <w:sz w:val="24"/>
              </w:rPr>
              <w:t>财政厅内部网络享受运营商大客户的服务。对于财政厅内部网络在业务运行过程中出现的故障，财政厅内部网络可以通过我们的大客户服务获得更为及时的服务响应，提供</w:t>
            </w:r>
            <w:r>
              <w:rPr>
                <w:rFonts w:ascii="宋体" w:hAnsi="宋体" w:cs="宋体" w:eastAsia="宋体"/>
                <w:sz w:val="24"/>
              </w:rPr>
              <w:t>7*24的不间断服务。为使财政厅内部网络获得更加及时的服务。</w:t>
            </w:r>
          </w:p>
          <w:p>
            <w:pPr>
              <w:pStyle w:val="null3"/>
              <w:ind w:firstLine="240"/>
              <w:jc w:val="both"/>
            </w:pPr>
            <w:r>
              <w:rPr>
                <w:rFonts w:ascii="宋体" w:hAnsi="宋体" w:cs="宋体" w:eastAsia="宋体"/>
                <w:sz w:val="24"/>
              </w:rPr>
              <w:t>（</w:t>
            </w:r>
            <w:r>
              <w:rPr>
                <w:rFonts w:ascii="宋体" w:hAnsi="宋体" w:cs="宋体" w:eastAsia="宋体"/>
                <w:sz w:val="24"/>
              </w:rPr>
              <w:t>3）故障申告方式</w:t>
            </w:r>
          </w:p>
          <w:p>
            <w:pPr>
              <w:pStyle w:val="null3"/>
              <w:ind w:firstLine="480"/>
              <w:jc w:val="both"/>
            </w:pPr>
            <w:r>
              <w:rPr>
                <w:rFonts w:ascii="宋体" w:hAnsi="宋体" w:cs="宋体" w:eastAsia="宋体"/>
                <w:sz w:val="24"/>
              </w:rPr>
              <w:t>财政厅内部网络可选择以下任何一种方式向运营商申告，针对不同等级的网络故障，采用不同的处理方式，并有相应的处理流程提供保证，直到客户满意为止。</w:t>
            </w:r>
          </w:p>
          <w:p>
            <w:pPr>
              <w:pStyle w:val="null3"/>
              <w:ind w:firstLine="480"/>
              <w:jc w:val="both"/>
            </w:pPr>
            <w:r>
              <w:rPr>
                <w:rFonts w:ascii="宋体" w:hAnsi="宋体" w:cs="宋体" w:eastAsia="宋体"/>
                <w:sz w:val="24"/>
              </w:rPr>
              <w:t>全省性故障或复杂、重大故障，财政厅内部网络可以直接拨打绿色通道电话，为财政厅内部网络提供全程联动的故障处理机制，缩短故障历时，并将处理情况反馈给客户。</w:t>
            </w:r>
          </w:p>
          <w:p>
            <w:pPr>
              <w:pStyle w:val="null3"/>
              <w:ind w:firstLine="480"/>
              <w:jc w:val="both"/>
            </w:pPr>
            <w:r>
              <w:rPr>
                <w:rFonts w:ascii="宋体" w:hAnsi="宋体" w:cs="宋体" w:eastAsia="宋体"/>
                <w:sz w:val="24"/>
              </w:rPr>
              <w:t>如果客户确定故障属于局部地域的本地故障，为方便故障的及时处理，当地的财政局可直接向当地服务热线申告。</w:t>
            </w:r>
          </w:p>
          <w:p>
            <w:pPr>
              <w:pStyle w:val="null3"/>
              <w:ind w:firstLine="480"/>
              <w:jc w:val="both"/>
            </w:pPr>
            <w:r>
              <w:rPr>
                <w:rFonts w:ascii="宋体" w:hAnsi="宋体" w:cs="宋体" w:eastAsia="宋体"/>
                <w:sz w:val="24"/>
              </w:rPr>
              <w:t>如果客户认为故障原因和地域无法判明，或与服务热线沟通有困难，可以选择向您的客户经理申告故障，由他代向有关部门申告故障，并全程协调解决，将解决情况告之客户。</w:t>
            </w:r>
          </w:p>
          <w:p>
            <w:pPr>
              <w:pStyle w:val="null3"/>
              <w:ind w:firstLine="480"/>
              <w:jc w:val="both"/>
            </w:pPr>
            <w:r>
              <w:rPr>
                <w:rFonts w:ascii="宋体" w:hAnsi="宋体" w:cs="宋体" w:eastAsia="宋体"/>
                <w:sz w:val="24"/>
              </w:rPr>
              <w:t>上述客户服务热线均提供</w:t>
            </w:r>
            <w:r>
              <w:rPr>
                <w:rFonts w:ascii="宋体" w:hAnsi="宋体" w:cs="宋体" w:eastAsia="宋体"/>
                <w:sz w:val="24"/>
              </w:rPr>
              <w:t>7*24的不间断服务。</w:t>
            </w:r>
          </w:p>
          <w:p>
            <w:pPr>
              <w:pStyle w:val="null3"/>
              <w:jc w:val="both"/>
            </w:pPr>
            <w:r>
              <w:rPr>
                <w:rFonts w:ascii="宋体" w:hAnsi="宋体" w:cs="宋体" w:eastAsia="宋体"/>
                <w:sz w:val="24"/>
              </w:rPr>
              <w:t>（</w:t>
            </w:r>
            <w:r>
              <w:rPr>
                <w:rFonts w:ascii="宋体" w:hAnsi="宋体" w:cs="宋体" w:eastAsia="宋体"/>
                <w:sz w:val="24"/>
              </w:rPr>
              <w:t>4）故障处理流程</w:t>
            </w:r>
          </w:p>
          <w:p>
            <w:pPr>
              <w:pStyle w:val="null3"/>
              <w:ind w:firstLine="480"/>
              <w:jc w:val="both"/>
            </w:pPr>
            <w:r>
              <w:rPr>
                <w:rFonts w:ascii="宋体" w:hAnsi="宋体" w:cs="宋体" w:eastAsia="宋体"/>
                <w:sz w:val="24"/>
              </w:rPr>
              <w:t>线路提供商承诺为财政厅广域网网络提供</w:t>
            </w:r>
            <w:r>
              <w:rPr>
                <w:rFonts w:ascii="宋体" w:hAnsi="宋体" w:cs="宋体" w:eastAsia="宋体"/>
                <w:sz w:val="24"/>
              </w:rPr>
              <w:t>7*24小时的不间断服务。在接到财政厅广域网络申告电话后，10分钟内给予故障申告响应回复，同城4小时内解决问题，异地6小时解决问题。</w:t>
            </w:r>
          </w:p>
          <w:p>
            <w:pPr>
              <w:pStyle w:val="null3"/>
              <w:jc w:val="both"/>
            </w:pPr>
            <w:r>
              <w:rPr>
                <w:rFonts w:ascii="宋体" w:hAnsi="宋体" w:cs="宋体" w:eastAsia="宋体"/>
                <w:sz w:val="24"/>
              </w:rPr>
              <w:t>6、项目验收标准：按照陕西省财政厅网络安全和信息化项目验收管理暂行办法执行。</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标的名称：互联网出口、灾备线路及办公网络线路租赁、维保项目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rPr>
              <w:t>1、项目功能：互联网出口线路一条，带宽为千兆；延安灾备线路提供延安灾备中心到财政厅千兆专线一条；厅机关办公网络线路维保项目用于我厅办公网络传输系统（东办公楼、西办公楼、综合楼、五星街56号院、裕源办公楼、厅远端办公系统等）的光缆传输维护。</w:t>
            </w:r>
          </w:p>
          <w:p>
            <w:pPr>
              <w:pStyle w:val="null3"/>
              <w:jc w:val="both"/>
            </w:pPr>
            <w:r>
              <w:rPr>
                <w:rFonts w:ascii="宋体" w:hAnsi="宋体" w:cs="宋体" w:eastAsia="宋体"/>
                <w:sz w:val="24"/>
              </w:rPr>
              <w:t>2、</w:t>
            </w:r>
            <w:r>
              <w:rPr>
                <w:rFonts w:ascii="宋体" w:hAnsi="宋体" w:cs="宋体" w:eastAsia="宋体"/>
                <w:sz w:val="24"/>
              </w:rPr>
              <w:t>项目运行周期</w:t>
            </w:r>
            <w:r>
              <w:rPr>
                <w:rFonts w:ascii="宋体" w:hAnsi="宋体" w:cs="宋体" w:eastAsia="宋体"/>
                <w:sz w:val="24"/>
              </w:rPr>
              <w:t>：一年</w:t>
            </w:r>
            <w:r>
              <w:rPr>
                <w:rFonts w:ascii="宋体" w:hAnsi="宋体" w:cs="宋体" w:eastAsia="宋体"/>
                <w:sz w:val="24"/>
              </w:rPr>
              <w:t>.</w:t>
            </w:r>
          </w:p>
          <w:p>
            <w:pPr>
              <w:pStyle w:val="null3"/>
              <w:jc w:val="both"/>
            </w:pPr>
            <w:r>
              <w:rPr>
                <w:rFonts w:ascii="宋体" w:hAnsi="宋体" w:cs="宋体" w:eastAsia="宋体"/>
                <w:sz w:val="24"/>
              </w:rPr>
              <w:t>3、</w:t>
            </w:r>
            <w:r>
              <w:rPr>
                <w:rFonts w:ascii="宋体" w:hAnsi="宋体" w:cs="宋体" w:eastAsia="宋体"/>
                <w:sz w:val="24"/>
              </w:rPr>
              <w:t>项目地点</w:t>
            </w:r>
            <w:r>
              <w:rPr>
                <w:rFonts w:ascii="宋体" w:hAnsi="宋体" w:cs="宋体" w:eastAsia="宋体"/>
                <w:sz w:val="24"/>
              </w:rPr>
              <w:t>：陕西省财政厅</w:t>
            </w:r>
          </w:p>
          <w:p>
            <w:pPr>
              <w:pStyle w:val="null3"/>
              <w:jc w:val="both"/>
            </w:pPr>
            <w:r>
              <w:rPr>
                <w:rFonts w:ascii="宋体" w:hAnsi="宋体" w:cs="宋体" w:eastAsia="宋体"/>
                <w:sz w:val="24"/>
              </w:rPr>
              <w:t>4、项目技术需求：</w:t>
            </w:r>
          </w:p>
          <w:p>
            <w:pPr>
              <w:pStyle w:val="null3"/>
              <w:jc w:val="both"/>
            </w:pPr>
            <w:r>
              <w:rPr>
                <w:rFonts w:ascii="宋体" w:hAnsi="宋体" w:cs="宋体" w:eastAsia="宋体"/>
                <w:sz w:val="24"/>
              </w:rPr>
              <w:t>4.1.1、互联网出口线路具体技术参数要求</w:t>
            </w:r>
          </w:p>
          <w:tbl>
            <w:tblPr>
              <w:tblInd w:type="dxa" w:w="120"/>
              <w:tblBorders>
                <w:top w:val="none" w:color="000000" w:sz="4"/>
                <w:left w:val="none" w:color="000000" w:sz="4"/>
                <w:bottom w:val="none" w:color="000000" w:sz="4"/>
                <w:right w:val="none" w:color="000000" w:sz="4"/>
                <w:insideH w:val="none"/>
                <w:insideV w:val="none"/>
              </w:tblBorders>
            </w:tblPr>
            <w:tblGrid>
              <w:gridCol w:w="195"/>
              <w:gridCol w:w="195"/>
              <w:gridCol w:w="855"/>
              <w:gridCol w:w="711"/>
              <w:gridCol w:w="587"/>
            </w:tblGrid>
            <w:tr>
              <w:tc>
                <w:tcPr>
                  <w:tcW w:type="dxa" w:w="2543"/>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互联网光纤技术规范要求</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9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线路</w:t>
                  </w:r>
                </w:p>
              </w:tc>
              <w:tc>
                <w:tcPr>
                  <w:tcW w:type="dxa" w:w="8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接入</w:t>
                  </w:r>
                </w:p>
              </w:tc>
              <w:tc>
                <w:tcPr>
                  <w:tcW w:type="dxa" w:w="7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互联网光纤专线</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说明</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95"/>
                  <w:vMerge/>
                  <w:tcBorders>
                    <w:top w:val="single" w:color="000000" w:sz="4"/>
                    <w:left w:val="none" w:color="000000" w:sz="4"/>
                    <w:bottom w:val="single" w:color="000000" w:sz="4"/>
                    <w:right w:val="single" w:color="000000" w:sz="4"/>
                  </w:tcBorders>
                </w:tcP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带宽</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1000M</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见线路明细</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95"/>
                  <w:vMerge/>
                  <w:tcBorders>
                    <w:top w:val="single" w:color="000000" w:sz="4"/>
                    <w:left w:val="none" w:color="000000" w:sz="4"/>
                    <w:bottom w:val="single" w:color="000000" w:sz="4"/>
                    <w:right w:val="single" w:color="000000" w:sz="4"/>
                  </w:tcBorders>
                </w:tcP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接口</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IEEE 802.3z Ethernet</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光口</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95"/>
                  <w:vMerge/>
                  <w:tcBorders>
                    <w:top w:val="single" w:color="000000" w:sz="4"/>
                    <w:left w:val="none" w:color="000000" w:sz="4"/>
                    <w:bottom w:val="single" w:color="000000" w:sz="4"/>
                    <w:right w:val="single" w:color="000000" w:sz="4"/>
                  </w:tcBorders>
                </w:tcP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IP地址</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64个固定地址</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供应商应有保证本项目业务系统连续性的解决方案</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195"/>
                  <w:vMerge/>
                  <w:tcBorders>
                    <w:top w:val="single" w:color="000000" w:sz="4"/>
                    <w:left w:val="none" w:color="000000" w:sz="4"/>
                    <w:bottom w:val="single" w:color="000000" w:sz="4"/>
                    <w:right w:val="single" w:color="000000" w:sz="4"/>
                  </w:tcBorders>
                </w:tcP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接口实测速率</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≥接口理论速率×90%</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195"/>
                  <w:vMerge/>
                  <w:tcBorders>
                    <w:top w:val="single" w:color="000000" w:sz="4"/>
                    <w:left w:val="none" w:color="000000" w:sz="4"/>
                    <w:bottom w:val="single" w:color="000000" w:sz="4"/>
                    <w:right w:val="single" w:color="000000" w:sz="4"/>
                  </w:tcBorders>
                </w:tcP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上下行速率差</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上行速率</w:t>
                  </w:r>
                  <w:r>
                    <w:rPr>
                      <w:rFonts w:ascii="宋体" w:hAnsi="宋体" w:cs="宋体" w:eastAsia="宋体"/>
                      <w:sz w:val="24"/>
                    </w:rPr>
                    <w:t>≥下行速率×99%</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195"/>
                  <w:vMerge/>
                  <w:tcBorders>
                    <w:top w:val="single" w:color="000000" w:sz="4"/>
                    <w:left w:val="none" w:color="000000" w:sz="4"/>
                    <w:bottom w:val="single" w:color="000000" w:sz="4"/>
                    <w:right w:val="single" w:color="000000" w:sz="4"/>
                  </w:tcBorders>
                </w:tcP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年中断次数</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≤4</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195"/>
                  <w:vMerge/>
                  <w:tcBorders>
                    <w:top w:val="single" w:color="000000" w:sz="4"/>
                    <w:left w:val="none" w:color="000000" w:sz="4"/>
                    <w:bottom w:val="single" w:color="000000" w:sz="4"/>
                    <w:right w:val="single" w:color="000000" w:sz="4"/>
                  </w:tcBorders>
                </w:tcP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每次中断时间</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w:t>
                  </w:r>
                  <w:r>
                    <w:rPr>
                      <w:rFonts w:ascii="宋体" w:hAnsi="宋体" w:cs="宋体" w:eastAsia="宋体"/>
                      <w:sz w:val="24"/>
                    </w:rPr>
                    <w:t>4h</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195"/>
                  <w:vMerge/>
                  <w:tcBorders>
                    <w:top w:val="single" w:color="000000" w:sz="4"/>
                    <w:left w:val="none" w:color="000000" w:sz="4"/>
                    <w:bottom w:val="single" w:color="000000" w:sz="4"/>
                    <w:right w:val="single" w:color="000000" w:sz="4"/>
                  </w:tcBorders>
                </w:tcP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线路接入要求</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要求从运营商就近节点布放两条不同物理路由光缆接入省财政厅机房。</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两条双路由光纤通过光倒换设备实现光路的自动保护</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设备</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光倒换设备</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要求倒换时间</w:t>
                  </w:r>
                  <w:r>
                    <w:rPr>
                      <w:rFonts w:ascii="宋体" w:hAnsi="宋体" w:cs="宋体" w:eastAsia="宋体"/>
                      <w:sz w:val="24"/>
                    </w:rPr>
                    <w:t>≤50m</w:t>
                  </w:r>
                  <w:r>
                    <w:rPr>
                      <w:rFonts w:ascii="宋体" w:hAnsi="宋体" w:cs="宋体" w:eastAsia="宋体"/>
                      <w:sz w:val="24"/>
                    </w:rPr>
                    <w:t>s</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服务</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故障处理时间</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响应时间</w:t>
                  </w:r>
                  <w:r>
                    <w:rPr>
                      <w:rFonts w:ascii="宋体" w:hAnsi="宋体" w:cs="宋体" w:eastAsia="宋体"/>
                      <w:sz w:val="24"/>
                    </w:rPr>
                    <w:t>≤2h</w:t>
                  </w:r>
                </w:p>
                <w:p>
                  <w:pPr>
                    <w:pStyle w:val="null3"/>
                    <w:jc w:val="both"/>
                  </w:pPr>
                  <w:r>
                    <w:rPr>
                      <w:rFonts w:ascii="宋体" w:hAnsi="宋体" w:cs="宋体" w:eastAsia="宋体"/>
                      <w:sz w:val="24"/>
                    </w:rPr>
                    <w:t>排除时间</w:t>
                  </w:r>
                  <w:r>
                    <w:rPr>
                      <w:rFonts w:ascii="宋体" w:hAnsi="宋体" w:cs="宋体" w:eastAsia="宋体"/>
                      <w:sz w:val="24"/>
                    </w:rPr>
                    <w:t>≤4h</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rFonts w:ascii="宋体" w:hAnsi="宋体" w:cs="宋体" w:eastAsia="宋体"/>
                <w:sz w:val="24"/>
              </w:rPr>
              <w:t>4.1.2互联网出口线路服务内容：</w:t>
            </w:r>
          </w:p>
          <w:tbl>
            <w:tblPr>
              <w:tblInd w:type="dxa" w:w="135"/>
              <w:tblBorders>
                <w:top w:val="none" w:color="000000" w:sz="4"/>
                <w:left w:val="none" w:color="000000" w:sz="4"/>
                <w:bottom w:val="none" w:color="000000" w:sz="4"/>
                <w:right w:val="none" w:color="000000" w:sz="4"/>
                <w:insideH w:val="none"/>
                <w:insideV w:val="none"/>
              </w:tblBorders>
            </w:tblPr>
            <w:tblGrid>
              <w:gridCol w:w="631"/>
              <w:gridCol w:w="873"/>
              <w:gridCol w:w="456"/>
              <w:gridCol w:w="584"/>
            </w:tblGrid>
            <w:tr>
              <w:tc>
                <w:tcPr>
                  <w:tcW w:type="dxa" w:w="6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序号</w:t>
                  </w:r>
                </w:p>
              </w:tc>
              <w:tc>
                <w:tcPr>
                  <w:tcW w:type="dxa" w:w="8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线路名称</w:t>
                  </w:r>
                </w:p>
              </w:tc>
              <w:tc>
                <w:tcPr>
                  <w:tcW w:type="dxa" w:w="4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带宽</w:t>
                  </w:r>
                </w:p>
              </w:tc>
              <w:tc>
                <w:tcPr>
                  <w:tcW w:type="dxa" w:w="5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数量</w:t>
                  </w:r>
                  <w:r>
                    <w:rPr>
                      <w:rFonts w:ascii="宋体" w:hAnsi="宋体" w:cs="宋体" w:eastAsia="宋体"/>
                      <w:sz w:val="24"/>
                    </w:rPr>
                    <w:t>/条</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互联网光纤线路</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1000M</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r>
          </w:tbl>
          <w:p>
            <w:pPr>
              <w:pStyle w:val="null3"/>
              <w:jc w:val="both"/>
            </w:pPr>
            <w:r>
              <w:rPr>
                <w:rFonts w:ascii="宋体" w:hAnsi="宋体" w:cs="宋体" w:eastAsia="宋体"/>
                <w:sz w:val="24"/>
              </w:rPr>
              <w:t>4.2.1、延安灾备线路具体技术参数要求</w:t>
            </w:r>
          </w:p>
          <w:p>
            <w:pPr>
              <w:pStyle w:val="null3"/>
              <w:jc w:val="both"/>
            </w:pPr>
            <w:r>
              <w:rPr>
                <w:rFonts w:ascii="宋体" w:hAnsi="宋体" w:cs="宋体" w:eastAsia="宋体"/>
                <w:sz w:val="24"/>
              </w:rPr>
              <w:t>本次传输线路采用</w:t>
            </w:r>
            <w:r>
              <w:rPr>
                <w:rFonts w:ascii="宋体" w:hAnsi="宋体" w:cs="宋体" w:eastAsia="宋体"/>
                <w:sz w:val="24"/>
              </w:rPr>
              <w:t>MSTP传输模式，网络带宽为1000M光纤线路一条，陕西省财政厅和延安灾备中心分别采用光纤线路直连网络运营商当地传输机房。</w:t>
            </w:r>
          </w:p>
          <w:p>
            <w:pPr>
              <w:pStyle w:val="null3"/>
              <w:jc w:val="both"/>
            </w:pPr>
            <w:r>
              <w:rPr>
                <w:rFonts w:ascii="宋体" w:hAnsi="宋体" w:cs="宋体" w:eastAsia="宋体"/>
                <w:sz w:val="24"/>
              </w:rPr>
              <w:t>线路技术参数</w:t>
            </w:r>
          </w:p>
          <w:p>
            <w:pPr>
              <w:pStyle w:val="null3"/>
              <w:jc w:val="both"/>
            </w:pPr>
            <w:r>
              <w:rPr>
                <w:rFonts w:ascii="宋体" w:hAnsi="宋体" w:cs="宋体" w:eastAsia="宋体"/>
                <w:sz w:val="24"/>
              </w:rPr>
              <w:t>●传输比特差错率≤2×10-8</w:t>
            </w:r>
          </w:p>
          <w:p>
            <w:pPr>
              <w:pStyle w:val="null3"/>
              <w:jc w:val="both"/>
            </w:pPr>
            <w:r>
              <w:rPr>
                <w:rFonts w:ascii="宋体" w:hAnsi="宋体" w:cs="宋体" w:eastAsia="宋体"/>
                <w:sz w:val="24"/>
              </w:rPr>
              <w:t>●丢包率≤0.3%</w:t>
            </w:r>
          </w:p>
          <w:p>
            <w:pPr>
              <w:pStyle w:val="null3"/>
              <w:jc w:val="both"/>
            </w:pPr>
            <w:r>
              <w:rPr>
                <w:rFonts w:ascii="宋体" w:hAnsi="宋体" w:cs="宋体" w:eastAsia="宋体"/>
                <w:sz w:val="24"/>
              </w:rPr>
              <w:t>●网络可用性≥99.99%</w:t>
            </w:r>
          </w:p>
          <w:p>
            <w:pPr>
              <w:pStyle w:val="null3"/>
              <w:jc w:val="both"/>
            </w:pPr>
            <w:r>
              <w:rPr>
                <w:rFonts w:ascii="宋体" w:hAnsi="宋体" w:cs="宋体" w:eastAsia="宋体"/>
                <w:sz w:val="24"/>
              </w:rPr>
              <w:t>●故障响应时间≤15分钟</w:t>
            </w:r>
          </w:p>
          <w:p>
            <w:pPr>
              <w:pStyle w:val="null3"/>
              <w:jc w:val="both"/>
            </w:pPr>
            <w:r>
              <w:rPr>
                <w:rFonts w:ascii="宋体" w:hAnsi="宋体" w:cs="宋体" w:eastAsia="宋体"/>
                <w:sz w:val="24"/>
              </w:rPr>
              <w:t>●故障解决时间≤4小时</w:t>
            </w:r>
          </w:p>
          <w:p>
            <w:pPr>
              <w:pStyle w:val="null3"/>
              <w:jc w:val="both"/>
            </w:pPr>
            <w:r>
              <w:rPr>
                <w:rFonts w:ascii="宋体" w:hAnsi="宋体" w:cs="宋体" w:eastAsia="宋体"/>
                <w:sz w:val="24"/>
              </w:rPr>
              <w:t>●全年网络中断次数＜3次</w:t>
            </w:r>
          </w:p>
          <w:p>
            <w:pPr>
              <w:pStyle w:val="null3"/>
              <w:jc w:val="both"/>
            </w:pPr>
            <w:r>
              <w:rPr>
                <w:rFonts w:ascii="宋体" w:hAnsi="宋体" w:cs="宋体" w:eastAsia="宋体"/>
                <w:sz w:val="24"/>
              </w:rPr>
              <w:t>4.3.1、厅机关办公网络线路维保项目技术参数</w:t>
            </w:r>
          </w:p>
          <w:p>
            <w:pPr>
              <w:pStyle w:val="null3"/>
              <w:jc w:val="both"/>
            </w:pPr>
            <w:r>
              <w:rPr>
                <w:rFonts w:ascii="宋体" w:hAnsi="宋体" w:cs="宋体" w:eastAsia="宋体"/>
                <w:sz w:val="24"/>
              </w:rPr>
              <w:t>4.3.2、项目数量：</w:t>
            </w:r>
          </w:p>
          <w:tbl>
            <w:tblPr>
              <w:tblInd w:type="dxa" w:w="240"/>
              <w:tblBorders>
                <w:top w:val="none" w:color="000000" w:sz="4"/>
                <w:left w:val="none" w:color="000000" w:sz="4"/>
                <w:bottom w:val="none" w:color="000000" w:sz="4"/>
                <w:right w:val="none" w:color="000000" w:sz="4"/>
                <w:insideH w:val="none"/>
                <w:insideV w:val="none"/>
              </w:tblBorders>
            </w:tblPr>
            <w:tblGrid>
              <w:gridCol w:w="550"/>
              <w:gridCol w:w="588"/>
              <w:gridCol w:w="360"/>
              <w:gridCol w:w="360"/>
              <w:gridCol w:w="360"/>
              <w:gridCol w:w="322"/>
            </w:tblGrid>
            <w:tr>
              <w:tc>
                <w:tcPr>
                  <w:tcW w:type="dxa" w:w="2540"/>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2022年厅机关办公网络传输系统维护服务清单</w:t>
                  </w: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机房端</w:t>
                  </w:r>
                </w:p>
              </w:tc>
              <w:tc>
                <w:tcPr>
                  <w:tcW w:type="dxa" w:w="5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用户（远）端</w:t>
                  </w:r>
                </w:p>
              </w:tc>
              <w:tc>
                <w:tcPr>
                  <w:tcW w:type="dxa" w:w="3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数量</w:t>
                  </w:r>
                  <w:r>
                    <w:rPr>
                      <w:rFonts w:ascii="宋体" w:hAnsi="宋体" w:cs="宋体" w:eastAsia="宋体"/>
                      <w:sz w:val="24"/>
                    </w:rPr>
                    <w:t>/芯</w:t>
                  </w:r>
                </w:p>
              </w:tc>
              <w:tc>
                <w:tcPr>
                  <w:tcW w:type="dxa" w:w="3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距离</w:t>
                  </w:r>
                  <w:r>
                    <w:rPr>
                      <w:rFonts w:ascii="宋体" w:hAnsi="宋体" w:cs="宋体" w:eastAsia="宋体"/>
                      <w:sz w:val="24"/>
                    </w:rPr>
                    <w:t>/km</w:t>
                  </w:r>
                </w:p>
              </w:tc>
              <w:tc>
                <w:tcPr>
                  <w:tcW w:type="dxa" w:w="3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价格</w:t>
                  </w:r>
                  <w:r>
                    <w:rPr>
                      <w:rFonts w:ascii="宋体" w:hAnsi="宋体" w:cs="宋体" w:eastAsia="宋体"/>
                      <w:sz w:val="24"/>
                    </w:rPr>
                    <w:t>/万元</w:t>
                  </w:r>
                </w:p>
              </w:tc>
              <w:tc>
                <w:tcPr>
                  <w:tcW w:type="dxa" w:w="3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备注</w:t>
                  </w:r>
                </w:p>
              </w:tc>
            </w:tr>
            <w:tr>
              <w:tc>
                <w:tcPr>
                  <w:tcW w:type="dxa" w:w="5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厅</w:t>
                  </w:r>
                  <w:r>
                    <w:rPr>
                      <w:rFonts w:ascii="宋体" w:hAnsi="宋体" w:cs="宋体" w:eastAsia="宋体"/>
                      <w:sz w:val="24"/>
                    </w:rPr>
                    <w:t>10楼中心机房</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综合楼</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144</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1.8</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0"/>
                  <w:vMerge/>
                  <w:tcBorders>
                    <w:top w:val="none" w:color="000000" w:sz="4"/>
                    <w:left w:val="single" w:color="000000" w:sz="4"/>
                    <w:bottom w:val="single" w:color="000000" w:sz="4"/>
                    <w:right w:val="single" w:color="000000" w:sz="4"/>
                  </w:tcBorders>
                </w:tcP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西办公楼</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48</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0.8</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0.4</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0"/>
                  <w:vMerge/>
                  <w:tcBorders>
                    <w:top w:val="none" w:color="000000" w:sz="4"/>
                    <w:left w:val="single" w:color="000000" w:sz="4"/>
                    <w:bottom w:val="single" w:color="000000" w:sz="4"/>
                    <w:right w:val="single" w:color="000000" w:sz="4"/>
                  </w:tcBorders>
                </w:tcP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56号院办公楼</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66</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2.2</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5</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0"/>
                  <w:vMerge/>
                  <w:tcBorders>
                    <w:top w:val="none" w:color="000000" w:sz="4"/>
                    <w:left w:val="single" w:color="000000" w:sz="4"/>
                    <w:bottom w:val="single" w:color="000000" w:sz="4"/>
                    <w:right w:val="single" w:color="000000" w:sz="4"/>
                  </w:tcBorders>
                </w:tcP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裕源办公楼</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42</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3.2</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6</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0"/>
                  <w:vMerge/>
                  <w:tcBorders>
                    <w:top w:val="none" w:color="000000" w:sz="4"/>
                    <w:left w:val="single" w:color="000000" w:sz="4"/>
                    <w:bottom w:val="single" w:color="000000" w:sz="4"/>
                    <w:right w:val="single" w:color="000000" w:sz="4"/>
                  </w:tcBorders>
                </w:tcP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厅机关后院办公楼</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24</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1.2</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0.4</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0"/>
                  <w:vMerge/>
                  <w:tcBorders>
                    <w:top w:val="none" w:color="000000" w:sz="4"/>
                    <w:left w:val="single" w:color="000000" w:sz="4"/>
                    <w:bottom w:val="single" w:color="000000" w:sz="4"/>
                    <w:right w:val="single" w:color="000000" w:sz="4"/>
                  </w:tcBorders>
                </w:tcP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东办公楼各楼层</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60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0.2</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0.2</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0"/>
                  <w:vMerge/>
                  <w:tcBorders>
                    <w:top w:val="none" w:color="000000" w:sz="4"/>
                    <w:left w:val="single" w:color="000000" w:sz="4"/>
                    <w:bottom w:val="single" w:color="000000" w:sz="4"/>
                    <w:right w:val="single" w:color="000000" w:sz="4"/>
                  </w:tcBorders>
                </w:tcP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陕西艺术幼儿园</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12</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3.2</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5</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0"/>
                  <w:vMerge/>
                  <w:tcBorders>
                    <w:top w:val="none" w:color="000000" w:sz="4"/>
                    <w:left w:val="single" w:color="000000" w:sz="4"/>
                    <w:bottom w:val="single" w:color="000000" w:sz="4"/>
                    <w:right w:val="single" w:color="000000" w:sz="4"/>
                  </w:tcBorders>
                </w:tcP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远端传输</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4</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15</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传输专线</w:t>
                  </w:r>
                </w:p>
              </w:tc>
            </w:tr>
            <w:tr>
              <w:tc>
                <w:tcPr>
                  <w:tcW w:type="dxa" w:w="550"/>
                  <w:vMerge/>
                  <w:tcBorders>
                    <w:top w:val="none" w:color="000000" w:sz="4"/>
                    <w:left w:val="single" w:color="000000" w:sz="4"/>
                    <w:bottom w:val="single" w:color="000000" w:sz="4"/>
                    <w:right w:val="single" w:color="000000" w:sz="4"/>
                  </w:tcBorders>
                </w:tcP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远端办公系统线路</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223</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40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35</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传输线路</w:t>
                  </w: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合计</w:t>
                  </w:r>
                </w:p>
              </w:tc>
              <w:tc>
                <w:tcPr>
                  <w:tcW w:type="dxa" w:w="199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70万元</w:t>
                  </w:r>
                </w:p>
              </w:tc>
            </w:tr>
          </w:tbl>
          <w:p>
            <w:pPr>
              <w:pStyle w:val="null3"/>
              <w:jc w:val="both"/>
            </w:pPr>
            <w:r>
              <w:rPr>
                <w:rFonts w:ascii="宋体" w:hAnsi="宋体" w:cs="宋体" w:eastAsia="宋体"/>
                <w:sz w:val="24"/>
              </w:rPr>
              <w:t>注：所有线路含主材、辅材、人工、管道及架空租赁、抢修等费用。</w:t>
            </w:r>
          </w:p>
          <w:p>
            <w:pPr>
              <w:pStyle w:val="null3"/>
              <w:jc w:val="both"/>
            </w:pPr>
            <w:r>
              <w:rPr>
                <w:rFonts w:ascii="宋体" w:hAnsi="宋体" w:cs="宋体" w:eastAsia="宋体"/>
                <w:sz w:val="24"/>
              </w:rPr>
              <w:t>4.3.3、项目需求：</w:t>
            </w:r>
          </w:p>
          <w:p>
            <w:pPr>
              <w:pStyle w:val="null3"/>
              <w:ind w:firstLine="240"/>
              <w:jc w:val="both"/>
            </w:pPr>
            <w:r>
              <w:rPr>
                <w:rFonts w:ascii="宋体" w:hAnsi="宋体" w:cs="宋体" w:eastAsia="宋体"/>
                <w:sz w:val="24"/>
              </w:rPr>
              <w:t>为支撑省财政厅日常办公及对外公共网络的运营，需由本地网络运营商提供光纤光缆基础线路服务，业务含</w:t>
            </w:r>
            <w:r>
              <w:rPr>
                <w:rFonts w:ascii="宋体" w:hAnsi="宋体" w:cs="宋体" w:eastAsia="宋体"/>
                <w:sz w:val="24"/>
              </w:rPr>
              <w:t>3条OTN传输线路、19条裸光纤线路，要求线路维护、运行稳定可靠，使用正常。</w:t>
            </w:r>
          </w:p>
          <w:p>
            <w:pPr>
              <w:pStyle w:val="null3"/>
              <w:jc w:val="both"/>
            </w:pPr>
            <w:r>
              <w:rPr>
                <w:rFonts w:ascii="宋体" w:hAnsi="宋体" w:cs="宋体" w:eastAsia="宋体"/>
                <w:sz w:val="24"/>
              </w:rPr>
              <w:t>4.3.4、具体技术参数要求</w:t>
            </w:r>
          </w:p>
          <w:tbl>
            <w:tblPr>
              <w:tblInd w:type="dxa" w:w="120"/>
              <w:tblBorders>
                <w:top w:val="none" w:color="000000" w:sz="4"/>
                <w:left w:val="none" w:color="000000" w:sz="4"/>
                <w:bottom w:val="none" w:color="000000" w:sz="4"/>
                <w:right w:val="none" w:color="000000" w:sz="4"/>
                <w:insideH w:val="none"/>
                <w:insideV w:val="none"/>
              </w:tblBorders>
            </w:tblPr>
            <w:tblGrid>
              <w:gridCol w:w="285"/>
              <w:gridCol w:w="228"/>
              <w:gridCol w:w="367"/>
              <w:gridCol w:w="684"/>
              <w:gridCol w:w="975"/>
            </w:tblGrid>
            <w:tr>
              <w:tc>
                <w:tcPr>
                  <w:tcW w:type="dxa" w:w="2539"/>
                  <w:gridSpan w:val="5"/>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宋体" w:hAnsi="宋体" w:cs="宋体" w:eastAsia="宋体"/>
                      <w:sz w:val="24"/>
                    </w:rPr>
                    <w:t>光纤技术服务要求</w:t>
                  </w:r>
                </w:p>
              </w:tc>
            </w:tr>
            <w:tr>
              <w:tc>
                <w:tcPr>
                  <w:tcW w:type="dxa" w:w="28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宋体" w:hAnsi="宋体" w:cs="宋体" w:eastAsia="宋体"/>
                      <w:sz w:val="24"/>
                    </w:rPr>
                    <w:t>1</w:t>
                  </w:r>
                </w:p>
              </w:tc>
              <w:tc>
                <w:tcPr>
                  <w:tcW w:type="dxa" w:w="228"/>
                  <w:vMerge w:val="restart"/>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宋体" w:hAnsi="宋体" w:cs="宋体" w:eastAsia="宋体"/>
                      <w:sz w:val="24"/>
                    </w:rPr>
                    <w:t>线路</w:t>
                  </w:r>
                </w:p>
              </w:tc>
              <w:tc>
                <w:tcPr>
                  <w:tcW w:type="dxa" w:w="3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宋体" w:hAnsi="宋体" w:cs="宋体" w:eastAsia="宋体"/>
                      <w:sz w:val="24"/>
                    </w:rPr>
                    <w:t>名称</w:t>
                  </w:r>
                </w:p>
              </w:tc>
              <w:tc>
                <w:tcPr>
                  <w:tcW w:type="dxa" w:w="6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宋体" w:hAnsi="宋体" w:cs="宋体" w:eastAsia="宋体"/>
                      <w:sz w:val="24"/>
                    </w:rPr>
                    <w:t>技术参数</w:t>
                  </w:r>
                </w:p>
              </w:tc>
              <w:tc>
                <w:tcPr>
                  <w:tcW w:type="dxa" w:w="97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宋体" w:hAnsi="宋体" w:cs="宋体" w:eastAsia="宋体"/>
                      <w:sz w:val="24"/>
                    </w:rPr>
                    <w:t>说明</w:t>
                  </w:r>
                </w:p>
              </w:tc>
            </w:tr>
            <w:tr>
              <w:tc>
                <w:tcPr>
                  <w:tcW w:type="dxa" w:w="28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宋体" w:hAnsi="宋体" w:cs="宋体" w:eastAsia="宋体"/>
                      <w:sz w:val="24"/>
                    </w:rPr>
                    <w:t>2</w:t>
                  </w:r>
                </w:p>
              </w:tc>
              <w:tc>
                <w:tcPr>
                  <w:tcW w:type="dxa" w:w="228"/>
                  <w:vMerge/>
                  <w:tcBorders>
                    <w:top w:val="none" w:color="000000" w:sz="4"/>
                    <w:left w:val="none" w:color="000000" w:sz="4"/>
                    <w:bottom w:val="single" w:color="000000" w:sz="4"/>
                    <w:right w:val="single" w:color="000000" w:sz="4"/>
                  </w:tcBorders>
                </w:tcPr>
                <w:p/>
              </w:tc>
              <w:tc>
                <w:tcPr>
                  <w:tcW w:type="dxa" w:w="3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宋体" w:hAnsi="宋体" w:cs="宋体" w:eastAsia="宋体"/>
                      <w:sz w:val="24"/>
                    </w:rPr>
                    <w:t>OTN线路</w:t>
                  </w:r>
                </w:p>
              </w:tc>
              <w:tc>
                <w:tcPr>
                  <w:tcW w:type="dxa" w:w="6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宋体" w:hAnsi="宋体" w:cs="宋体" w:eastAsia="宋体"/>
                      <w:sz w:val="24"/>
                    </w:rPr>
                    <w:t>千兆专线</w:t>
                  </w:r>
                </w:p>
              </w:tc>
              <w:tc>
                <w:tcPr>
                  <w:tcW w:type="dxa" w:w="97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宋体" w:hAnsi="宋体" w:cs="宋体" w:eastAsia="宋体"/>
                      <w:sz w:val="24"/>
                    </w:rPr>
                    <w:t>远端传输约</w:t>
                  </w:r>
                  <w:r>
                    <w:rPr>
                      <w:rFonts w:ascii="宋体" w:hAnsi="宋体" w:cs="宋体" w:eastAsia="宋体"/>
                      <w:sz w:val="24"/>
                    </w:rPr>
                    <w:t>30KM;远端办公系统线路约40KM</w:t>
                  </w:r>
                </w:p>
              </w:tc>
            </w:tr>
            <w:tr>
              <w:tc>
                <w:tcPr>
                  <w:tcW w:type="dxa" w:w="28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宋体" w:hAnsi="宋体" w:cs="宋体" w:eastAsia="宋体"/>
                      <w:sz w:val="24"/>
                    </w:rPr>
                    <w:t>3</w:t>
                  </w:r>
                </w:p>
              </w:tc>
              <w:tc>
                <w:tcPr>
                  <w:tcW w:type="dxa" w:w="228"/>
                  <w:vMerge/>
                  <w:tcBorders>
                    <w:top w:val="none" w:color="000000" w:sz="4"/>
                    <w:left w:val="none" w:color="000000" w:sz="4"/>
                    <w:bottom w:val="single" w:color="000000" w:sz="4"/>
                    <w:right w:val="single" w:color="000000" w:sz="4"/>
                  </w:tcBorders>
                </w:tcPr>
                <w:p/>
              </w:tc>
              <w:tc>
                <w:tcPr>
                  <w:tcW w:type="dxa" w:w="3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宋体" w:hAnsi="宋体" w:cs="宋体" w:eastAsia="宋体"/>
                      <w:sz w:val="24"/>
                    </w:rPr>
                    <w:t>裸光纤</w:t>
                  </w:r>
                </w:p>
              </w:tc>
              <w:tc>
                <w:tcPr>
                  <w:tcW w:type="dxa" w:w="6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宋体" w:hAnsi="宋体" w:cs="宋体" w:eastAsia="宋体"/>
                      <w:sz w:val="24"/>
                    </w:rPr>
                    <w:t>千兆单模</w:t>
                  </w:r>
                </w:p>
              </w:tc>
              <w:tc>
                <w:tcPr>
                  <w:tcW w:type="dxa" w:w="97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宋体" w:hAnsi="宋体" w:cs="宋体" w:eastAsia="宋体"/>
                      <w:sz w:val="24"/>
                    </w:rPr>
                    <w:t>综合楼</w:t>
                  </w:r>
                  <w:r>
                    <w:rPr>
                      <w:rFonts w:ascii="宋体" w:hAnsi="宋体" w:cs="宋体" w:eastAsia="宋体"/>
                      <w:sz w:val="24"/>
                    </w:rPr>
                    <w:t>144芯*1.8KM;西办公楼48芯*0.8KM；56号院办公楼66芯*2.2KM；裕源办公楼72芯*3.2KM；厅机关后院办公楼24芯*1.2KM；东办公楼各楼层60芯*0.2KM;陕西艺术幼儿园12芯*3.2KM；运维中心12芯*3.8KM</w:t>
                  </w:r>
                </w:p>
              </w:tc>
            </w:tr>
            <w:tr>
              <w:tc>
                <w:tcPr>
                  <w:tcW w:type="dxa" w:w="28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宋体" w:hAnsi="宋体" w:cs="宋体" w:eastAsia="宋体"/>
                      <w:sz w:val="24"/>
                    </w:rPr>
                    <w:t>4</w:t>
                  </w:r>
                </w:p>
              </w:tc>
              <w:tc>
                <w:tcPr>
                  <w:tcW w:type="dxa" w:w="228"/>
                  <w:vMerge/>
                  <w:tcBorders>
                    <w:top w:val="none" w:color="000000" w:sz="4"/>
                    <w:left w:val="none" w:color="000000" w:sz="4"/>
                    <w:bottom w:val="single" w:color="000000" w:sz="4"/>
                    <w:right w:val="single" w:color="000000" w:sz="4"/>
                  </w:tcBorders>
                </w:tcPr>
                <w:p/>
              </w:tc>
              <w:tc>
                <w:tcPr>
                  <w:tcW w:type="dxa" w:w="3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宋体" w:hAnsi="宋体" w:cs="宋体" w:eastAsia="宋体"/>
                      <w:sz w:val="24"/>
                    </w:rPr>
                    <w:t>接口实测速率</w:t>
                  </w:r>
                </w:p>
              </w:tc>
              <w:tc>
                <w:tcPr>
                  <w:tcW w:type="dxa" w:w="6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宋体" w:hAnsi="宋体" w:cs="宋体" w:eastAsia="宋体"/>
                      <w:sz w:val="24"/>
                    </w:rPr>
                    <w:t>≥接口理论速率×90%</w:t>
                  </w:r>
                </w:p>
              </w:tc>
              <w:tc>
                <w:tcPr>
                  <w:tcW w:type="dxa" w:w="97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p>
              </w:tc>
            </w:tr>
            <w:tr>
              <w:tc>
                <w:tcPr>
                  <w:tcW w:type="dxa" w:w="28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宋体" w:hAnsi="宋体" w:cs="宋体" w:eastAsia="宋体"/>
                      <w:sz w:val="24"/>
                    </w:rPr>
                    <w:t>5</w:t>
                  </w:r>
                </w:p>
              </w:tc>
              <w:tc>
                <w:tcPr>
                  <w:tcW w:type="dxa" w:w="228"/>
                  <w:vMerge/>
                  <w:tcBorders>
                    <w:top w:val="none" w:color="000000" w:sz="4"/>
                    <w:left w:val="none" w:color="000000" w:sz="4"/>
                    <w:bottom w:val="single" w:color="000000" w:sz="4"/>
                    <w:right w:val="single" w:color="000000" w:sz="4"/>
                  </w:tcBorders>
                </w:tcPr>
                <w:p/>
              </w:tc>
              <w:tc>
                <w:tcPr>
                  <w:tcW w:type="dxa" w:w="3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宋体" w:hAnsi="宋体" w:cs="宋体" w:eastAsia="宋体"/>
                      <w:sz w:val="24"/>
                    </w:rPr>
                    <w:t>上下行速率差</w:t>
                  </w:r>
                </w:p>
              </w:tc>
              <w:tc>
                <w:tcPr>
                  <w:tcW w:type="dxa" w:w="6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宋体" w:hAnsi="宋体" w:cs="宋体" w:eastAsia="宋体"/>
                      <w:sz w:val="24"/>
                    </w:rPr>
                    <w:t>上行速率</w:t>
                  </w:r>
                  <w:r>
                    <w:rPr>
                      <w:rFonts w:ascii="宋体" w:hAnsi="宋体" w:cs="宋体" w:eastAsia="宋体"/>
                      <w:sz w:val="24"/>
                    </w:rPr>
                    <w:t>≥下行速率×99%</w:t>
                  </w:r>
                </w:p>
              </w:tc>
              <w:tc>
                <w:tcPr>
                  <w:tcW w:type="dxa" w:w="97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p>
              </w:tc>
            </w:tr>
            <w:tr>
              <w:tc>
                <w:tcPr>
                  <w:tcW w:type="dxa" w:w="28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宋体" w:hAnsi="宋体" w:cs="宋体" w:eastAsia="宋体"/>
                      <w:sz w:val="24"/>
                    </w:rPr>
                    <w:t>6</w:t>
                  </w:r>
                </w:p>
              </w:tc>
              <w:tc>
                <w:tcPr>
                  <w:tcW w:type="dxa" w:w="228"/>
                  <w:vMerge/>
                  <w:tcBorders>
                    <w:top w:val="none" w:color="000000" w:sz="4"/>
                    <w:left w:val="none" w:color="000000" w:sz="4"/>
                    <w:bottom w:val="single" w:color="000000" w:sz="4"/>
                    <w:right w:val="single" w:color="000000" w:sz="4"/>
                  </w:tcBorders>
                </w:tcPr>
                <w:p/>
              </w:tc>
              <w:tc>
                <w:tcPr>
                  <w:tcW w:type="dxa" w:w="3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宋体" w:hAnsi="宋体" w:cs="宋体" w:eastAsia="宋体"/>
                      <w:sz w:val="24"/>
                    </w:rPr>
                    <w:t>年中断次数</w:t>
                  </w:r>
                </w:p>
              </w:tc>
              <w:tc>
                <w:tcPr>
                  <w:tcW w:type="dxa" w:w="6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宋体" w:hAnsi="宋体" w:cs="宋体" w:eastAsia="宋体"/>
                      <w:sz w:val="24"/>
                    </w:rPr>
                    <w:t>≤12次</w:t>
                  </w:r>
                </w:p>
              </w:tc>
              <w:tc>
                <w:tcPr>
                  <w:tcW w:type="dxa" w:w="97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p>
              </w:tc>
            </w:tr>
            <w:tr>
              <w:tc>
                <w:tcPr>
                  <w:tcW w:type="dxa" w:w="28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宋体" w:hAnsi="宋体" w:cs="宋体" w:eastAsia="宋体"/>
                      <w:sz w:val="24"/>
                    </w:rPr>
                    <w:t>7</w:t>
                  </w:r>
                </w:p>
              </w:tc>
              <w:tc>
                <w:tcPr>
                  <w:tcW w:type="dxa" w:w="228"/>
                  <w:vMerge/>
                  <w:tcBorders>
                    <w:top w:val="none" w:color="000000" w:sz="4"/>
                    <w:left w:val="none" w:color="000000" w:sz="4"/>
                    <w:bottom w:val="single" w:color="000000" w:sz="4"/>
                    <w:right w:val="single" w:color="000000" w:sz="4"/>
                  </w:tcBorders>
                </w:tcPr>
                <w:p/>
              </w:tc>
              <w:tc>
                <w:tcPr>
                  <w:tcW w:type="dxa" w:w="3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宋体" w:hAnsi="宋体" w:cs="宋体" w:eastAsia="宋体"/>
                      <w:sz w:val="24"/>
                    </w:rPr>
                    <w:t>每次中断时间</w:t>
                  </w:r>
                </w:p>
              </w:tc>
              <w:tc>
                <w:tcPr>
                  <w:tcW w:type="dxa" w:w="6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宋体" w:hAnsi="宋体" w:cs="宋体" w:eastAsia="宋体"/>
                      <w:sz w:val="24"/>
                    </w:rPr>
                    <w:t>≤4小时</w:t>
                  </w:r>
                </w:p>
              </w:tc>
              <w:tc>
                <w:tcPr>
                  <w:tcW w:type="dxa" w:w="97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p>
              </w:tc>
            </w:tr>
            <w:tr>
              <w:tc>
                <w:tcPr>
                  <w:tcW w:type="dxa" w:w="28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宋体" w:hAnsi="宋体" w:cs="宋体" w:eastAsia="宋体"/>
                      <w:sz w:val="24"/>
                    </w:rPr>
                    <w:t>8</w:t>
                  </w:r>
                </w:p>
              </w:tc>
              <w:tc>
                <w:tcPr>
                  <w:tcW w:type="dxa" w:w="228"/>
                  <w:vMerge/>
                  <w:tcBorders>
                    <w:top w:val="none" w:color="000000" w:sz="4"/>
                    <w:left w:val="none" w:color="000000" w:sz="4"/>
                    <w:bottom w:val="single" w:color="000000" w:sz="4"/>
                    <w:right w:val="single" w:color="000000" w:sz="4"/>
                  </w:tcBorders>
                </w:tcPr>
                <w:p/>
              </w:tc>
              <w:tc>
                <w:tcPr>
                  <w:tcW w:type="dxa" w:w="3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宋体" w:hAnsi="宋体" w:cs="宋体" w:eastAsia="宋体"/>
                      <w:sz w:val="24"/>
                    </w:rPr>
                    <w:t>线路接入要求</w:t>
                  </w:r>
                </w:p>
              </w:tc>
              <w:tc>
                <w:tcPr>
                  <w:tcW w:type="dxa" w:w="6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宋体" w:hAnsi="宋体" w:cs="宋体" w:eastAsia="宋体"/>
                      <w:sz w:val="24"/>
                    </w:rPr>
                    <w:t>要求从运营商就近节点布放两条不同物理路由光缆接入用户端</w:t>
                  </w:r>
                  <w:r>
                    <w:rPr>
                      <w:rFonts w:ascii="宋体" w:hAnsi="宋体" w:cs="宋体" w:eastAsia="宋体"/>
                      <w:sz w:val="24"/>
                    </w:rPr>
                    <w:t>.</w:t>
                  </w:r>
                </w:p>
              </w:tc>
              <w:tc>
                <w:tcPr>
                  <w:tcW w:type="dxa" w:w="97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p>
              </w:tc>
            </w:tr>
            <w:tr>
              <w:tc>
                <w:tcPr>
                  <w:tcW w:type="dxa" w:w="28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宋体" w:hAnsi="宋体" w:cs="宋体" w:eastAsia="宋体"/>
                      <w:sz w:val="24"/>
                    </w:rPr>
                    <w:t>9</w:t>
                  </w:r>
                </w:p>
              </w:tc>
              <w:tc>
                <w:tcPr>
                  <w:tcW w:type="dxa" w:w="228"/>
                  <w:vMerge w:val="restart"/>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宋体" w:hAnsi="宋体" w:cs="宋体" w:eastAsia="宋体"/>
                      <w:sz w:val="24"/>
                    </w:rPr>
                    <w:t>设备</w:t>
                  </w:r>
                </w:p>
              </w:tc>
              <w:tc>
                <w:tcPr>
                  <w:tcW w:type="dxa" w:w="3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宋体" w:hAnsi="宋体" w:cs="宋体" w:eastAsia="宋体"/>
                      <w:sz w:val="24"/>
                    </w:rPr>
                    <w:t>OTN传输设备</w:t>
                  </w:r>
                </w:p>
              </w:tc>
              <w:tc>
                <w:tcPr>
                  <w:tcW w:type="dxa" w:w="6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宋体" w:hAnsi="宋体" w:cs="宋体" w:eastAsia="宋体"/>
                      <w:sz w:val="24"/>
                    </w:rPr>
                    <w:t>千兆</w:t>
                  </w:r>
                  <w:r>
                    <w:rPr>
                      <w:rFonts w:ascii="宋体" w:hAnsi="宋体" w:cs="宋体" w:eastAsia="宋体"/>
                      <w:sz w:val="24"/>
                    </w:rPr>
                    <w:t>2光4电</w:t>
                  </w:r>
                </w:p>
              </w:tc>
              <w:tc>
                <w:tcPr>
                  <w:tcW w:type="dxa" w:w="97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p>
              </w:tc>
            </w:tr>
            <w:tr>
              <w:tc>
                <w:tcPr>
                  <w:tcW w:type="dxa" w:w="28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宋体" w:hAnsi="宋体" w:cs="宋体" w:eastAsia="宋体"/>
                      <w:sz w:val="24"/>
                    </w:rPr>
                    <w:t>10</w:t>
                  </w:r>
                </w:p>
              </w:tc>
              <w:tc>
                <w:tcPr>
                  <w:tcW w:type="dxa" w:w="228"/>
                  <w:vMerge/>
                  <w:tcBorders>
                    <w:top w:val="none" w:color="000000" w:sz="4"/>
                    <w:left w:val="none" w:color="000000" w:sz="4"/>
                    <w:bottom w:val="single" w:color="000000" w:sz="4"/>
                    <w:right w:val="single" w:color="000000" w:sz="4"/>
                  </w:tcBorders>
                </w:tcPr>
                <w:p/>
              </w:tc>
              <w:tc>
                <w:tcPr>
                  <w:tcW w:type="dxa" w:w="3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宋体" w:hAnsi="宋体" w:cs="宋体" w:eastAsia="宋体"/>
                      <w:sz w:val="24"/>
                    </w:rPr>
                    <w:t>OTDR光时域反射仪</w:t>
                  </w:r>
                </w:p>
              </w:tc>
              <w:tc>
                <w:tcPr>
                  <w:tcW w:type="dxa" w:w="6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宋体" w:hAnsi="宋体" w:cs="宋体" w:eastAsia="宋体"/>
                      <w:sz w:val="24"/>
                    </w:rPr>
                    <w:t>衰减盲区</w:t>
                  </w:r>
                  <w:r>
                    <w:rPr>
                      <w:rFonts w:ascii="宋体" w:hAnsi="宋体" w:cs="宋体" w:eastAsia="宋体"/>
                      <w:sz w:val="24"/>
                    </w:rPr>
                    <w:t>≤1.2米、事</w:t>
                  </w:r>
                  <w:r>
                    <w:rPr>
                      <w:rFonts w:ascii="宋体" w:hAnsi="宋体" w:cs="宋体" w:eastAsia="宋体"/>
                      <w:sz w:val="24"/>
                    </w:rPr>
                    <w:t>件</w:t>
                  </w:r>
                  <w:r>
                    <w:rPr>
                      <w:rFonts w:ascii="宋体" w:hAnsi="宋体" w:cs="宋体" w:eastAsia="宋体"/>
                      <w:sz w:val="24"/>
                    </w:rPr>
                    <w:t>盲区</w:t>
                  </w:r>
                  <w:r>
                    <w:rPr>
                      <w:rFonts w:ascii="宋体" w:hAnsi="宋体" w:cs="宋体" w:eastAsia="宋体"/>
                      <w:sz w:val="24"/>
                    </w:rPr>
                    <w:t>≤0.8米</w:t>
                  </w:r>
                </w:p>
              </w:tc>
              <w:tc>
                <w:tcPr>
                  <w:tcW w:type="dxa" w:w="97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p>
              </w:tc>
            </w:tr>
            <w:tr>
              <w:tc>
                <w:tcPr>
                  <w:tcW w:type="dxa" w:w="28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宋体" w:hAnsi="宋体" w:cs="宋体" w:eastAsia="宋体"/>
                      <w:sz w:val="24"/>
                    </w:rPr>
                    <w:t>11</w:t>
                  </w:r>
                </w:p>
              </w:tc>
              <w:tc>
                <w:tcPr>
                  <w:tcW w:type="dxa" w:w="228"/>
                  <w:vMerge/>
                  <w:tcBorders>
                    <w:top w:val="none" w:color="000000" w:sz="4"/>
                    <w:left w:val="none" w:color="000000" w:sz="4"/>
                    <w:bottom w:val="single" w:color="000000" w:sz="4"/>
                    <w:right w:val="single" w:color="000000" w:sz="4"/>
                  </w:tcBorders>
                </w:tcPr>
                <w:p/>
              </w:tc>
              <w:tc>
                <w:tcPr>
                  <w:tcW w:type="dxa" w:w="3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宋体" w:hAnsi="宋体" w:cs="宋体" w:eastAsia="宋体"/>
                      <w:sz w:val="24"/>
                    </w:rPr>
                    <w:t>光功率计</w:t>
                  </w:r>
                </w:p>
              </w:tc>
              <w:tc>
                <w:tcPr>
                  <w:tcW w:type="dxa" w:w="6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宋体" w:hAnsi="宋体" w:cs="宋体" w:eastAsia="宋体"/>
                      <w:sz w:val="24"/>
                    </w:rPr>
                    <w:t>预置波长</w:t>
                  </w:r>
                  <w:r>
                    <w:rPr>
                      <w:rFonts w:ascii="宋体" w:hAnsi="宋体" w:cs="宋体" w:eastAsia="宋体"/>
                      <w:sz w:val="24"/>
                    </w:rPr>
                    <w:t>850/130/1310/1490/1550λ</w:t>
                  </w:r>
                </w:p>
              </w:tc>
              <w:tc>
                <w:tcPr>
                  <w:tcW w:type="dxa" w:w="97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p>
              </w:tc>
            </w:tr>
            <w:tr>
              <w:tc>
                <w:tcPr>
                  <w:tcW w:type="dxa" w:w="28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宋体" w:hAnsi="宋体" w:cs="宋体" w:eastAsia="宋体"/>
                      <w:sz w:val="24"/>
                    </w:rPr>
                    <w:t>12</w:t>
                  </w:r>
                </w:p>
              </w:tc>
              <w:tc>
                <w:tcPr>
                  <w:tcW w:type="dxa" w:w="228"/>
                  <w:vMerge/>
                  <w:tcBorders>
                    <w:top w:val="none" w:color="000000" w:sz="4"/>
                    <w:left w:val="none" w:color="000000" w:sz="4"/>
                    <w:bottom w:val="single" w:color="000000" w:sz="4"/>
                    <w:right w:val="single" w:color="000000" w:sz="4"/>
                  </w:tcBorders>
                </w:tcPr>
                <w:p/>
              </w:tc>
              <w:tc>
                <w:tcPr>
                  <w:tcW w:type="dxa" w:w="3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宋体" w:hAnsi="宋体" w:cs="宋体" w:eastAsia="宋体"/>
                      <w:sz w:val="24"/>
                    </w:rPr>
                    <w:t>红光笔</w:t>
                  </w:r>
                </w:p>
              </w:tc>
              <w:tc>
                <w:tcPr>
                  <w:tcW w:type="dxa" w:w="6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宋体" w:hAnsi="宋体" w:cs="宋体" w:eastAsia="宋体"/>
                      <w:sz w:val="24"/>
                    </w:rPr>
                    <w:t>测试距离</w:t>
                  </w:r>
                  <w:r>
                    <w:rPr>
                      <w:rFonts w:ascii="宋体" w:hAnsi="宋体" w:cs="宋体" w:eastAsia="宋体"/>
                      <w:sz w:val="24"/>
                    </w:rPr>
                    <w:t>≥10km</w:t>
                  </w:r>
                </w:p>
              </w:tc>
              <w:tc>
                <w:tcPr>
                  <w:tcW w:type="dxa" w:w="97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p>
              </w:tc>
            </w:tr>
            <w:tr>
              <w:tc>
                <w:tcPr>
                  <w:tcW w:type="dxa" w:w="285"/>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宋体" w:hAnsi="宋体" w:cs="宋体" w:eastAsia="宋体"/>
                      <w:sz w:val="24"/>
                    </w:rPr>
                    <w:t>13</w:t>
                  </w:r>
                </w:p>
              </w:tc>
              <w:tc>
                <w:tcPr>
                  <w:tcW w:type="dxa" w:w="228"/>
                  <w:vMerge w:val="restart"/>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宋体" w:hAnsi="宋体" w:cs="宋体" w:eastAsia="宋体"/>
                      <w:sz w:val="24"/>
                    </w:rPr>
                    <w:t>服务</w:t>
                  </w:r>
                </w:p>
              </w:tc>
              <w:tc>
                <w:tcPr>
                  <w:tcW w:type="dxa" w:w="367"/>
                  <w:vMerge w:val="restart"/>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宋体" w:hAnsi="宋体" w:cs="宋体" w:eastAsia="宋体"/>
                      <w:sz w:val="24"/>
                    </w:rPr>
                    <w:t>故障处理时间</w:t>
                  </w:r>
                </w:p>
              </w:tc>
              <w:tc>
                <w:tcPr>
                  <w:tcW w:type="dxa" w:w="6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宋体" w:hAnsi="宋体" w:cs="宋体" w:eastAsia="宋体"/>
                      <w:sz w:val="24"/>
                    </w:rPr>
                    <w:t>响应时间</w:t>
                  </w:r>
                  <w:r>
                    <w:rPr>
                      <w:rFonts w:ascii="宋体" w:hAnsi="宋体" w:cs="宋体" w:eastAsia="宋体"/>
                      <w:sz w:val="24"/>
                    </w:rPr>
                    <w:t>≤1h</w:t>
                  </w:r>
                </w:p>
              </w:tc>
              <w:tc>
                <w:tcPr>
                  <w:tcW w:type="dxa" w:w="975"/>
                  <w:vMerge w:val="restart"/>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p>
              </w:tc>
            </w:tr>
            <w:tr>
              <w:tc>
                <w:tcPr>
                  <w:tcW w:type="dxa" w:w="285"/>
                  <w:vMerge/>
                  <w:tcBorders>
                    <w:top w:val="none" w:color="000000" w:sz="4"/>
                    <w:left w:val="single" w:color="000000" w:sz="4"/>
                    <w:bottom w:val="single" w:color="000000" w:sz="4"/>
                    <w:right w:val="single" w:color="000000" w:sz="4"/>
                  </w:tcBorders>
                </w:tcPr>
                <w:p/>
              </w:tc>
              <w:tc>
                <w:tcPr>
                  <w:tcW w:type="dxa" w:w="228"/>
                  <w:vMerge/>
                  <w:tcBorders>
                    <w:top w:val="none" w:color="000000" w:sz="4"/>
                    <w:left w:val="none" w:color="000000" w:sz="4"/>
                    <w:bottom w:val="single" w:color="000000" w:sz="4"/>
                    <w:right w:val="single" w:color="000000" w:sz="4"/>
                  </w:tcBorders>
                </w:tcPr>
                <w:p/>
              </w:tc>
              <w:tc>
                <w:tcPr>
                  <w:tcW w:type="dxa" w:w="367"/>
                  <w:vMerge/>
                  <w:tcBorders>
                    <w:top w:val="none" w:color="000000" w:sz="4"/>
                    <w:left w:val="none" w:color="000000" w:sz="4"/>
                    <w:bottom w:val="single" w:color="000000" w:sz="4"/>
                    <w:right w:val="single" w:color="000000" w:sz="4"/>
                  </w:tcBorders>
                </w:tcPr>
                <w:p/>
              </w:tc>
              <w:tc>
                <w:tcPr>
                  <w:tcW w:type="dxa" w:w="6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宋体" w:hAnsi="宋体" w:cs="宋体" w:eastAsia="宋体"/>
                      <w:sz w:val="24"/>
                    </w:rPr>
                    <w:t>恢复时间</w:t>
                  </w:r>
                  <w:r>
                    <w:rPr>
                      <w:rFonts w:ascii="宋体" w:hAnsi="宋体" w:cs="宋体" w:eastAsia="宋体"/>
                      <w:sz w:val="24"/>
                    </w:rPr>
                    <w:t>≤12h</w:t>
                  </w:r>
                </w:p>
              </w:tc>
              <w:tc>
                <w:tcPr>
                  <w:tcW w:type="dxa" w:w="975"/>
                  <w:vMerge/>
                  <w:tcBorders>
                    <w:top w:val="none" w:color="000000" w:sz="4"/>
                    <w:left w:val="none" w:color="000000" w:sz="4"/>
                    <w:bottom w:val="single" w:color="000000" w:sz="4"/>
                    <w:right w:val="single" w:color="000000" w:sz="4"/>
                  </w:tcBorders>
                </w:tcPr>
                <w:p/>
              </w:tc>
            </w:tr>
            <w:tr>
              <w:tc>
                <w:tcPr>
                  <w:tcW w:type="dxa" w:w="28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宋体" w:hAnsi="宋体" w:cs="宋体" w:eastAsia="宋体"/>
                      <w:sz w:val="24"/>
                    </w:rPr>
                    <w:t>14</w:t>
                  </w:r>
                </w:p>
              </w:tc>
              <w:tc>
                <w:tcPr>
                  <w:tcW w:type="dxa" w:w="228"/>
                  <w:vMerge/>
                  <w:tcBorders>
                    <w:top w:val="none" w:color="000000" w:sz="4"/>
                    <w:left w:val="none" w:color="000000" w:sz="4"/>
                    <w:bottom w:val="single" w:color="000000" w:sz="4"/>
                    <w:right w:val="single" w:color="000000" w:sz="4"/>
                  </w:tcBorders>
                </w:tcPr>
                <w:p/>
              </w:tc>
              <w:tc>
                <w:tcPr>
                  <w:tcW w:type="dxa" w:w="3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宋体" w:hAnsi="宋体" w:cs="宋体" w:eastAsia="宋体"/>
                      <w:sz w:val="24"/>
                    </w:rPr>
                    <w:t>线路巡检测试</w:t>
                  </w:r>
                </w:p>
              </w:tc>
              <w:tc>
                <w:tcPr>
                  <w:tcW w:type="dxa" w:w="68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宋体" w:hAnsi="宋体" w:cs="宋体" w:eastAsia="宋体"/>
                      <w:sz w:val="24"/>
                    </w:rPr>
                    <w:t>每季度</w:t>
                  </w:r>
                </w:p>
              </w:tc>
              <w:tc>
                <w:tcPr>
                  <w:tcW w:type="dxa" w:w="97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p>
              </w:tc>
            </w:tr>
          </w:tbl>
          <w:p>
            <w:pPr>
              <w:pStyle w:val="null3"/>
              <w:jc w:val="both"/>
            </w:pPr>
            <w:r>
              <w:rPr>
                <w:rFonts w:ascii="宋体" w:hAnsi="宋体" w:cs="宋体" w:eastAsia="宋体"/>
                <w:sz w:val="24"/>
              </w:rPr>
              <w:t>5、线路服务要求：</w:t>
            </w:r>
          </w:p>
          <w:p>
            <w:pPr>
              <w:pStyle w:val="null3"/>
              <w:numPr>
                <w:ilvl w:val="0"/>
                <w:numId w:val="1"/>
              </w:numPr>
              <w:jc w:val="both"/>
            </w:pPr>
            <w:r>
              <w:rPr>
                <w:rFonts w:ascii="宋体" w:hAnsi="宋体" w:cs="宋体" w:eastAsia="宋体"/>
                <w:sz w:val="24"/>
              </w:rPr>
              <w:t>合同签订与设备采购</w:t>
            </w:r>
          </w:p>
          <w:p>
            <w:pPr>
              <w:pStyle w:val="null3"/>
              <w:numPr>
                <w:ilvl w:val="0"/>
                <w:numId w:val="1"/>
              </w:numPr>
              <w:jc w:val="both"/>
            </w:pPr>
            <w:r>
              <w:rPr>
                <w:rFonts w:ascii="宋体" w:hAnsi="宋体" w:cs="宋体" w:eastAsia="宋体"/>
                <w:sz w:val="24"/>
              </w:rPr>
              <w:t>业务开通准备</w:t>
            </w:r>
          </w:p>
          <w:p>
            <w:pPr>
              <w:pStyle w:val="null3"/>
              <w:numPr>
                <w:ilvl w:val="0"/>
                <w:numId w:val="1"/>
              </w:numPr>
              <w:jc w:val="both"/>
            </w:pPr>
            <w:r>
              <w:rPr>
                <w:rFonts w:ascii="宋体" w:hAnsi="宋体" w:cs="宋体" w:eastAsia="宋体"/>
                <w:sz w:val="24"/>
              </w:rPr>
              <w:t>总体方案优化设计工作</w:t>
            </w:r>
          </w:p>
          <w:p>
            <w:pPr>
              <w:pStyle w:val="null3"/>
              <w:numPr>
                <w:ilvl w:val="0"/>
                <w:numId w:val="1"/>
              </w:numPr>
              <w:jc w:val="both"/>
            </w:pPr>
            <w:r>
              <w:rPr>
                <w:rFonts w:ascii="宋体" w:hAnsi="宋体" w:cs="宋体" w:eastAsia="宋体"/>
                <w:sz w:val="24"/>
              </w:rPr>
              <w:t>制定系统实施计划</w:t>
            </w:r>
          </w:p>
          <w:p>
            <w:pPr>
              <w:pStyle w:val="null3"/>
              <w:numPr>
                <w:ilvl w:val="0"/>
                <w:numId w:val="1"/>
              </w:numPr>
              <w:jc w:val="both"/>
            </w:pPr>
            <w:r>
              <w:rPr>
                <w:rFonts w:ascii="宋体" w:hAnsi="宋体" w:cs="宋体" w:eastAsia="宋体"/>
                <w:sz w:val="24"/>
              </w:rPr>
              <w:t>工程实施准备工作</w:t>
            </w:r>
          </w:p>
          <w:p>
            <w:pPr>
              <w:pStyle w:val="null3"/>
              <w:numPr>
                <w:ilvl w:val="0"/>
                <w:numId w:val="1"/>
              </w:numPr>
              <w:jc w:val="both"/>
            </w:pPr>
            <w:r>
              <w:rPr>
                <w:rFonts w:ascii="宋体" w:hAnsi="宋体" w:cs="宋体" w:eastAsia="宋体"/>
                <w:sz w:val="24"/>
              </w:rPr>
              <w:t>完成业务开通及设备安装调试</w:t>
            </w:r>
          </w:p>
          <w:p>
            <w:pPr>
              <w:pStyle w:val="null3"/>
              <w:numPr>
                <w:ilvl w:val="0"/>
                <w:numId w:val="1"/>
              </w:numPr>
              <w:jc w:val="both"/>
            </w:pPr>
            <w:r>
              <w:rPr>
                <w:rFonts w:ascii="宋体" w:hAnsi="宋体" w:cs="宋体" w:eastAsia="宋体"/>
                <w:sz w:val="24"/>
              </w:rPr>
              <w:t>项目的运行</w:t>
            </w:r>
          </w:p>
          <w:p>
            <w:pPr>
              <w:pStyle w:val="null3"/>
              <w:jc w:val="both"/>
            </w:pPr>
            <w:r>
              <w:rPr>
                <w:rFonts w:ascii="宋体" w:hAnsi="宋体" w:cs="宋体" w:eastAsia="宋体"/>
                <w:sz w:val="24"/>
              </w:rPr>
              <w:t>项目运行周期</w:t>
            </w:r>
            <w:r>
              <w:rPr>
                <w:rFonts w:ascii="宋体" w:hAnsi="宋体" w:cs="宋体" w:eastAsia="宋体"/>
                <w:sz w:val="24"/>
              </w:rPr>
              <w:t>：一年。</w:t>
            </w:r>
          </w:p>
          <w:p>
            <w:pPr>
              <w:pStyle w:val="null3"/>
              <w:jc w:val="both"/>
            </w:pPr>
            <w:r>
              <w:rPr>
                <w:rFonts w:ascii="宋体" w:hAnsi="宋体" w:cs="宋体" w:eastAsia="宋体"/>
                <w:sz w:val="24"/>
              </w:rPr>
              <w:t>交付规范</w:t>
            </w:r>
          </w:p>
          <w:p>
            <w:pPr>
              <w:pStyle w:val="null3"/>
              <w:ind w:firstLine="480"/>
              <w:jc w:val="both"/>
            </w:pPr>
            <w:r>
              <w:rPr>
                <w:rFonts w:ascii="宋体" w:hAnsi="宋体" w:cs="宋体" w:eastAsia="宋体"/>
                <w:sz w:val="24"/>
              </w:rPr>
              <w:t>在业务开通后，线路提供商组织人员在三个工作日内上门进行业务交付，具体包括：现场端到端电路测试、现场培训、完成网络测试交付报告、配合客户完成全网联调等，同时交付包括致客户信、业务交付清单、进网保修服务卡、进网业务使用说明书在内的交付资料，使客户了解所使用的电路故障申告服务热线及常见故障处理方法等，便于客户确认计费信息。</w:t>
            </w:r>
          </w:p>
          <w:p>
            <w:pPr>
              <w:pStyle w:val="null3"/>
              <w:jc w:val="both"/>
            </w:pPr>
            <w:r>
              <w:rPr>
                <w:rFonts w:ascii="宋体" w:hAnsi="宋体" w:cs="宋体" w:eastAsia="宋体"/>
                <w:sz w:val="24"/>
              </w:rPr>
              <w:t>回访服务</w:t>
            </w:r>
          </w:p>
          <w:p>
            <w:pPr>
              <w:pStyle w:val="null3"/>
              <w:ind w:firstLine="480"/>
              <w:jc w:val="both"/>
            </w:pPr>
            <w:r>
              <w:rPr>
                <w:rFonts w:ascii="宋体" w:hAnsi="宋体" w:cs="宋体" w:eastAsia="宋体"/>
                <w:sz w:val="24"/>
              </w:rPr>
              <w:t>陕西省财政厅要求的各项业务开通以后每月进行一次线路检测并提供检测报告。一月内或故障申告处理后</w:t>
            </w:r>
            <w:r>
              <w:rPr>
                <w:rFonts w:ascii="宋体" w:hAnsi="宋体" w:cs="宋体" w:eastAsia="宋体"/>
                <w:sz w:val="24"/>
              </w:rPr>
              <w:t>3日之内，要进行100%回访，及时了解陕西省财政厅进网或对故障处理的意见、存在的问题，发现陕西省财政厅不满的问题立即组织力量予以解决。要做好回访记录，作为大客户档案资料予以保存。</w:t>
            </w:r>
          </w:p>
          <w:p>
            <w:pPr>
              <w:pStyle w:val="null3"/>
              <w:jc w:val="both"/>
            </w:pPr>
            <w:r>
              <w:rPr>
                <w:rFonts w:ascii="宋体" w:hAnsi="宋体" w:cs="宋体" w:eastAsia="宋体"/>
                <w:sz w:val="24"/>
              </w:rPr>
              <w:t>回访服务岗位工作人员要礼貌回访，用语亲切、柔和，要耐心倾听客户的意见。</w:t>
            </w:r>
          </w:p>
          <w:p>
            <w:pPr>
              <w:pStyle w:val="null3"/>
              <w:jc w:val="both"/>
            </w:pPr>
            <w:r>
              <w:rPr>
                <w:rFonts w:ascii="宋体" w:hAnsi="宋体" w:cs="宋体" w:eastAsia="宋体"/>
                <w:sz w:val="24"/>
              </w:rPr>
              <w:t>回访记录分类整理之后送客户经理，由客户经理牵头处理陕西省财政厅遗留问题。</w:t>
            </w:r>
          </w:p>
          <w:p>
            <w:pPr>
              <w:pStyle w:val="null3"/>
              <w:ind w:firstLine="480"/>
              <w:jc w:val="both"/>
            </w:pPr>
            <w:r>
              <w:rPr>
                <w:rFonts w:ascii="宋体" w:hAnsi="宋体" w:cs="宋体" w:eastAsia="宋体"/>
                <w:sz w:val="24"/>
              </w:rPr>
              <w:t>一站服务包括：一点业务咨询、一点业务受理、一点故障申告、一点计费结算、一点技术支持。</w:t>
            </w:r>
          </w:p>
          <w:p>
            <w:pPr>
              <w:pStyle w:val="null3"/>
              <w:numPr>
                <w:ilvl w:val="0"/>
                <w:numId w:val="1"/>
              </w:numPr>
              <w:jc w:val="both"/>
            </w:pPr>
            <w:r>
              <w:rPr>
                <w:rFonts w:ascii="宋体" w:hAnsi="宋体" w:cs="宋体" w:eastAsia="宋体"/>
                <w:sz w:val="24"/>
              </w:rPr>
              <w:t>一点业务咨询</w:t>
            </w:r>
          </w:p>
          <w:p>
            <w:pPr>
              <w:pStyle w:val="null3"/>
              <w:ind w:left="480" w:firstLine="240"/>
              <w:jc w:val="both"/>
            </w:pPr>
            <w:r>
              <w:rPr>
                <w:rFonts w:ascii="宋体" w:hAnsi="宋体" w:cs="宋体" w:eastAsia="宋体"/>
                <w:sz w:val="24"/>
              </w:rPr>
              <w:t>各级大客户服务部门均可以根据客户组网的需求，提供业务介绍、组网方案设计，编制网络应用解决方案等咨询服务。</w:t>
            </w:r>
          </w:p>
          <w:p>
            <w:pPr>
              <w:pStyle w:val="null3"/>
              <w:numPr>
                <w:ilvl w:val="0"/>
                <w:numId w:val="1"/>
              </w:numPr>
              <w:jc w:val="both"/>
            </w:pPr>
            <w:r>
              <w:rPr>
                <w:rFonts w:ascii="宋体" w:hAnsi="宋体" w:cs="宋体" w:eastAsia="宋体"/>
                <w:sz w:val="24"/>
              </w:rPr>
              <w:t>一点业务受理</w:t>
            </w:r>
          </w:p>
          <w:p>
            <w:pPr>
              <w:pStyle w:val="null3"/>
              <w:ind w:left="480" w:firstLine="480"/>
              <w:jc w:val="both"/>
            </w:pPr>
            <w:r>
              <w:rPr>
                <w:rFonts w:ascii="宋体" w:hAnsi="宋体" w:cs="宋体" w:eastAsia="宋体"/>
                <w:sz w:val="24"/>
              </w:rPr>
              <w:t>各级大客户服务部门可以根据客户的需求，一点受理客户的全部电信业务，并组织电路调度、调测开通，在承诺的时限内完成客户的进网工作。对客户的紧急需求，可采取绿色通道，快速办理。</w:t>
            </w:r>
          </w:p>
          <w:p>
            <w:pPr>
              <w:pStyle w:val="null3"/>
              <w:numPr>
                <w:ilvl w:val="0"/>
                <w:numId w:val="1"/>
              </w:numPr>
              <w:jc w:val="both"/>
            </w:pPr>
            <w:r>
              <w:rPr>
                <w:rFonts w:ascii="宋体" w:hAnsi="宋体" w:cs="宋体" w:eastAsia="宋体"/>
                <w:sz w:val="24"/>
              </w:rPr>
              <w:t>一点故障申告</w:t>
            </w:r>
          </w:p>
          <w:p>
            <w:pPr>
              <w:pStyle w:val="null3"/>
              <w:ind w:left="480" w:firstLine="480"/>
              <w:jc w:val="both"/>
            </w:pPr>
            <w:r>
              <w:rPr>
                <w:rFonts w:ascii="宋体" w:hAnsi="宋体" w:cs="宋体" w:eastAsia="宋体"/>
                <w:sz w:val="24"/>
              </w:rPr>
              <w:t>线路提供商为客户提供</w:t>
            </w:r>
            <w:r>
              <w:rPr>
                <w:rFonts w:ascii="宋体" w:hAnsi="宋体" w:cs="宋体" w:eastAsia="宋体"/>
                <w:sz w:val="24"/>
              </w:rPr>
              <w:t>7*24小时一点故障申告处理和投诉服务。按照“首问负责”的原则，客户可以就近向当地客户服务热线提出故障申告或投诉，以便获得更加及时的服务。同时，大客户的绿色通道及时解决客户使用网络中遇到的问题，为客户提供快速、优质响应服务。</w:t>
            </w:r>
          </w:p>
          <w:p>
            <w:pPr>
              <w:pStyle w:val="null3"/>
              <w:numPr>
                <w:ilvl w:val="0"/>
                <w:numId w:val="1"/>
              </w:numPr>
              <w:jc w:val="both"/>
            </w:pPr>
            <w:r>
              <w:rPr>
                <w:rFonts w:ascii="宋体" w:hAnsi="宋体" w:cs="宋体" w:eastAsia="宋体"/>
                <w:sz w:val="24"/>
              </w:rPr>
              <w:t>一点计费结算</w:t>
            </w:r>
          </w:p>
          <w:p>
            <w:pPr>
              <w:pStyle w:val="null3"/>
              <w:ind w:left="480" w:firstLine="480"/>
              <w:jc w:val="both"/>
            </w:pPr>
            <w:r>
              <w:rPr>
                <w:rFonts w:ascii="宋体" w:hAnsi="宋体" w:cs="宋体" w:eastAsia="宋体"/>
                <w:sz w:val="24"/>
              </w:rPr>
              <w:t>根据客户需求，本着方便客户的原则，线路提供商为客户提供统一的计费结算服务。客户可以在合同中选择向大客户服务部门一点付费，避免在各地分散交费的烦恼。</w:t>
            </w:r>
          </w:p>
          <w:p>
            <w:pPr>
              <w:pStyle w:val="null3"/>
              <w:numPr>
                <w:ilvl w:val="0"/>
                <w:numId w:val="1"/>
              </w:numPr>
              <w:jc w:val="both"/>
            </w:pPr>
            <w:r>
              <w:rPr>
                <w:rFonts w:ascii="宋体" w:hAnsi="宋体" w:cs="宋体" w:eastAsia="宋体"/>
                <w:sz w:val="24"/>
              </w:rPr>
              <w:t>一点技术支持</w:t>
            </w:r>
          </w:p>
          <w:p>
            <w:pPr>
              <w:pStyle w:val="null3"/>
              <w:jc w:val="both"/>
            </w:pPr>
            <w:r>
              <w:rPr>
                <w:rFonts w:ascii="宋体" w:hAnsi="宋体" w:cs="宋体" w:eastAsia="宋体"/>
                <w:sz w:val="24"/>
              </w:rPr>
              <w:t>线路提供商就业务咨询、组网与网络应用、系统集成、网络代维、网络测试、故障诊断等提供全面技术支持，为每个客户量身定制个性化的整体解决方案，全面提升客户的价值。</w:t>
            </w:r>
          </w:p>
          <w:p>
            <w:pPr>
              <w:pStyle w:val="null3"/>
              <w:jc w:val="both"/>
            </w:pPr>
            <w:r>
              <w:rPr>
                <w:rFonts w:ascii="宋体" w:hAnsi="宋体" w:cs="宋体" w:eastAsia="宋体"/>
                <w:sz w:val="24"/>
              </w:rPr>
              <w:t>通信保障服务</w:t>
            </w:r>
          </w:p>
          <w:p>
            <w:pPr>
              <w:pStyle w:val="null3"/>
              <w:jc w:val="both"/>
            </w:pPr>
            <w:r>
              <w:rPr>
                <w:rFonts w:ascii="宋体" w:hAnsi="宋体" w:cs="宋体" w:eastAsia="宋体"/>
                <w:sz w:val="24"/>
              </w:rPr>
              <w:t>a.服务目标</w:t>
            </w:r>
          </w:p>
          <w:p>
            <w:pPr>
              <w:pStyle w:val="null3"/>
              <w:ind w:firstLine="480"/>
              <w:jc w:val="both"/>
            </w:pPr>
            <w:r>
              <w:rPr>
                <w:rFonts w:ascii="宋体" w:hAnsi="宋体" w:cs="宋体" w:eastAsia="宋体"/>
                <w:sz w:val="24"/>
              </w:rPr>
              <w:t>保障客户应用信息网络系统的可靠平稳运行。针对本次财政厅内部网络组网项目，线路提供商将在业务进行期间为财政厅提供完备的信息化建设保障服务。</w:t>
            </w:r>
          </w:p>
          <w:p>
            <w:pPr>
              <w:pStyle w:val="null3"/>
              <w:jc w:val="both"/>
            </w:pPr>
            <w:r>
              <w:rPr>
                <w:rFonts w:ascii="宋体" w:hAnsi="宋体" w:cs="宋体" w:eastAsia="宋体"/>
                <w:sz w:val="24"/>
              </w:rPr>
              <w:t>b.服务内容</w:t>
            </w:r>
          </w:p>
          <w:p>
            <w:pPr>
              <w:pStyle w:val="null3"/>
              <w:ind w:firstLine="480"/>
              <w:jc w:val="both"/>
            </w:pPr>
            <w:r>
              <w:rPr>
                <w:rFonts w:ascii="宋体" w:hAnsi="宋体" w:cs="宋体" w:eastAsia="宋体"/>
                <w:sz w:val="24"/>
              </w:rPr>
              <w:t>线路提供商将为财政厅内部网络提供信息化建设保障服务，财政厅内部网络在业务进行之前可向运营商提出信息化建设保障需求，客户应说明服务涉及的项目以及服务时间要求，线路提供商将制定服务保障方案并采取必要的措施保证业务的可靠平稳运行，保障服务措施包括以下几点：</w:t>
            </w:r>
          </w:p>
          <w:p>
            <w:pPr>
              <w:pStyle w:val="null3"/>
              <w:jc w:val="both"/>
            </w:pPr>
            <w:r>
              <w:rPr>
                <w:rFonts w:ascii="宋体" w:hAnsi="宋体" w:cs="宋体" w:eastAsia="宋体"/>
                <w:sz w:val="24"/>
              </w:rPr>
              <w:t>（</w:t>
            </w:r>
            <w:r>
              <w:rPr>
                <w:rFonts w:ascii="宋体" w:hAnsi="宋体" w:cs="宋体" w:eastAsia="宋体"/>
                <w:sz w:val="24"/>
              </w:rPr>
              <w:t>1）建立完备的客户档案</w:t>
            </w:r>
          </w:p>
          <w:p>
            <w:pPr>
              <w:pStyle w:val="null3"/>
              <w:ind w:firstLine="480"/>
              <w:jc w:val="both"/>
            </w:pPr>
            <w:r>
              <w:rPr>
                <w:rFonts w:ascii="宋体" w:hAnsi="宋体" w:cs="宋体" w:eastAsia="宋体"/>
                <w:sz w:val="24"/>
              </w:rPr>
              <w:t>线路提供商将对相应的电路、设备进行特殊标记，以保证其相关维护资料的准确性；建立详细、完备的电路资料档案、网络运行档案以及设备运行参数档案，为保证财政厅内部网络信息网络系统稳定运行提供良好的条件。</w:t>
            </w:r>
          </w:p>
          <w:p>
            <w:pPr>
              <w:pStyle w:val="null3"/>
              <w:jc w:val="both"/>
            </w:pPr>
            <w:r>
              <w:rPr>
                <w:rFonts w:ascii="宋体" w:hAnsi="宋体" w:cs="宋体" w:eastAsia="宋体"/>
                <w:sz w:val="24"/>
              </w:rPr>
              <w:t>（</w:t>
            </w:r>
            <w:r>
              <w:rPr>
                <w:rFonts w:ascii="宋体" w:hAnsi="宋体" w:cs="宋体" w:eastAsia="宋体"/>
                <w:sz w:val="24"/>
              </w:rPr>
              <w:t>2）信息网络系统保障</w:t>
            </w:r>
          </w:p>
          <w:p>
            <w:pPr>
              <w:pStyle w:val="null3"/>
              <w:ind w:firstLine="480"/>
              <w:jc w:val="both"/>
            </w:pPr>
            <w:r>
              <w:rPr>
                <w:rFonts w:ascii="宋体" w:hAnsi="宋体" w:cs="宋体" w:eastAsia="宋体"/>
                <w:sz w:val="24"/>
              </w:rPr>
              <w:t>线路提供商派技术过硬的员工进驻财政厅内部网络有需要的信息网络系统管理机房或现场，协助客户进行保障工作。</w:t>
            </w:r>
          </w:p>
          <w:p>
            <w:pPr>
              <w:pStyle w:val="null3"/>
              <w:jc w:val="both"/>
            </w:pPr>
            <w:r>
              <w:rPr>
                <w:rFonts w:ascii="宋体" w:hAnsi="宋体" w:cs="宋体" w:eastAsia="宋体"/>
                <w:sz w:val="24"/>
              </w:rPr>
              <w:t>（</w:t>
            </w:r>
            <w:r>
              <w:rPr>
                <w:rFonts w:ascii="宋体" w:hAnsi="宋体" w:cs="宋体" w:eastAsia="宋体"/>
                <w:sz w:val="24"/>
              </w:rPr>
              <w:t>3）应急故障处理</w:t>
            </w:r>
          </w:p>
          <w:p>
            <w:pPr>
              <w:pStyle w:val="null3"/>
              <w:ind w:firstLine="480"/>
              <w:jc w:val="both"/>
            </w:pPr>
            <w:r>
              <w:rPr>
                <w:rFonts w:ascii="宋体" w:hAnsi="宋体" w:cs="宋体" w:eastAsia="宋体"/>
                <w:sz w:val="24"/>
              </w:rPr>
              <w:t>为财政厅内部网络制定完善的紧急故障处理流程及应急预案，保证紧急情况下快速进行故障处理，缩短障碍处理时间和电路倒接时间。</w:t>
            </w:r>
          </w:p>
          <w:p>
            <w:pPr>
              <w:pStyle w:val="null3"/>
              <w:jc w:val="both"/>
            </w:pPr>
            <w:r>
              <w:rPr>
                <w:rFonts w:ascii="宋体" w:hAnsi="宋体" w:cs="宋体" w:eastAsia="宋体"/>
                <w:sz w:val="24"/>
              </w:rPr>
              <w:t>故障响应和处理服务</w:t>
            </w:r>
          </w:p>
          <w:p>
            <w:pPr>
              <w:pStyle w:val="null3"/>
              <w:ind w:firstLine="240"/>
              <w:jc w:val="both"/>
            </w:pPr>
            <w:r>
              <w:rPr>
                <w:rFonts w:ascii="宋体" w:hAnsi="宋体" w:cs="宋体" w:eastAsia="宋体"/>
                <w:sz w:val="24"/>
              </w:rPr>
              <w:t>（</w:t>
            </w:r>
            <w:r>
              <w:rPr>
                <w:rFonts w:ascii="宋体" w:hAnsi="宋体" w:cs="宋体" w:eastAsia="宋体"/>
                <w:sz w:val="24"/>
              </w:rPr>
              <w:t>1）服务目标： 实现“零时延”故障响应。通过多种方式，在最短的时间内响应并解决财政厅内部网络业务运行过程中出现的故障，最大程度的降低网络故障对财政厅内部网络各项业务产生的影响。</w:t>
            </w:r>
          </w:p>
          <w:p>
            <w:pPr>
              <w:pStyle w:val="null3"/>
              <w:ind w:firstLine="240"/>
              <w:jc w:val="both"/>
            </w:pPr>
            <w:r>
              <w:rPr>
                <w:rFonts w:ascii="宋体" w:hAnsi="宋体" w:cs="宋体" w:eastAsia="宋体"/>
                <w:sz w:val="24"/>
              </w:rPr>
              <w:t>（</w:t>
            </w:r>
            <w:r>
              <w:rPr>
                <w:rFonts w:ascii="宋体" w:hAnsi="宋体" w:cs="宋体" w:eastAsia="宋体"/>
                <w:sz w:val="24"/>
              </w:rPr>
              <w:t>2）服务内容</w:t>
            </w:r>
          </w:p>
          <w:p>
            <w:pPr>
              <w:pStyle w:val="null3"/>
              <w:ind w:firstLine="480"/>
              <w:jc w:val="both"/>
            </w:pPr>
            <w:r>
              <w:rPr>
                <w:rFonts w:ascii="宋体" w:hAnsi="宋体" w:cs="宋体" w:eastAsia="宋体"/>
                <w:sz w:val="24"/>
              </w:rPr>
              <w:t>财政厅内部网络享受运营商大客户的服务。对于财政厅内部网络在业务运行过程中出现的故障，财政厅内部网络可以通过我们的大客户服务获得更为及时的服务响应，提供</w:t>
            </w:r>
            <w:r>
              <w:rPr>
                <w:rFonts w:ascii="宋体" w:hAnsi="宋体" w:cs="宋体" w:eastAsia="宋体"/>
                <w:sz w:val="24"/>
              </w:rPr>
              <w:t>7*24的不间断服务。为使财政厅内部网络获得更加及时的服务。</w:t>
            </w:r>
          </w:p>
          <w:p>
            <w:pPr>
              <w:pStyle w:val="null3"/>
              <w:ind w:firstLine="240"/>
              <w:jc w:val="both"/>
            </w:pPr>
            <w:r>
              <w:rPr>
                <w:rFonts w:ascii="宋体" w:hAnsi="宋体" w:cs="宋体" w:eastAsia="宋体"/>
                <w:sz w:val="24"/>
              </w:rPr>
              <w:t>（</w:t>
            </w:r>
            <w:r>
              <w:rPr>
                <w:rFonts w:ascii="宋体" w:hAnsi="宋体" w:cs="宋体" w:eastAsia="宋体"/>
                <w:sz w:val="24"/>
              </w:rPr>
              <w:t>3）故障申告方式</w:t>
            </w:r>
          </w:p>
          <w:p>
            <w:pPr>
              <w:pStyle w:val="null3"/>
              <w:ind w:firstLine="480"/>
              <w:jc w:val="both"/>
            </w:pPr>
            <w:r>
              <w:rPr>
                <w:rFonts w:ascii="宋体" w:hAnsi="宋体" w:cs="宋体" w:eastAsia="宋体"/>
                <w:sz w:val="24"/>
              </w:rPr>
              <w:t>财政厅内部网络可选择以下任何一种方式向运营商申告，针对不同等级的网络故障，采用不同的处理方式，并有相应的处理流程提供保证，直到客户满意为止。</w:t>
            </w:r>
          </w:p>
          <w:p>
            <w:pPr>
              <w:pStyle w:val="null3"/>
              <w:ind w:firstLine="480"/>
              <w:jc w:val="both"/>
            </w:pPr>
            <w:r>
              <w:rPr>
                <w:rFonts w:ascii="宋体" w:hAnsi="宋体" w:cs="宋体" w:eastAsia="宋体"/>
                <w:sz w:val="24"/>
              </w:rPr>
              <w:t>全省性故障或复杂、重大故障，财政厅内部网络可以直接拨打绿色通道电话，为财政厅内部网络提供全程联动的故障处理机制，缩短故障历时，并将处理情况反馈给客户。</w:t>
            </w:r>
          </w:p>
          <w:p>
            <w:pPr>
              <w:pStyle w:val="null3"/>
              <w:ind w:firstLine="480"/>
              <w:jc w:val="both"/>
            </w:pPr>
            <w:r>
              <w:rPr>
                <w:rFonts w:ascii="宋体" w:hAnsi="宋体" w:cs="宋体" w:eastAsia="宋体"/>
                <w:sz w:val="24"/>
              </w:rPr>
              <w:t>如果客户确定故障属于局部地域的本地故障，为方便故障的及时处理，当地的财政局可直接向当地服务热线申告。</w:t>
            </w:r>
          </w:p>
          <w:p>
            <w:pPr>
              <w:pStyle w:val="null3"/>
              <w:ind w:firstLine="480"/>
              <w:jc w:val="both"/>
            </w:pPr>
            <w:r>
              <w:rPr>
                <w:rFonts w:ascii="宋体" w:hAnsi="宋体" w:cs="宋体" w:eastAsia="宋体"/>
                <w:sz w:val="24"/>
              </w:rPr>
              <w:t>如果客户认为故障原因和地域无法判明，或与服务热线沟通有困难，可以选择向您的客户经理申告故障，由他代向有关部门申告故障，并全程协调解决，将解决情况告之客户。</w:t>
            </w:r>
          </w:p>
          <w:p>
            <w:pPr>
              <w:pStyle w:val="null3"/>
              <w:ind w:firstLine="480"/>
              <w:jc w:val="both"/>
            </w:pPr>
            <w:r>
              <w:rPr>
                <w:rFonts w:ascii="宋体" w:hAnsi="宋体" w:cs="宋体" w:eastAsia="宋体"/>
                <w:sz w:val="24"/>
              </w:rPr>
              <w:t>上述客户服务热线均提供</w:t>
            </w:r>
            <w:r>
              <w:rPr>
                <w:rFonts w:ascii="宋体" w:hAnsi="宋体" w:cs="宋体" w:eastAsia="宋体"/>
                <w:sz w:val="24"/>
              </w:rPr>
              <w:t>7*24的不间断服务。</w:t>
            </w:r>
          </w:p>
          <w:p>
            <w:pPr>
              <w:pStyle w:val="null3"/>
              <w:jc w:val="both"/>
            </w:pPr>
            <w:r>
              <w:rPr>
                <w:rFonts w:ascii="宋体" w:hAnsi="宋体" w:cs="宋体" w:eastAsia="宋体"/>
                <w:sz w:val="24"/>
              </w:rPr>
              <w:t>（</w:t>
            </w:r>
            <w:r>
              <w:rPr>
                <w:rFonts w:ascii="宋体" w:hAnsi="宋体" w:cs="宋体" w:eastAsia="宋体"/>
                <w:sz w:val="24"/>
              </w:rPr>
              <w:t>4）故障处理流程</w:t>
            </w:r>
          </w:p>
          <w:p>
            <w:pPr>
              <w:pStyle w:val="null3"/>
              <w:ind w:firstLine="480"/>
              <w:jc w:val="both"/>
            </w:pPr>
            <w:r>
              <w:rPr>
                <w:rFonts w:ascii="宋体" w:hAnsi="宋体" w:cs="宋体" w:eastAsia="宋体"/>
                <w:sz w:val="24"/>
              </w:rPr>
              <w:t>线路提供商承诺为财政厅广域网网络提供</w:t>
            </w:r>
            <w:r>
              <w:rPr>
                <w:rFonts w:ascii="宋体" w:hAnsi="宋体" w:cs="宋体" w:eastAsia="宋体"/>
                <w:sz w:val="24"/>
              </w:rPr>
              <w:t>7*24小时的不间断服务。在接到财政厅广域网络申告电话后，10分钟内给予故障申告响应回复，同城4小时内解决问题，异地6小时解决问题。</w:t>
            </w:r>
          </w:p>
          <w:p>
            <w:pPr>
              <w:pStyle w:val="null3"/>
              <w:jc w:val="both"/>
            </w:pPr>
            <w:r>
              <w:rPr>
                <w:rFonts w:ascii="宋体" w:hAnsi="宋体" w:cs="宋体" w:eastAsia="宋体"/>
                <w:sz w:val="24"/>
              </w:rPr>
              <w:t>6、项目验收标准：按照陕西省财政厅网络安全和信息化项目验收管理暂行办法执行。</w:t>
            </w:r>
          </w:p>
        </w:tc>
      </w:tr>
    </w:tbl>
    <w:p>
      <w:pPr>
        <w:pStyle w:val="null3"/>
        <w:outlineLvl w:val="3"/>
      </w:pPr>
      <w:r>
        <w:rPr>
          <w:sz w:val="24"/>
          <w:b/>
        </w:rPr>
        <w:t>3.2.3人员配置要求</w:t>
      </w:r>
    </w:p>
    <w:p>
      <w:pPr>
        <w:pStyle w:val="null3"/>
      </w:pPr>
      <w:r>
        <w:rPr/>
        <w:t>采购包1：</w:t>
      </w:r>
    </w:p>
    <w:p>
      <w:pPr>
        <w:pStyle w:val="null3"/>
      </w:pPr>
      <w:r>
        <w:rPr/>
        <w:t>满足项目需求</w:t>
      </w:r>
    </w:p>
    <w:p>
      <w:pPr>
        <w:pStyle w:val="null3"/>
      </w:pPr>
      <w:r>
        <w:rPr/>
        <w:t>采购包2：</w:t>
      </w:r>
    </w:p>
    <w:p>
      <w:pPr>
        <w:pStyle w:val="null3"/>
      </w:pPr>
      <w:r>
        <w:rPr/>
        <w:t>满足项目需求</w:t>
      </w:r>
    </w:p>
    <w:p>
      <w:pPr>
        <w:pStyle w:val="null3"/>
      </w:pPr>
      <w:r>
        <w:rPr/>
        <w:t>采购包3：</w:t>
      </w:r>
    </w:p>
    <w:p>
      <w:pPr>
        <w:pStyle w:val="null3"/>
      </w:pPr>
      <w:r>
        <w:rPr/>
        <w:t>满足项目需求</w:t>
      </w:r>
    </w:p>
    <w:p>
      <w:pPr>
        <w:pStyle w:val="null3"/>
        <w:outlineLvl w:val="3"/>
      </w:pPr>
      <w:r>
        <w:rPr>
          <w:sz w:val="24"/>
          <w:b/>
        </w:rPr>
        <w:t>3.2.4设施设备配置要求</w:t>
      </w:r>
    </w:p>
    <w:p>
      <w:pPr>
        <w:pStyle w:val="null3"/>
      </w:pPr>
      <w:r>
        <w:rPr/>
        <w:t>采购包1：</w:t>
      </w:r>
    </w:p>
    <w:p>
      <w:pPr>
        <w:pStyle w:val="null3"/>
      </w:pPr>
      <w:r>
        <w:rPr/>
        <w:t>满足项目需求</w:t>
      </w:r>
    </w:p>
    <w:p>
      <w:pPr>
        <w:pStyle w:val="null3"/>
      </w:pPr>
      <w:r>
        <w:rPr/>
        <w:t>采购包2：</w:t>
      </w:r>
    </w:p>
    <w:p>
      <w:pPr>
        <w:pStyle w:val="null3"/>
      </w:pPr>
      <w:r>
        <w:rPr/>
        <w:t>满足项目需求</w:t>
      </w:r>
    </w:p>
    <w:p>
      <w:pPr>
        <w:pStyle w:val="null3"/>
      </w:pPr>
      <w:r>
        <w:rPr/>
        <w:t>采购包3：</w:t>
      </w:r>
    </w:p>
    <w:p>
      <w:pPr>
        <w:pStyle w:val="null3"/>
      </w:pPr>
      <w:r>
        <w:rPr/>
        <w:t>满足项目需求</w:t>
      </w:r>
    </w:p>
    <w:p>
      <w:pPr>
        <w:pStyle w:val="null3"/>
        <w:outlineLvl w:val="3"/>
      </w:pPr>
      <w:r>
        <w:rPr>
          <w:sz w:val="24"/>
          <w:b/>
        </w:rPr>
        <w:t>3.2.5其他要求</w:t>
      </w:r>
    </w:p>
    <w:p>
      <w:pPr>
        <w:pStyle w:val="null3"/>
      </w:pPr>
      <w:r>
        <w:rPr/>
        <w:t>采购包1：</w:t>
      </w:r>
    </w:p>
    <w:p>
      <w:pPr>
        <w:pStyle w:val="null3"/>
      </w:pPr>
      <w:r>
        <w:rPr/>
        <w:t>无</w:t>
      </w:r>
    </w:p>
    <w:p>
      <w:pPr>
        <w:pStyle w:val="null3"/>
      </w:pPr>
      <w:r>
        <w:rPr/>
        <w:t>采购包2：</w:t>
      </w:r>
    </w:p>
    <w:p>
      <w:pPr>
        <w:pStyle w:val="null3"/>
      </w:pPr>
      <w:r>
        <w:rPr/>
        <w:t>无</w:t>
      </w:r>
    </w:p>
    <w:p>
      <w:pPr>
        <w:pStyle w:val="null3"/>
      </w:pPr>
      <w:r>
        <w:rPr/>
        <w:t>采购包3：</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一年</w:t>
      </w:r>
    </w:p>
    <w:p>
      <w:pPr>
        <w:pStyle w:val="null3"/>
      </w:pPr>
      <w:r>
        <w:rPr/>
        <w:t>采购包2：</w:t>
      </w:r>
    </w:p>
    <w:p>
      <w:pPr>
        <w:pStyle w:val="null3"/>
      </w:pPr>
      <w:r>
        <w:rPr/>
        <w:t>一年</w:t>
      </w:r>
    </w:p>
    <w:p>
      <w:pPr>
        <w:pStyle w:val="null3"/>
      </w:pPr>
      <w:r>
        <w:rPr/>
        <w:t>采购包3：</w:t>
      </w:r>
    </w:p>
    <w:p>
      <w:pPr>
        <w:pStyle w:val="null3"/>
      </w:pPr>
      <w:r>
        <w:rPr/>
        <w:t>一年</w:t>
      </w:r>
    </w:p>
    <w:p>
      <w:pPr>
        <w:pStyle w:val="null3"/>
        <w:outlineLvl w:val="3"/>
      </w:pPr>
      <w:r>
        <w:rPr>
          <w:sz w:val="24"/>
          <w:b/>
        </w:rPr>
        <w:t>3.3.2服务地点</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pPr>
      <w:r>
        <w:rPr/>
        <w:t>采购包3：</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按照陕西省财政厅网络安全和信息化项目验收管理暂行办法执行。</w:t>
      </w:r>
    </w:p>
    <w:p>
      <w:pPr>
        <w:pStyle w:val="null3"/>
      </w:pPr>
      <w:r>
        <w:rPr/>
        <w:t>采购包2：</w:t>
      </w:r>
    </w:p>
    <w:p>
      <w:pPr>
        <w:pStyle w:val="null3"/>
      </w:pPr>
      <w:r>
        <w:rPr/>
        <w:t>按照陕西省财政厅网络安全和信息化项目验收管理暂行办法执行。</w:t>
      </w:r>
    </w:p>
    <w:p>
      <w:pPr>
        <w:pStyle w:val="null3"/>
      </w:pPr>
      <w:r>
        <w:rPr/>
        <w:t>采购包3：</w:t>
      </w:r>
    </w:p>
    <w:p>
      <w:pPr>
        <w:pStyle w:val="null3"/>
      </w:pPr>
      <w:r>
        <w:rPr/>
        <w:t>按照陕西省财政厅网络安全和信息化项目验收管理暂行办法执行。</w:t>
      </w:r>
    </w:p>
    <w:p>
      <w:pPr>
        <w:pStyle w:val="null3"/>
        <w:outlineLvl w:val="3"/>
      </w:pPr>
      <w:r>
        <w:rPr>
          <w:sz w:val="24"/>
          <w:b/>
        </w:rPr>
        <w:t>3.3.4支付方式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pPr>
      <w:r>
        <w:rPr/>
        <w:t>采购包3：</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（1）首期款：签订合同后 30 个日历日内，乙方书面提出支付申请函及与支付金额等额的增值税普通发票，甲方确认后启动首期款支付流程，支付合同总金额的30 %。</w:t>
      </w:r>
      <w:r>
        <w:rPr/>
        <w:t xml:space="preserve"> ，达到付款条件起 </w:t>
      </w:r>
      <w:r>
        <w:rPr/>
        <w:t>30</w:t>
      </w:r>
      <w:r>
        <w:rPr/>
        <w:t xml:space="preserve"> 日内，支付合同总金额的 </w:t>
      </w:r>
      <w:r>
        <w:rPr/>
        <w:t>30.00</w:t>
      </w:r>
      <w:r>
        <w:rPr/>
        <w:t>%。</w:t>
      </w:r>
    </w:p>
    <w:p>
      <w:pPr>
        <w:pStyle w:val="null3"/>
      </w:pPr>
      <w:r>
        <w:rPr/>
        <w:t>采购包1：</w:t>
      </w:r>
      <w:r>
        <w:rPr/>
        <w:t xml:space="preserve"> 付款条件说明： </w:t>
      </w:r>
      <w:r>
        <w:rPr/>
        <w:t>（2）第二期款：本项目运维9个月后，乙方书面提出支付申请函及与支付金额等额的增值税普通发票，甲方确认后启动尾款支付流程，支付合同总金额的 40 %。</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（3）尾款：本项目经甲方验收通过后 30个日历日内，乙方书面提出支付申请函及与支付金额等额的增值税普通发票，甲方确认后启动尾款支付流程，支付合同总金额的 30 %。</w:t>
      </w:r>
      <w:r>
        <w:rPr/>
        <w:t xml:space="preserve"> ，达到付款条件起 </w:t>
      </w:r>
      <w:r>
        <w:rPr/>
        <w:t>30</w:t>
      </w:r>
      <w:r>
        <w:rPr/>
        <w:t xml:space="preserve"> 日内，支付合同总金额的 </w:t>
      </w:r>
      <w:r>
        <w:rPr/>
        <w:t>30.00</w:t>
      </w:r>
      <w:r>
        <w:rPr/>
        <w:t>%。</w:t>
      </w:r>
    </w:p>
    <w:p>
      <w:pPr>
        <w:pStyle w:val="null3"/>
      </w:pPr>
      <w:r>
        <w:rPr/>
        <w:t>采购包2：</w:t>
      </w:r>
      <w:r>
        <w:rPr/>
        <w:t xml:space="preserve"> 付款条件说明： </w:t>
      </w:r>
      <w:r>
        <w:rPr/>
        <w:t>（1）首期款：签订合同后 30 个日历日内，乙方书面提出支付申请函及与支付金额等额的增值税普通发票，甲方确认后启动首期款支付流程，支付合同总金额的30 %。</w:t>
      </w:r>
      <w:r>
        <w:rPr/>
        <w:t xml:space="preserve"> ，达到付款条件起 </w:t>
      </w:r>
      <w:r>
        <w:rPr/>
        <w:t>30</w:t>
      </w:r>
      <w:r>
        <w:rPr/>
        <w:t xml:space="preserve"> 日内，支付合同总金额的 </w:t>
      </w:r>
      <w:r>
        <w:rPr/>
        <w:t>30.00</w:t>
      </w:r>
      <w:r>
        <w:rPr/>
        <w:t>%。</w:t>
      </w:r>
    </w:p>
    <w:p>
      <w:pPr>
        <w:pStyle w:val="null3"/>
      </w:pPr>
      <w:r>
        <w:rPr/>
        <w:t>采购包2：</w:t>
      </w:r>
      <w:r>
        <w:rPr/>
        <w:t xml:space="preserve"> 付款条件说明： </w:t>
      </w:r>
      <w:r>
        <w:rPr/>
        <w:t>（2）第二期款：本项目运维9个月后，乙方书面提出支付申请函及与支付金额等额的增值税普通发票，甲方确认后启动尾款支付流程，支付合同总金额的 40 %。</w:t>
      </w:r>
      <w:r>
        <w:rPr/>
        <w:t xml:space="preserve"> ，达到付款条件起 </w:t>
      </w:r>
      <w:r>
        <w:rPr/>
        <w:t>30</w:t>
      </w:r>
      <w:r>
        <w:rPr/>
        <w:t xml:space="preserve"> 日内，支付合同总金额的 </w:t>
      </w:r>
      <w:r>
        <w:rPr/>
        <w:t>40.00</w:t>
      </w:r>
      <w:r>
        <w:rPr/>
        <w:t>%。</w:t>
      </w:r>
    </w:p>
    <w:p>
      <w:pPr>
        <w:pStyle w:val="null3"/>
      </w:pPr>
      <w:r>
        <w:rPr/>
        <w:t>采购包2：</w:t>
      </w:r>
      <w:r>
        <w:rPr/>
        <w:t xml:space="preserve"> 付款条件说明： </w:t>
      </w:r>
      <w:r>
        <w:rPr/>
        <w:t>（3）尾款：本项目经甲方验收通过后 30个日历日内，乙方书面提出支付申请函及与支付金额等额的增值税普通发票，甲方确认后启动尾款支付流程，支付合同总金额的 30 %。</w:t>
      </w:r>
      <w:r>
        <w:rPr/>
        <w:t xml:space="preserve"> ，达到付款条件起 </w:t>
      </w:r>
      <w:r>
        <w:rPr/>
        <w:t>30</w:t>
      </w:r>
      <w:r>
        <w:rPr/>
        <w:t xml:space="preserve"> 日内，支付合同总金额的 </w:t>
      </w:r>
      <w:r>
        <w:rPr/>
        <w:t>30.00</w:t>
      </w:r>
      <w:r>
        <w:rPr/>
        <w:t>%。</w:t>
      </w:r>
    </w:p>
    <w:p>
      <w:pPr>
        <w:pStyle w:val="null3"/>
      </w:pPr>
      <w:r>
        <w:rPr/>
        <w:t>采购包3：</w:t>
      </w:r>
      <w:r>
        <w:rPr/>
        <w:t xml:space="preserve"> 付款条件说明： </w:t>
      </w:r>
      <w:r>
        <w:rPr/>
        <w:t>（1）首期款：签订合同后 30 个日历日内，乙方书面提出支付申请函及与支付金额等额的增值税普通发票，甲方确认后启动首期款支付流程，支付合同总金额的30 %。</w:t>
      </w:r>
      <w:r>
        <w:rPr/>
        <w:t xml:space="preserve"> ，达到付款条件起 </w:t>
      </w:r>
      <w:r>
        <w:rPr/>
        <w:t>30</w:t>
      </w:r>
      <w:r>
        <w:rPr/>
        <w:t xml:space="preserve"> 日内，支付合同总金额的 </w:t>
      </w:r>
      <w:r>
        <w:rPr/>
        <w:t>30.00</w:t>
      </w:r>
      <w:r>
        <w:rPr/>
        <w:t>%。</w:t>
      </w:r>
    </w:p>
    <w:p>
      <w:pPr>
        <w:pStyle w:val="null3"/>
      </w:pPr>
      <w:r>
        <w:rPr/>
        <w:t>采购包3：</w:t>
      </w:r>
      <w:r>
        <w:rPr/>
        <w:t xml:space="preserve"> 付款条件说明： </w:t>
      </w:r>
      <w:r>
        <w:rPr/>
        <w:t>（2）第二期款：本项目运维9个月后，乙方书面提出支付申请函及与支付金额等额的增值税普通发票，甲方确认后启动尾款支付流程，支付合同总金额的 40 %。</w:t>
      </w:r>
      <w:r>
        <w:rPr/>
        <w:t xml:space="preserve"> ，达到付款条件起 </w:t>
      </w:r>
      <w:r>
        <w:rPr/>
        <w:t>30</w:t>
      </w:r>
      <w:r>
        <w:rPr/>
        <w:t xml:space="preserve"> 日内，支付合同总金额的 </w:t>
      </w:r>
      <w:r>
        <w:rPr/>
        <w:t>40.00</w:t>
      </w:r>
      <w:r>
        <w:rPr/>
        <w:t>%。</w:t>
      </w:r>
    </w:p>
    <w:p>
      <w:pPr>
        <w:pStyle w:val="null3"/>
      </w:pPr>
      <w:r>
        <w:rPr/>
        <w:t>采购包3：</w:t>
      </w:r>
      <w:r>
        <w:rPr/>
        <w:t xml:space="preserve"> 付款条件说明： </w:t>
      </w:r>
      <w:r>
        <w:rPr/>
        <w:t>（3）尾款：本项目经甲方验收通过后 30个日历日内，乙方书面提出支付申请函及与支付金额等额的增值税普通发票，甲方确认后启动尾款支付流程，支付合同总金额的 30 %。</w:t>
      </w:r>
      <w:r>
        <w:rPr/>
        <w:t xml:space="preserve"> ，达到付款条件起 </w:t>
      </w:r>
      <w:r>
        <w:rPr/>
        <w:t>30</w:t>
      </w:r>
      <w:r>
        <w:rPr/>
        <w:t xml:space="preserve"> 日内，支付合同总金额的 </w:t>
      </w:r>
      <w:r>
        <w:rPr/>
        <w:t>30.00</w:t>
      </w:r>
      <w:r>
        <w:rPr/>
        <w:t>%。</w:t>
      </w:r>
    </w:p>
    <w:p>
      <w:pPr>
        <w:pStyle w:val="null3"/>
        <w:outlineLvl w:val="3"/>
      </w:pPr>
      <w:r>
        <w:rPr>
          <w:sz w:val="24"/>
          <w:b/>
        </w:rPr>
        <w:t>3.3.6违约责任与解决争议的方法</w:t>
      </w:r>
    </w:p>
    <w:p>
      <w:pPr>
        <w:pStyle w:val="null3"/>
      </w:pPr>
      <w:r>
        <w:rPr/>
        <w:t>采购包1：</w:t>
      </w:r>
    </w:p>
    <w:p>
      <w:pPr>
        <w:pStyle w:val="null3"/>
      </w:pPr>
      <w:r>
        <w:rPr/>
        <w:t>详见合同条款</w:t>
      </w:r>
    </w:p>
    <w:p>
      <w:pPr>
        <w:pStyle w:val="null3"/>
      </w:pPr>
      <w:r>
        <w:rPr/>
        <w:t>采购包2：</w:t>
      </w:r>
    </w:p>
    <w:p>
      <w:pPr>
        <w:pStyle w:val="null3"/>
      </w:pPr>
      <w:r>
        <w:rPr/>
        <w:t>详见合同条款</w:t>
      </w:r>
    </w:p>
    <w:p>
      <w:pPr>
        <w:pStyle w:val="null3"/>
      </w:pPr>
      <w:r>
        <w:rPr/>
        <w:t>采购包3：</w:t>
      </w:r>
    </w:p>
    <w:p>
      <w:pPr>
        <w:pStyle w:val="null3"/>
      </w:pPr>
      <w:r>
        <w:rPr/>
        <w:t>详见合同条款</w:t>
      </w:r>
    </w:p>
    <w:p>
      <w:pPr>
        <w:pStyle w:val="null3"/>
        <w:jc w:val="left"/>
        <w:outlineLvl w:val="2"/>
      </w:pPr>
      <w:r>
        <w:rPr>
          <w:sz w:val="28"/>
          <w:b/>
        </w:rPr>
        <w:t>3.5其他要求</w:t>
      </w:r>
    </w:p>
    <w:p>
      <w:pPr>
        <w:pStyle w:val="null3"/>
      </w:pPr>
      <w:r>
        <w:rPr/>
        <w:t>合同尾款实际付款金额以对运维供应商考核评价结果结算。</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供应商应提交的相关资格证明材料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供应商应提交的相关资格证明材料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供应商应提交的相关资格证明材料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供应商应提交的相关资格证明材料</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供应商应提交的相关资格证明材料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供应商应提交的相关资格证明材料</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具有独立承担民事责任能力的法人、其他组织或自然人，并出具合法有效的营业执照或事业单位法人证书等国家规定的相关证明，自然人参与的提供其身份证明书</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法定代表人授权书</w:t>
            </w:r>
          </w:p>
        </w:tc>
        <w:tc>
          <w:tcPr>
            <w:tcW w:type="dxa" w:w="3322"/>
          </w:tcPr>
          <w:p>
            <w:pPr>
              <w:pStyle w:val="null3"/>
            </w:pPr>
            <w:r>
              <w:rPr/>
              <w:t>法定代表人授权书（附法定代表人、被授权人身份证复印件）及被授权人身份证原件（法定代表人直接参加招标，须提供法定代表人身份证明及身份证原件）；非法人单位参照执行</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具有财务审计资质单位出具的2023年度的财务报告（成立时间至投标时间不足一年的可提供成立后任意时段的资产负债表）或投标前六个月内其基本账户银行出具的资信证明（附开户许可证）或政府采购信用担保机构出具的投标担保函；</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提供自2023年9月1日至今已缴纳的至少一个月的纳税证明或完税证明，纳税证明或完税证明上应有代收机构或税务机关的公章或业务专用章，依法免税的服务商应提供相关文件证明；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提供供应商2023年9月1日至今已缴存的任意一个月的社会保障资金缴存单据或社保机构开具的社会保险参保缴费情况证明；依法不需要缴纳社会保障资金的应提供相关文件证明；</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前三年内无重大违法记录</w:t>
            </w:r>
          </w:p>
        </w:tc>
        <w:tc>
          <w:tcPr>
            <w:tcW w:type="dxa" w:w="3322"/>
          </w:tcPr>
          <w:p>
            <w:pPr>
              <w:pStyle w:val="null3"/>
            </w:pPr>
            <w:r>
              <w:rPr/>
              <w:t>参加政府采购活动前3年内，在经营活动中没有重大违法记录；</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书面声明</w:t>
            </w:r>
          </w:p>
        </w:tc>
        <w:tc>
          <w:tcPr>
            <w:tcW w:type="dxa" w:w="3322"/>
          </w:tcPr>
          <w:p>
            <w:pPr>
              <w:pStyle w:val="null3"/>
            </w:pPr>
            <w:r>
              <w:rPr/>
              <w:t>提供具有履行本合同所必需的设备和专业技术能力的声明；</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信用查询(采购人或采购代理机构开标当天查询,投标人无须提供截图)</w:t>
            </w:r>
          </w:p>
        </w:tc>
        <w:tc>
          <w:tcPr>
            <w:tcW w:type="dxa" w:w="3322"/>
          </w:tcPr>
          <w:p>
            <w:pPr>
              <w:pStyle w:val="null3"/>
            </w:pPr>
            <w:r>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t>投标函</w:t>
            </w:r>
          </w:p>
        </w:tc>
      </w:tr>
      <w:tr>
        <w:tc>
          <w:tcPr>
            <w:tcW w:type="dxa" w:w="831"/>
          </w:tcPr>
          <w:p>
            <w:pPr>
              <w:pStyle w:val="null3"/>
            </w:pPr>
            <w:r>
              <w:rPr/>
              <w:t>9</w:t>
            </w:r>
          </w:p>
        </w:tc>
        <w:tc>
          <w:tcPr>
            <w:tcW w:type="dxa" w:w="2492"/>
          </w:tcPr>
          <w:p>
            <w:pPr>
              <w:pStyle w:val="null3"/>
            </w:pPr>
            <w:r>
              <w:rPr/>
              <w:t>控股管理关系</w:t>
            </w:r>
          </w:p>
        </w:tc>
        <w:tc>
          <w:tcPr>
            <w:tcW w:type="dxa" w:w="3322"/>
          </w:tcPr>
          <w:p>
            <w:pPr>
              <w:pStyle w:val="null3"/>
            </w:pPr>
            <w:r>
              <w:rPr/>
              <w:t>本项目不接受联合体投标，投标单位负责人为同一人或者存在控股、管理关系的不同单位，不得参加同一招标项目投标；</w:t>
            </w:r>
          </w:p>
        </w:tc>
        <w:tc>
          <w:tcPr>
            <w:tcW w:type="dxa" w:w="1661"/>
          </w:tcPr>
          <w:p>
            <w:pPr>
              <w:pStyle w:val="null3"/>
            </w:pPr>
            <w:r>
              <w:rPr/>
              <w:t>供应商应提交的相关资格证明材料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具有独立承担民事责任能力的法人、其他组织或自然人，并出具合法有效的营业执照或事业单位法人证书等国家规定的相关证明，自然人参与的提供其身份证明书</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法定代表人授权书</w:t>
            </w:r>
          </w:p>
        </w:tc>
        <w:tc>
          <w:tcPr>
            <w:tcW w:type="dxa" w:w="3322"/>
          </w:tcPr>
          <w:p>
            <w:pPr>
              <w:pStyle w:val="null3"/>
            </w:pPr>
            <w:r>
              <w:rPr/>
              <w:t>法定代表人授权书（附法定代表人、被授权人身份证复印件）及被授权人身份证原件（法定代表人直接参加招标，须提供法定代表人身份证明及身份证原件）；非法人单位参照执行。</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具有财务审计资质单位出具的2023年度的财务报告（成立时间至投标时间不足一年的可提供成立后任意时段的资产负债表）或投标前六个月内其基本账户银行出具的资信证明（附开户许可证）或政府采购信用担保机构出具的投标担保函；</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提供自2023年9月1日至今已缴纳的至少一个月的纳税证明或完税证明，纳税证明或完税证明上应有代收机构或税务机关的公章或业务专用章，依法免税的服务商应提供相关文件证明；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提供供应商2023年9月1日至今已缴存的任意一个月的社会保障资金缴存单据或社保机构开具的社会保险参保缴费情况证明；依法不需要缴纳社会保障资金的应提供相关文件证明；</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前三年内无重大违法记录</w:t>
            </w:r>
          </w:p>
        </w:tc>
        <w:tc>
          <w:tcPr>
            <w:tcW w:type="dxa" w:w="3322"/>
          </w:tcPr>
          <w:p>
            <w:pPr>
              <w:pStyle w:val="null3"/>
            </w:pPr>
            <w:r>
              <w:rPr/>
              <w:t>参加政府采购活动前3年内，在经营活动中没有重大违法记录；</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书面声明</w:t>
            </w:r>
          </w:p>
        </w:tc>
        <w:tc>
          <w:tcPr>
            <w:tcW w:type="dxa" w:w="3322"/>
          </w:tcPr>
          <w:p>
            <w:pPr>
              <w:pStyle w:val="null3"/>
            </w:pPr>
            <w:r>
              <w:rPr/>
              <w:t>提供具有履行本合同所必需的设备和专业技术能力的声明；</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信用查询(采购人或采购代理机构开标当天查询,投标人无须提供截图)</w:t>
            </w:r>
          </w:p>
        </w:tc>
        <w:tc>
          <w:tcPr>
            <w:tcW w:type="dxa" w:w="3322"/>
          </w:tcPr>
          <w:p>
            <w:pPr>
              <w:pStyle w:val="null3"/>
            </w:pPr>
            <w:r>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控股管理关系</w:t>
            </w:r>
          </w:p>
        </w:tc>
        <w:tc>
          <w:tcPr>
            <w:tcW w:type="dxa" w:w="3322"/>
          </w:tcPr>
          <w:p>
            <w:pPr>
              <w:pStyle w:val="null3"/>
            </w:pPr>
            <w:r>
              <w:rPr/>
              <w:t>本项目不接受联合体投标，投标单位负责人为同一人或者存在控股、管理关系的不同单位，不得参加同一招标项目投标；</w:t>
            </w:r>
          </w:p>
        </w:tc>
        <w:tc>
          <w:tcPr>
            <w:tcW w:type="dxa" w:w="1661"/>
          </w:tcPr>
          <w:p>
            <w:pPr>
              <w:pStyle w:val="null3"/>
            </w:pPr>
            <w:r>
              <w:rPr/>
              <w:t>供应商应提交的相关资格证明材料</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具有独立承担民事责任能力的法人、其他组织或自然人，并出具合法有效的营业执照或事业单位法人证书等国家规定的相关证明，自然人参与的提供其身份证明书</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法定代表人授权书</w:t>
            </w:r>
          </w:p>
        </w:tc>
        <w:tc>
          <w:tcPr>
            <w:tcW w:type="dxa" w:w="3322"/>
          </w:tcPr>
          <w:p>
            <w:pPr>
              <w:pStyle w:val="null3"/>
            </w:pPr>
            <w:r>
              <w:rPr/>
              <w:t>法定代表人授权书（附法定代表人、被授权人身份证复印件）及被授权人身份证原件（法定代表人直接参加招标，须提供法定代表人身份证明及身份证原件）；非法人单位参照执行。</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具有财务审计资质单位出具的2023年度的财务报告（成立时间至投标时间不足一年的可提供成立后任意时段的资产负债表）或投标前六个月内其基本账户银行出具的资信证明（附开户许可证）或政府采购信用担保机构出具的投标担保函；</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提供自2023年9月1日至今已缴纳的至少一个月的纳税证明或完税证明，纳税证明或完税证明上应有代收机构或税务机关的公章或业务专用章，依法免税的服务商应提供相关文件证明；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提供供应商2023年9月1日至今已缴存的任意一个月的社会保障资金缴存单据或社保机构开具的社会保险参保缴费情况证明；依法不需要缴纳社会保障资金的应提供相关文件证明；</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前三年内无重大违法记录</w:t>
            </w:r>
          </w:p>
        </w:tc>
        <w:tc>
          <w:tcPr>
            <w:tcW w:type="dxa" w:w="3322"/>
          </w:tcPr>
          <w:p>
            <w:pPr>
              <w:pStyle w:val="null3"/>
            </w:pPr>
            <w:r>
              <w:rPr/>
              <w:t>参加政府采购活动前3年内，在经营活动中没有重大违法记录；</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书面声明</w:t>
            </w:r>
          </w:p>
        </w:tc>
        <w:tc>
          <w:tcPr>
            <w:tcW w:type="dxa" w:w="3322"/>
          </w:tcPr>
          <w:p>
            <w:pPr>
              <w:pStyle w:val="null3"/>
            </w:pPr>
            <w:r>
              <w:rPr/>
              <w:t>提供具有履行本合同所必需的设备和专业技术能力的声明；</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信用查询(采购人或采购代理机构开标当天查询,投标人无须提供截图)</w:t>
            </w:r>
          </w:p>
        </w:tc>
        <w:tc>
          <w:tcPr>
            <w:tcW w:type="dxa" w:w="3322"/>
          </w:tcPr>
          <w:p>
            <w:pPr>
              <w:pStyle w:val="null3"/>
            </w:pPr>
            <w:r>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t>投标函</w:t>
            </w:r>
          </w:p>
        </w:tc>
      </w:tr>
      <w:tr>
        <w:tc>
          <w:tcPr>
            <w:tcW w:type="dxa" w:w="831"/>
          </w:tcPr>
          <w:p>
            <w:pPr>
              <w:pStyle w:val="null3"/>
            </w:pPr>
            <w:r>
              <w:rPr/>
              <w:t>9</w:t>
            </w:r>
          </w:p>
        </w:tc>
        <w:tc>
          <w:tcPr>
            <w:tcW w:type="dxa" w:w="2492"/>
          </w:tcPr>
          <w:p>
            <w:pPr>
              <w:pStyle w:val="null3"/>
            </w:pPr>
            <w:r>
              <w:rPr/>
              <w:t>控股管理关系</w:t>
            </w:r>
          </w:p>
        </w:tc>
        <w:tc>
          <w:tcPr>
            <w:tcW w:type="dxa" w:w="3322"/>
          </w:tcPr>
          <w:p>
            <w:pPr>
              <w:pStyle w:val="null3"/>
            </w:pPr>
            <w:r>
              <w:rPr/>
              <w:t>本项目不接受联合体投标，投标单位负责人为同一人或者存在控股、管理关系的不同单位，不得参加同一招标项目投标；</w:t>
            </w:r>
          </w:p>
        </w:tc>
        <w:tc>
          <w:tcPr>
            <w:tcW w:type="dxa" w:w="1661"/>
          </w:tcPr>
          <w:p>
            <w:pPr>
              <w:pStyle w:val="null3"/>
            </w:pPr>
            <w:r>
              <w:rPr/>
              <w:t>供应商应提交的相关资格证明材料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5.3评标方法</w:t>
      </w:r>
    </w:p>
    <w:p>
      <w:pPr>
        <w:pStyle w:val="null3"/>
      </w:pPr>
      <w:r>
        <w:rPr/>
        <w:t>采购包1：综合评分法</w:t>
      </w:r>
    </w:p>
    <w:p>
      <w:pPr>
        <w:pStyle w:val="null3"/>
      </w:pPr>
      <w:r>
        <w:rPr/>
        <w:t>采购包2：综合评分法</w:t>
      </w:r>
    </w:p>
    <w:p>
      <w:pPr>
        <w:pStyle w:val="null3"/>
      </w:pPr>
      <w:r>
        <w:rPr/>
        <w:t>采购包3：综合评分法</w:t>
      </w:r>
    </w:p>
    <w:p>
      <w:pPr>
        <w:pStyle w:val="null3"/>
        <w:outlineLvl w:val="2"/>
      </w:pPr>
      <w:r>
        <w:rPr>
          <w:sz w:val="28"/>
          <w:b/>
        </w:rPr>
        <w:t>5.4评标程序</w:t>
      </w:r>
    </w:p>
    <w:p>
      <w:pPr>
        <w:pStyle w:val="null3"/>
        <w:outlineLvl w:val="3"/>
      </w:pPr>
      <w:r>
        <w:rPr>
          <w:sz w:val="24"/>
          <w:b/>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投标文件有效期</w:t>
            </w:r>
          </w:p>
        </w:tc>
        <w:tc>
          <w:tcPr>
            <w:tcW w:type="dxa" w:w="3322"/>
          </w:tcPr>
          <w:p>
            <w:pPr>
              <w:pStyle w:val="null3"/>
            </w:pPr>
            <w:r>
              <w:rPr/>
              <w:t>满足招标文件要求</w:t>
            </w:r>
          </w:p>
        </w:tc>
        <w:tc>
          <w:tcPr>
            <w:tcW w:type="dxa" w:w="1661"/>
          </w:tcPr>
          <w:p>
            <w:pPr>
              <w:pStyle w:val="null3"/>
            </w:pPr>
            <w:r>
              <w:rPr/>
              <w:t>投标函 投标文件封面</w:t>
            </w:r>
          </w:p>
        </w:tc>
      </w:tr>
      <w:tr>
        <w:tc>
          <w:tcPr>
            <w:tcW w:type="dxa" w:w="831"/>
          </w:tcPr>
          <w:p>
            <w:pPr>
              <w:pStyle w:val="null3"/>
            </w:pPr>
            <w:r>
              <w:rPr/>
              <w:t>3</w:t>
            </w:r>
          </w:p>
        </w:tc>
        <w:tc>
          <w:tcPr>
            <w:tcW w:type="dxa" w:w="2492"/>
          </w:tcPr>
          <w:p>
            <w:pPr>
              <w:pStyle w:val="null3"/>
            </w:pPr>
            <w:r>
              <w:rPr/>
              <w:t>服务期</w:t>
            </w:r>
          </w:p>
        </w:tc>
        <w:tc>
          <w:tcPr>
            <w:tcW w:type="dxa" w:w="3322"/>
          </w:tcPr>
          <w:p>
            <w:pPr>
              <w:pStyle w:val="null3"/>
            </w:pPr>
            <w:r>
              <w:rPr/>
              <w:t>满足招标文件要求</w:t>
            </w:r>
          </w:p>
        </w:tc>
        <w:tc>
          <w:tcPr>
            <w:tcW w:type="dxa" w:w="1661"/>
          </w:tcPr>
          <w:p>
            <w:pPr>
              <w:pStyle w:val="null3"/>
            </w:pPr>
            <w:r>
              <w:rPr/>
              <w:t>投标函 投标文件封面</w:t>
            </w:r>
          </w:p>
        </w:tc>
      </w:tr>
      <w:tr>
        <w:tc>
          <w:tcPr>
            <w:tcW w:type="dxa" w:w="831"/>
          </w:tcPr>
          <w:p>
            <w:pPr>
              <w:pStyle w:val="null3"/>
            </w:pPr>
            <w:r>
              <w:rPr/>
              <w:t>4</w:t>
            </w:r>
          </w:p>
        </w:tc>
        <w:tc>
          <w:tcPr>
            <w:tcW w:type="dxa" w:w="2492"/>
          </w:tcPr>
          <w:p>
            <w:pPr>
              <w:pStyle w:val="null3"/>
            </w:pPr>
            <w:r>
              <w:rPr/>
              <w:t>投标文件签字盖章</w:t>
            </w:r>
          </w:p>
        </w:tc>
        <w:tc>
          <w:tcPr>
            <w:tcW w:type="dxa" w:w="3322"/>
          </w:tcPr>
          <w:p>
            <w:pPr>
              <w:pStyle w:val="null3"/>
            </w:pPr>
            <w:r>
              <w:rPr/>
              <w:t>响应文件上签字、盖章齐全</w:t>
            </w:r>
          </w:p>
        </w:tc>
        <w:tc>
          <w:tcPr>
            <w:tcW w:type="dxa" w:w="1661"/>
          </w:tcPr>
          <w:p>
            <w:pPr>
              <w:pStyle w:val="null3"/>
            </w:pPr>
            <w:r>
              <w:rPr/>
              <w:t>开标一览表 服务内容及服务邀请应答表 投标函 商务应答表 标的清单 供应商应提交的相关资格证明材料 陕西省政府采购供应商拒绝政府采购领域商业贿赂承诺书 投标文件封面 业绩一览表</w:t>
            </w:r>
          </w:p>
        </w:tc>
      </w:tr>
      <w:tr>
        <w:tc>
          <w:tcPr>
            <w:tcW w:type="dxa" w:w="831"/>
          </w:tcPr>
          <w:p>
            <w:pPr>
              <w:pStyle w:val="null3"/>
            </w:pPr>
            <w:r>
              <w:rPr/>
              <w:t>5</w:t>
            </w:r>
          </w:p>
        </w:tc>
        <w:tc>
          <w:tcPr>
            <w:tcW w:type="dxa" w:w="2492"/>
          </w:tcPr>
          <w:p>
            <w:pPr>
              <w:pStyle w:val="null3"/>
            </w:pPr>
            <w:r>
              <w:rPr/>
              <w:t>投标文件完整性及响应性</w:t>
            </w:r>
          </w:p>
        </w:tc>
        <w:tc>
          <w:tcPr>
            <w:tcW w:type="dxa" w:w="3322"/>
          </w:tcPr>
          <w:p>
            <w:pPr>
              <w:pStyle w:val="null3"/>
            </w:pPr>
            <w:r>
              <w:rPr/>
              <w:t>投标文件构成无缺项且响应招标文件</w:t>
            </w:r>
          </w:p>
        </w:tc>
        <w:tc>
          <w:tcPr>
            <w:tcW w:type="dxa" w:w="1661"/>
          </w:tcPr>
          <w:p>
            <w:pPr>
              <w:pStyle w:val="null3"/>
            </w:pPr>
            <w:r>
              <w:rPr/>
              <w:t>开标一览表 服务内容及服务邀请应答表 投标函 商务应答表 标的清单 供应商应提交的相关资格证明材料 陕西省政府采购供应商拒绝政府采购领域商业贿赂承诺书 投标文件封面 业绩一览表</w:t>
            </w:r>
          </w:p>
        </w:tc>
      </w:tr>
      <w:tr>
        <w:tc>
          <w:tcPr>
            <w:tcW w:type="dxa" w:w="831"/>
          </w:tcPr>
          <w:p>
            <w:pPr>
              <w:pStyle w:val="null3"/>
            </w:pPr>
            <w:r>
              <w:rPr/>
              <w:t>6</w:t>
            </w:r>
          </w:p>
        </w:tc>
        <w:tc>
          <w:tcPr>
            <w:tcW w:type="dxa" w:w="2492"/>
          </w:tcPr>
          <w:p>
            <w:pPr>
              <w:pStyle w:val="null3"/>
            </w:pPr>
            <w:r>
              <w:rPr/>
              <w:t>投标报价</w:t>
            </w:r>
          </w:p>
        </w:tc>
        <w:tc>
          <w:tcPr>
            <w:tcW w:type="dxa" w:w="3322"/>
          </w:tcPr>
          <w:p>
            <w:pPr>
              <w:pStyle w:val="null3"/>
            </w:pPr>
            <w:r>
              <w:rPr/>
              <w:t>只能有一个有效报价，不得提交选择性报价，且报价不超过最高限价。</w:t>
            </w:r>
          </w:p>
        </w:tc>
        <w:tc>
          <w:tcPr>
            <w:tcW w:type="dxa" w:w="1661"/>
          </w:tcPr>
          <w:p>
            <w:pPr>
              <w:pStyle w:val="null3"/>
            </w:pPr>
            <w:r>
              <w:rPr/>
              <w:t>开标一览表 投标函 标的清单</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投标文件有效期</w:t>
            </w:r>
          </w:p>
        </w:tc>
        <w:tc>
          <w:tcPr>
            <w:tcW w:type="dxa" w:w="3322"/>
          </w:tcPr>
          <w:p>
            <w:pPr>
              <w:pStyle w:val="null3"/>
            </w:pPr>
            <w:r>
              <w:rPr/>
              <w:t>满足招标文件要求</w:t>
            </w:r>
          </w:p>
        </w:tc>
        <w:tc>
          <w:tcPr>
            <w:tcW w:type="dxa" w:w="1661"/>
          </w:tcPr>
          <w:p>
            <w:pPr>
              <w:pStyle w:val="null3"/>
            </w:pPr>
            <w:r>
              <w:rPr/>
              <w:t>投标函 投标文件封面</w:t>
            </w:r>
          </w:p>
        </w:tc>
      </w:tr>
      <w:tr>
        <w:tc>
          <w:tcPr>
            <w:tcW w:type="dxa" w:w="831"/>
          </w:tcPr>
          <w:p>
            <w:pPr>
              <w:pStyle w:val="null3"/>
            </w:pPr>
            <w:r>
              <w:rPr/>
              <w:t>3</w:t>
            </w:r>
          </w:p>
        </w:tc>
        <w:tc>
          <w:tcPr>
            <w:tcW w:type="dxa" w:w="2492"/>
          </w:tcPr>
          <w:p>
            <w:pPr>
              <w:pStyle w:val="null3"/>
            </w:pPr>
            <w:r>
              <w:rPr/>
              <w:t>服务期</w:t>
            </w:r>
          </w:p>
        </w:tc>
        <w:tc>
          <w:tcPr>
            <w:tcW w:type="dxa" w:w="3322"/>
          </w:tcPr>
          <w:p>
            <w:pPr>
              <w:pStyle w:val="null3"/>
            </w:pPr>
            <w:r>
              <w:rPr/>
              <w:t>满足招标文件要求</w:t>
            </w:r>
          </w:p>
        </w:tc>
        <w:tc>
          <w:tcPr>
            <w:tcW w:type="dxa" w:w="1661"/>
          </w:tcPr>
          <w:p>
            <w:pPr>
              <w:pStyle w:val="null3"/>
            </w:pPr>
            <w:r>
              <w:rPr/>
              <w:t>开标一览表 投标函</w:t>
            </w:r>
          </w:p>
        </w:tc>
      </w:tr>
      <w:tr>
        <w:tc>
          <w:tcPr>
            <w:tcW w:type="dxa" w:w="831"/>
          </w:tcPr>
          <w:p>
            <w:pPr>
              <w:pStyle w:val="null3"/>
            </w:pPr>
            <w:r>
              <w:rPr/>
              <w:t>4</w:t>
            </w:r>
          </w:p>
        </w:tc>
        <w:tc>
          <w:tcPr>
            <w:tcW w:type="dxa" w:w="2492"/>
          </w:tcPr>
          <w:p>
            <w:pPr>
              <w:pStyle w:val="null3"/>
            </w:pPr>
            <w:r>
              <w:rPr/>
              <w:t>投标文件签字盖章</w:t>
            </w:r>
          </w:p>
        </w:tc>
        <w:tc>
          <w:tcPr>
            <w:tcW w:type="dxa" w:w="3322"/>
          </w:tcPr>
          <w:p>
            <w:pPr>
              <w:pStyle w:val="null3"/>
            </w:pPr>
            <w:r>
              <w:rPr/>
              <w:t>响应文件上签字、盖章齐全</w:t>
            </w:r>
          </w:p>
        </w:tc>
        <w:tc>
          <w:tcPr>
            <w:tcW w:type="dxa" w:w="1661"/>
          </w:tcPr>
          <w:p>
            <w:pPr>
              <w:pStyle w:val="null3"/>
            </w:pPr>
            <w:r>
              <w:rPr/>
              <w:t>开标一览表 服务内容及服务邀请应答表 投标函 商务应答表 标的清单 供应商应提交的相关资格证明材料 陕西省政府采购供应商拒绝政府采购领域商业贿赂承诺书 投标文件封面 业绩一览表</w:t>
            </w:r>
          </w:p>
        </w:tc>
      </w:tr>
      <w:tr>
        <w:tc>
          <w:tcPr>
            <w:tcW w:type="dxa" w:w="831"/>
          </w:tcPr>
          <w:p>
            <w:pPr>
              <w:pStyle w:val="null3"/>
            </w:pPr>
            <w:r>
              <w:rPr/>
              <w:t>5</w:t>
            </w:r>
          </w:p>
        </w:tc>
        <w:tc>
          <w:tcPr>
            <w:tcW w:type="dxa" w:w="2492"/>
          </w:tcPr>
          <w:p>
            <w:pPr>
              <w:pStyle w:val="null3"/>
            </w:pPr>
            <w:r>
              <w:rPr/>
              <w:t>投标文件完整性及响应性</w:t>
            </w:r>
          </w:p>
        </w:tc>
        <w:tc>
          <w:tcPr>
            <w:tcW w:type="dxa" w:w="3322"/>
          </w:tcPr>
          <w:p>
            <w:pPr>
              <w:pStyle w:val="null3"/>
            </w:pPr>
            <w:r>
              <w:rPr/>
              <w:t>投标文件构成无缺项且响应招标文件</w:t>
            </w:r>
          </w:p>
        </w:tc>
        <w:tc>
          <w:tcPr>
            <w:tcW w:type="dxa" w:w="1661"/>
          </w:tcPr>
          <w:p>
            <w:pPr>
              <w:pStyle w:val="null3"/>
            </w:pPr>
            <w:r>
              <w:rPr/>
              <w:t>开标一览表 服务内容及服务邀请应答表 投标函 商务应答表 标的清单 供应商应提交的相关资格证明材料 陕西省政府采购供应商拒绝政府采购领域商业贿赂承诺书 投标文件封面 业绩一览表</w:t>
            </w:r>
          </w:p>
        </w:tc>
      </w:tr>
      <w:tr>
        <w:tc>
          <w:tcPr>
            <w:tcW w:type="dxa" w:w="831"/>
          </w:tcPr>
          <w:p>
            <w:pPr>
              <w:pStyle w:val="null3"/>
            </w:pPr>
            <w:r>
              <w:rPr/>
              <w:t>6</w:t>
            </w:r>
          </w:p>
        </w:tc>
        <w:tc>
          <w:tcPr>
            <w:tcW w:type="dxa" w:w="2492"/>
          </w:tcPr>
          <w:p>
            <w:pPr>
              <w:pStyle w:val="null3"/>
            </w:pPr>
            <w:r>
              <w:rPr/>
              <w:t>投标报价</w:t>
            </w:r>
          </w:p>
        </w:tc>
        <w:tc>
          <w:tcPr>
            <w:tcW w:type="dxa" w:w="3322"/>
          </w:tcPr>
          <w:p>
            <w:pPr>
              <w:pStyle w:val="null3"/>
            </w:pPr>
            <w:r>
              <w:rPr/>
              <w:t>只能有一个有效报价，不得提交选择性报价，且报价不超过最高限价。</w:t>
            </w:r>
          </w:p>
        </w:tc>
        <w:tc>
          <w:tcPr>
            <w:tcW w:type="dxa" w:w="1661"/>
          </w:tcPr>
          <w:p>
            <w:pPr>
              <w:pStyle w:val="null3"/>
            </w:pPr>
            <w:r>
              <w:rPr/>
              <w:t>投标文件封面</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投标文件有效期</w:t>
            </w:r>
          </w:p>
        </w:tc>
        <w:tc>
          <w:tcPr>
            <w:tcW w:type="dxa" w:w="3322"/>
          </w:tcPr>
          <w:p>
            <w:pPr>
              <w:pStyle w:val="null3"/>
            </w:pPr>
            <w:r>
              <w:rPr/>
              <w:t>满足招标文件要求</w:t>
            </w:r>
          </w:p>
        </w:tc>
        <w:tc>
          <w:tcPr>
            <w:tcW w:type="dxa" w:w="1661"/>
          </w:tcPr>
          <w:p>
            <w:pPr>
              <w:pStyle w:val="null3"/>
            </w:pPr>
            <w:r>
              <w:rPr/>
              <w:t>投标函 投标文件封面</w:t>
            </w:r>
          </w:p>
        </w:tc>
      </w:tr>
      <w:tr>
        <w:tc>
          <w:tcPr>
            <w:tcW w:type="dxa" w:w="831"/>
          </w:tcPr>
          <w:p>
            <w:pPr>
              <w:pStyle w:val="null3"/>
            </w:pPr>
            <w:r>
              <w:rPr/>
              <w:t>3</w:t>
            </w:r>
          </w:p>
        </w:tc>
        <w:tc>
          <w:tcPr>
            <w:tcW w:type="dxa" w:w="2492"/>
          </w:tcPr>
          <w:p>
            <w:pPr>
              <w:pStyle w:val="null3"/>
            </w:pPr>
            <w:r>
              <w:rPr/>
              <w:t>服务期</w:t>
            </w:r>
          </w:p>
        </w:tc>
        <w:tc>
          <w:tcPr>
            <w:tcW w:type="dxa" w:w="3322"/>
          </w:tcPr>
          <w:p>
            <w:pPr>
              <w:pStyle w:val="null3"/>
            </w:pPr>
            <w:r>
              <w:rPr/>
              <w:t>满足招标文件要求</w:t>
            </w:r>
          </w:p>
        </w:tc>
        <w:tc>
          <w:tcPr>
            <w:tcW w:type="dxa" w:w="1661"/>
          </w:tcPr>
          <w:p>
            <w:pPr>
              <w:pStyle w:val="null3"/>
            </w:pPr>
            <w:r>
              <w:rPr/>
              <w:t>开标一览表 投标函</w:t>
            </w:r>
          </w:p>
        </w:tc>
      </w:tr>
      <w:tr>
        <w:tc>
          <w:tcPr>
            <w:tcW w:type="dxa" w:w="831"/>
          </w:tcPr>
          <w:p>
            <w:pPr>
              <w:pStyle w:val="null3"/>
            </w:pPr>
            <w:r>
              <w:rPr/>
              <w:t>4</w:t>
            </w:r>
          </w:p>
        </w:tc>
        <w:tc>
          <w:tcPr>
            <w:tcW w:type="dxa" w:w="2492"/>
          </w:tcPr>
          <w:p>
            <w:pPr>
              <w:pStyle w:val="null3"/>
            </w:pPr>
            <w:r>
              <w:rPr/>
              <w:t>投标文件签字盖章</w:t>
            </w:r>
          </w:p>
        </w:tc>
        <w:tc>
          <w:tcPr>
            <w:tcW w:type="dxa" w:w="3322"/>
          </w:tcPr>
          <w:p>
            <w:pPr>
              <w:pStyle w:val="null3"/>
            </w:pPr>
            <w:r>
              <w:rPr/>
              <w:t>响应文件上签字、盖章齐全</w:t>
            </w:r>
          </w:p>
        </w:tc>
        <w:tc>
          <w:tcPr>
            <w:tcW w:type="dxa" w:w="1661"/>
          </w:tcPr>
          <w:p>
            <w:pPr>
              <w:pStyle w:val="null3"/>
            </w:pPr>
            <w:r>
              <w:rPr/>
              <w:t>开标一览表 服务内容及服务邀请应答表 投标函 商务应答表 标的清单 供应商应提交的相关资格证明材料 陕西省政府采购供应商拒绝政府采购领域商业贿赂承诺书 投标文件封面 业绩一览表</w:t>
            </w:r>
          </w:p>
        </w:tc>
      </w:tr>
      <w:tr>
        <w:tc>
          <w:tcPr>
            <w:tcW w:type="dxa" w:w="831"/>
          </w:tcPr>
          <w:p>
            <w:pPr>
              <w:pStyle w:val="null3"/>
            </w:pPr>
            <w:r>
              <w:rPr/>
              <w:t>5</w:t>
            </w:r>
          </w:p>
        </w:tc>
        <w:tc>
          <w:tcPr>
            <w:tcW w:type="dxa" w:w="2492"/>
          </w:tcPr>
          <w:p>
            <w:pPr>
              <w:pStyle w:val="null3"/>
            </w:pPr>
            <w:r>
              <w:rPr/>
              <w:t>投标文件完整性及响应性</w:t>
            </w:r>
          </w:p>
        </w:tc>
        <w:tc>
          <w:tcPr>
            <w:tcW w:type="dxa" w:w="3322"/>
          </w:tcPr>
          <w:p>
            <w:pPr>
              <w:pStyle w:val="null3"/>
            </w:pPr>
            <w:r>
              <w:rPr/>
              <w:t>投标文件构成无缺项且响应招标文件</w:t>
            </w:r>
          </w:p>
        </w:tc>
        <w:tc>
          <w:tcPr>
            <w:tcW w:type="dxa" w:w="1661"/>
          </w:tcPr>
          <w:p>
            <w:pPr>
              <w:pStyle w:val="null3"/>
            </w:pPr>
            <w:r>
              <w:rPr/>
              <w:t>开标一览表 服务内容及服务邀请应答表 投标函 商务应答表 标的清单 供应商应提交的相关资格证明材料 陕西省政府采购供应商拒绝政府采购领域商业贿赂承诺书 投标文件封面 业绩一览表</w:t>
            </w:r>
          </w:p>
        </w:tc>
      </w:tr>
      <w:tr>
        <w:tc>
          <w:tcPr>
            <w:tcW w:type="dxa" w:w="831"/>
          </w:tcPr>
          <w:p>
            <w:pPr>
              <w:pStyle w:val="null3"/>
            </w:pPr>
            <w:r>
              <w:rPr/>
              <w:t>6</w:t>
            </w:r>
          </w:p>
        </w:tc>
        <w:tc>
          <w:tcPr>
            <w:tcW w:type="dxa" w:w="2492"/>
          </w:tcPr>
          <w:p>
            <w:pPr>
              <w:pStyle w:val="null3"/>
            </w:pPr>
            <w:r>
              <w:rPr/>
              <w:t>投标报价</w:t>
            </w:r>
          </w:p>
        </w:tc>
        <w:tc>
          <w:tcPr>
            <w:tcW w:type="dxa" w:w="3322"/>
          </w:tcPr>
          <w:p>
            <w:pPr>
              <w:pStyle w:val="null3"/>
            </w:pPr>
            <w:r>
              <w:rPr/>
              <w:t>只能有一个有效报价，不得提交选择性报价，且报价不超过最高限价。</w:t>
            </w:r>
          </w:p>
        </w:tc>
        <w:tc>
          <w:tcPr>
            <w:tcW w:type="dxa" w:w="1661"/>
          </w:tcPr>
          <w:p>
            <w:pPr>
              <w:pStyle w:val="null3"/>
            </w:pPr>
            <w:r>
              <w:rPr/>
              <w:t>开标一览表 投标函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采购包3：</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需求理解</w:t>
            </w:r>
          </w:p>
        </w:tc>
        <w:tc>
          <w:tcPr>
            <w:tcW w:type="dxa" w:w="2492"/>
          </w:tcPr>
          <w:p>
            <w:pPr>
              <w:pStyle w:val="null3"/>
            </w:pPr>
            <w:r>
              <w:rPr/>
              <w:t>根据供应商对项目总体需求理解是否精准，按其响应程度赋分。①对用户需求理解全面详尽准确，得6分；②对用户需求理解合理，满足项目需求，得3 分；③对用户需求理解简单，适用性一般，得1分；④供应商未提供上述内容不得分。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技术方案1</w:t>
            </w:r>
          </w:p>
        </w:tc>
        <w:tc>
          <w:tcPr>
            <w:tcW w:type="dxa" w:w="2492"/>
          </w:tcPr>
          <w:p>
            <w:pPr>
              <w:pStyle w:val="null3"/>
            </w:pPr>
            <w:r>
              <w:rPr/>
              <w:t>根据供应商针对本项目的总体技术方案响应情况赋分。①供应商针对本项目制定规范化的服务方案和定期预防性管理维护方案：方案设计合理、架构完整、层次清楚，可实施性强，得10分；②总体技术方案设计基本合理、架构完整、具有可实施性，得5分；③总体技术方案简单，可实施性一般的，得1分；④供应商未提供上述内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技术方案2</w:t>
            </w:r>
          </w:p>
        </w:tc>
        <w:tc>
          <w:tcPr>
            <w:tcW w:type="dxa" w:w="2492"/>
          </w:tcPr>
          <w:p>
            <w:pPr>
              <w:pStyle w:val="null3"/>
            </w:pPr>
            <w:r>
              <w:rPr/>
              <w:t>根据供应商针对保证本项目业务系统连续性解决方案的技术响应情况赋分。①技术响应方案能保证业务系统无需重新进行IP地址注册、备案和变更工作，各业务系统无需重新规划、调试，解决方案科学可行，得5分；②技术响应方案需要重新进行IP地址注册、备案和变更工作，技术响应方案有保证各业务系统安全性、稳定性以及保证各项业务连续性的解决方案，解决方案科学可行，得3分；③针对保证本项目业务系统连续性的技术响应方案简单，可实施性一般的，得1分；④供应商未提供上述内容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质量保障</w:t>
            </w:r>
          </w:p>
        </w:tc>
        <w:tc>
          <w:tcPr>
            <w:tcW w:type="dxa" w:w="2492"/>
          </w:tcPr>
          <w:p>
            <w:pPr>
              <w:pStyle w:val="null3"/>
            </w:pPr>
            <w:r>
              <w:rPr/>
              <w:t>结合项目特点，项目目标明确，对质量保证措施响应程度赋分。①质量保障措施完善，能保证项目运行，得6分；②质量保障措施较完善，得3分；③质量保障措施一般，得1分；④供应商未提供上述内容不得分。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回访服务</w:t>
            </w:r>
          </w:p>
        </w:tc>
        <w:tc>
          <w:tcPr>
            <w:tcW w:type="dxa" w:w="2492"/>
          </w:tcPr>
          <w:p>
            <w:pPr>
              <w:pStyle w:val="null3"/>
            </w:pPr>
            <w:r>
              <w:rPr/>
              <w:t>供应商针对本项目制定相应回访服务方案，按其响应程度赋分。①方案切实可行、完整合理、无缺项，可行性强，完全满足招标文件要求，得6分； ②方案有缺项，有一定的针对性和较好的可行性，较好满足采购要求，得3分；③方案缺失较多，可行性一般，得1分；④供应商未提供上述内容不得分。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故障修复措施及响应时效</w:t>
            </w:r>
          </w:p>
        </w:tc>
        <w:tc>
          <w:tcPr>
            <w:tcW w:type="dxa" w:w="2492"/>
          </w:tcPr>
          <w:p>
            <w:pPr>
              <w:pStyle w:val="null3"/>
            </w:pPr>
            <w:r>
              <w:rPr/>
              <w:t>供应商根据制定故障修复措施的详细程度及合理性进行综合赋分。①方案切实可行、完整合理、无缺项，可行性强，完全满足招标文件要求，得6分；②方案有缺项，有一定的针对性和较好的可行性，较好满足采购要求，得3分；③方案设计缺失较多，可行性一般，得1分；④供应商未提供上述内容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应急保障方案</w:t>
            </w:r>
          </w:p>
        </w:tc>
        <w:tc>
          <w:tcPr>
            <w:tcW w:type="dxa" w:w="2492"/>
          </w:tcPr>
          <w:p>
            <w:pPr>
              <w:pStyle w:val="null3"/>
            </w:pPr>
            <w:r>
              <w:rPr/>
              <w:t>根据线路运维、维保中遇见紧急情况及遇见不可抗力因素时提出的应急保障方案制定的详细程度及合理周密性进行综合赋分。①方案切实可行、完整合理、无缺项，可行性强，完全满足招标文件要求，得6分；②方案有缺项，有一定的针对性和较好的可行性，较好满足采购要求，得3分； ③方案设计缺失较多，可行性一般，得2分； ④供应商未提供上述内容不得分。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保密措施</w:t>
            </w:r>
          </w:p>
        </w:tc>
        <w:tc>
          <w:tcPr>
            <w:tcW w:type="dxa" w:w="2492"/>
          </w:tcPr>
          <w:p>
            <w:pPr>
              <w:pStyle w:val="null3"/>
            </w:pPr>
            <w:r>
              <w:rPr/>
              <w:t>供应商具有相关的安全保障措施以及保密制度等，承诺不得泄漏采购单位一切敏感信息等。①承诺明确清晰，符合采购人规定，具有完善的安全保障以及保密制度，得5分。②承诺明确清晰，符合采购人规定，具有安全保障以及保密制度，得3分。 ③供应商未提供上述内容不得分。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项目组人员配备及岗位职责划分</w:t>
            </w:r>
          </w:p>
        </w:tc>
        <w:tc>
          <w:tcPr>
            <w:tcW w:type="dxa" w:w="2492"/>
          </w:tcPr>
          <w:p>
            <w:pPr>
              <w:pStyle w:val="null3"/>
            </w:pPr>
            <w:r>
              <w:rPr/>
              <w:t>本项目拟投入人员的工作经验及组织架构是否满足项目需求，并根据其项目组人员综合实力及合理性进行赋分。①架构合理，人员配置齐全、岗位分配合理、团队人员经验丰富，得10分；②人员配备满足采购需求，岗位职责划分清晰明确，有人员证书，有一定的工作履历，得7分；③人员满足采购需求，岗位职责描述不清晰，无人员证书，工作履历欠缺，得3分；④在满足采购需求的前提下，不提供不得分。(注：提供学历证明、工作履历、职业证书、开标前6个月内缴纳社保证明材料等相关证明材料)</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售后服务</w:t>
            </w:r>
          </w:p>
        </w:tc>
        <w:tc>
          <w:tcPr>
            <w:tcW w:type="dxa" w:w="2492"/>
          </w:tcPr>
          <w:p>
            <w:pPr>
              <w:pStyle w:val="null3"/>
            </w:pPr>
            <w:r>
              <w:rPr/>
              <w:t>1、供应商应提供详细并有针对性、具体、可行的售后服务措施方案及响应的售后承诺。①供应商有详细具体、可行的售后服务措施及承诺得5分。②供应商有具体、基本可行的售后服务措施及承诺得3分。③供应商有售后服务承诺得1分。④供应商未提供上述内容不得分。 2、①供应商提供具体可行的技术培训措施，保证使用单位能熟练操作、维护和正常使用得5分。②供应商具有基本可行的培训措施方案得3分。③供应商具有培训方案，但不针对本项目需求得1分。供应商未提供上述内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提供2021年9月1日以来类似项目业绩证明文件，提供一个得2分，满分10分，不提供不得分。（业绩时间以合同签订时间为准，并提供合同扫描件。）</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满足招标文件要求且报价最低者为评审基准价，其价格分值为满分20分。 报价得分=（评审基准价/最终报价）×价格分值 符合招标文件规定的小微企业、残疾人企业、监狱企业等优惠条件的供应商，价格给予10%的扣除，用扣除后的价格参与评审。</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需求理解</w:t>
            </w:r>
          </w:p>
        </w:tc>
        <w:tc>
          <w:tcPr>
            <w:tcW w:type="dxa" w:w="2492"/>
          </w:tcPr>
          <w:p>
            <w:pPr>
              <w:pStyle w:val="null3"/>
            </w:pPr>
            <w:r>
              <w:rPr/>
              <w:t>根据供应商对项目总体需求理解是否精准，按其响应程度赋分。①对用户需求理解全面详尽准确，得6分；②对用户需求理解合理，满足项目需求，得3 分；③对用户需求理解简单，适用性一般，得1分；④供应商未提供上述内容不得分。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技术方案1</w:t>
            </w:r>
          </w:p>
        </w:tc>
        <w:tc>
          <w:tcPr>
            <w:tcW w:type="dxa" w:w="2492"/>
          </w:tcPr>
          <w:p>
            <w:pPr>
              <w:pStyle w:val="null3"/>
            </w:pPr>
            <w:r>
              <w:rPr/>
              <w:t>根据供应商针对本项目的总体技术方案响应情况赋分。①供应商针对本项目制定规范化的服务方案和定期预防性管理维护方案：方案设计合理、架构完整、层次清楚，可实施性强，得10分；②总体技术方案设计基本合理、架构完整、具有可实施性，得5分；③总体技术方案简单，可实施性一般的，得1分；④供应商未提供上述内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技术方案2</w:t>
            </w:r>
          </w:p>
        </w:tc>
        <w:tc>
          <w:tcPr>
            <w:tcW w:type="dxa" w:w="2492"/>
          </w:tcPr>
          <w:p>
            <w:pPr>
              <w:pStyle w:val="null3"/>
            </w:pPr>
            <w:r>
              <w:rPr/>
              <w:t>根据供应商针对保证本项目业务系统连续性解决方案的技术响应情况赋分。①技术响应方案能保证业务系统无需重新进行IP地址注册、备案和变更工作，各业务系统无需重新规划、调试，解决方案科学可行，得5分；②技术响应方案需要重新进行IP地址注册、备案和变更工作，技术响应方案有保证各业务系统安全性、稳定性以及保证各项业务连续性的解决方案，解决方案科学可行，得3分；③针对保证本项目业务系统连续性的技术响应方案简单，可实施性一般的，得1分；④供应商未提供上述内容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质量保障</w:t>
            </w:r>
          </w:p>
        </w:tc>
        <w:tc>
          <w:tcPr>
            <w:tcW w:type="dxa" w:w="2492"/>
          </w:tcPr>
          <w:p>
            <w:pPr>
              <w:pStyle w:val="null3"/>
            </w:pPr>
            <w:r>
              <w:rPr/>
              <w:t>结合项目特点，项目目标明确，对质量保证措施响应程度赋分。①质量保障措施完善，能保证项目运行，得6分；②质量保障措施较完善，得3分；③质量保障措施一般，得1分；④供应商未提供上述内容不得分。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回访服务</w:t>
            </w:r>
          </w:p>
        </w:tc>
        <w:tc>
          <w:tcPr>
            <w:tcW w:type="dxa" w:w="2492"/>
          </w:tcPr>
          <w:p>
            <w:pPr>
              <w:pStyle w:val="null3"/>
            </w:pPr>
            <w:r>
              <w:rPr/>
              <w:t>供应商针对本项目制定相应回访服务方案，按其响应程度赋分。①方案切实可行、完整合理、无缺项，可行性强，完全满足招标文件要求，得6分； ②方案有缺项，有一定的针对性和较好的可行性，较好满足采购要求，得3分；③方案缺失较多，可行性一般，得1分；④供应商未提供上述内容不得分。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故障修复措施及响应时效</w:t>
            </w:r>
          </w:p>
        </w:tc>
        <w:tc>
          <w:tcPr>
            <w:tcW w:type="dxa" w:w="2492"/>
          </w:tcPr>
          <w:p>
            <w:pPr>
              <w:pStyle w:val="null3"/>
            </w:pPr>
            <w:r>
              <w:rPr/>
              <w:t>供应商根据制定故障修复措施的详细程度及合理性进行综合赋分。①方案切实可行、完整合理、无缺项，可行性强，完全满足招标文件要求，得6分；②方案有缺项，有一定的针对性和较好的可行性，较好满足采购要求，得3分；③方案设计缺失较多，可行性一般，得1分；④供应商未提供上述内容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应急保障方案</w:t>
            </w:r>
          </w:p>
        </w:tc>
        <w:tc>
          <w:tcPr>
            <w:tcW w:type="dxa" w:w="2492"/>
          </w:tcPr>
          <w:p>
            <w:pPr>
              <w:pStyle w:val="null3"/>
            </w:pPr>
            <w:r>
              <w:rPr/>
              <w:t>根据线路运维、维保中遇见紧急情况及遇见不可抗力因素时提出的应急保障方案制定的详细程度及合理周密性进行综合赋分。①方案切实可行、完整合理、无缺项，可行性强，完全满足招标文件要求，得6分；②方案有缺项，有一定的针对性和较好的可行性，较好满足采购要求，得3分； ③方案设计缺失较多，可行性一般，得1分； ④供应商未提供上述内容不得分。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保密措施</w:t>
            </w:r>
          </w:p>
        </w:tc>
        <w:tc>
          <w:tcPr>
            <w:tcW w:type="dxa" w:w="2492"/>
          </w:tcPr>
          <w:p>
            <w:pPr>
              <w:pStyle w:val="null3"/>
            </w:pPr>
            <w:r>
              <w:rPr/>
              <w:t>供应商具有相关的安全保障措施以及保密制度等，承诺不得泄漏采购单位一切敏感信息等。①承诺明确清晰，符合采购人规定，具有完善的安全保障以及保密制度，得5分。②承诺明确清晰，符合采购人规定，具有安全保障以及保密制度，得3分。 ③供应商未提供上述内容不得分。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项目组人员配备及岗位职责划分</w:t>
            </w:r>
          </w:p>
        </w:tc>
        <w:tc>
          <w:tcPr>
            <w:tcW w:type="dxa" w:w="2492"/>
          </w:tcPr>
          <w:p>
            <w:pPr>
              <w:pStyle w:val="null3"/>
            </w:pPr>
            <w:r>
              <w:rPr/>
              <w:t>本项目拟投入人员的工作经验及组织架构是否满足项目需求，并根据其项目组人员综合实力及合理性进行赋分。①架构合理，人员配置齐全、岗位分配合理、团队人员经验丰富，得10分；②人员配备满足采购需求，岗位职责划分清晰明确，有人员证书，有一定的工作履历，得7分；③人员满足采购需求，岗位职责描述不清晰，无人员证书，工作履历欠缺，得3分；④在满足采购需求的前提下，不提供不得分。(注：提供学历证明、工作履历、职业证书、开标前6个月内缴纳社保证明材料等相关证明材料)</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售后服务</w:t>
            </w:r>
          </w:p>
        </w:tc>
        <w:tc>
          <w:tcPr>
            <w:tcW w:type="dxa" w:w="2492"/>
          </w:tcPr>
          <w:p>
            <w:pPr>
              <w:pStyle w:val="null3"/>
            </w:pPr>
            <w:r>
              <w:rPr/>
              <w:t>1、供应商应提供详细并有针对性、具体、可行的售后服务措施方案及响应的售后承诺。①供应商有详细具体、可行的售后服务措施及承诺得5分。②供应商有具体、基本可行的售后服务措施及承诺得3分。③供应商有售后服务承诺得1分。④供应商未提供上述内容不得分。 2、①供应商提供具体可行的技术培训措施，保证使用单位能熟练操作、维护和正常使用得5分。②供应商具有基本可行的培训措施方案得3分。③供应商具有培训方案，但不针对本项目需求得1分。供应商未提供上述内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提供2021年9月1日以来类似项目业绩证明文件，提供一个得2分，满分10分，不提供不得分。（业绩时间以合同签订时间为准，并提供合同扫描件。）</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满足招标文件要求且报价最低者为评审基准价，其价格分值为满分20分。 报价得分=（评审基准价/最终报价）×价格分值 符合招标文件规定的小微企业、残疾人企业、监狱企业等优惠条件的供应商，价格给予10%的扣除，用扣除后的价格参与评审。</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需求理解</w:t>
            </w:r>
          </w:p>
        </w:tc>
        <w:tc>
          <w:tcPr>
            <w:tcW w:type="dxa" w:w="2492"/>
          </w:tcPr>
          <w:p>
            <w:pPr>
              <w:pStyle w:val="null3"/>
            </w:pPr>
            <w:r>
              <w:rPr/>
              <w:t>根据供应商对项目总体需求理解是否精准，按其响应程度赋分。①对用户需求理解全面详尽准确，得6分；②对用户需求理解合理，满足项目需求，得3 分；③对用户需求理解简单，适用性一般，得1分；④供应商未提供上述内容不得分。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技术方案1</w:t>
            </w:r>
          </w:p>
        </w:tc>
        <w:tc>
          <w:tcPr>
            <w:tcW w:type="dxa" w:w="2492"/>
          </w:tcPr>
          <w:p>
            <w:pPr>
              <w:pStyle w:val="null3"/>
            </w:pPr>
            <w:r>
              <w:rPr/>
              <w:t>1、根据供应商针对本项目的总体技术方案响应情况赋分。①供应商针对本项目制定规范化的服务方案和定期预防性管理维护方案：方案设计合理、架构完整、层次清楚，可实施性强，得10分；②总体技术方案设计基本合理、架构完整、具有可实施性，得5分；③总体技术方案简单，可实施性一般的，得1分；④供应商未提供上述内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技术方案2</w:t>
            </w:r>
          </w:p>
        </w:tc>
        <w:tc>
          <w:tcPr>
            <w:tcW w:type="dxa" w:w="2492"/>
          </w:tcPr>
          <w:p>
            <w:pPr>
              <w:pStyle w:val="null3"/>
            </w:pPr>
            <w:r>
              <w:rPr/>
              <w:t>根据供应商针对保证本项目业务系统连续性解决方案的技术响应情况赋分。①技术响应方案能保证业务系统无需重新进行IP地址注册、备案和变更工作，各业务系统无需重新规划、调试，解决方案科学可行，得5分；②技术响应方案需要重新进行IP地址注册、备案和变更工作，技术响应方案有保证各业务系统安全性、稳定性以及保证各项业务连续性的解决方案，解决方案科学可行，得3分；③针对保证本项目业务系统连续性的技术响应方案简单，可实施性一般的，得1分；④供应商未提供上述内容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质量保障</w:t>
            </w:r>
          </w:p>
        </w:tc>
        <w:tc>
          <w:tcPr>
            <w:tcW w:type="dxa" w:w="2492"/>
          </w:tcPr>
          <w:p>
            <w:pPr>
              <w:pStyle w:val="null3"/>
            </w:pPr>
            <w:r>
              <w:rPr/>
              <w:t>结合项目特点，项目目标明确，对质量保证措施响应程度赋分。①质量保障措施完善，能保证项目运行，得6分；②质量保障措施较完善，得3分；③质量保障措施一般，得1分；④供应商未提供上述内容不得分。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回访服务</w:t>
            </w:r>
          </w:p>
        </w:tc>
        <w:tc>
          <w:tcPr>
            <w:tcW w:type="dxa" w:w="2492"/>
          </w:tcPr>
          <w:p>
            <w:pPr>
              <w:pStyle w:val="null3"/>
            </w:pPr>
            <w:r>
              <w:rPr/>
              <w:t>供应商针对本项目制定相应回访服务方案，按其响应程度赋分。①方案切实可行、完整合理、无缺项，可行性强，完全满足招标文件要求，得6分； ②方案有缺项，有一定的针对性和较好的可行性，较好满足采购要求，得3分；③方案缺失较多，可行性一般，得1分；④供应商未提供上述内容不得分。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故障修复措施及响应时效</w:t>
            </w:r>
          </w:p>
        </w:tc>
        <w:tc>
          <w:tcPr>
            <w:tcW w:type="dxa" w:w="2492"/>
          </w:tcPr>
          <w:p>
            <w:pPr>
              <w:pStyle w:val="null3"/>
            </w:pPr>
            <w:r>
              <w:rPr/>
              <w:t>供应商根据制定故障修复措施的详细程度及合理性进行综合赋分。①方案切实可行、完整合理、无缺项，可行性强，完全满足招标文件要求，得6分；②方案有缺项，有一定的针对性和较好的可行性，较好满足采购要求，得3分；③方案设计缺失较多，可行性一般，得1分；④供应商未提供上述内容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应急保障方案</w:t>
            </w:r>
          </w:p>
        </w:tc>
        <w:tc>
          <w:tcPr>
            <w:tcW w:type="dxa" w:w="2492"/>
          </w:tcPr>
          <w:p>
            <w:pPr>
              <w:pStyle w:val="null3"/>
            </w:pPr>
            <w:r>
              <w:rPr/>
              <w:t>根据线路运维、维保中遇见紧急情况及遇见不可抗力因素时提出的应急保障方案制定的详细程度及合理周密性进行综合赋分。①方案切实可行、完整合理、无缺项，可行性强，完全满足招标文件要求，得6分；②方案有缺项，有一定的针对性和较好的可行性，较好满足采购要求，得3分； ③方案设计缺失较多，可行性一般，得1分； ④供应商未提供上述内容不得分。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保密措施</w:t>
            </w:r>
          </w:p>
        </w:tc>
        <w:tc>
          <w:tcPr>
            <w:tcW w:type="dxa" w:w="2492"/>
          </w:tcPr>
          <w:p>
            <w:pPr>
              <w:pStyle w:val="null3"/>
            </w:pPr>
            <w:r>
              <w:rPr/>
              <w:t>供应商具有相关的安全保障措施以及保密制度等，承诺不得泄漏采购单位一切敏感信息等。①承诺明确清晰，符合采购人规定，具有完善的安全保障以及保密制度，得5分。②承诺明确清晰，符合采购人规定，具有安全保障以及保密制度，得3分。 ③供应商未提供上述内容不得分。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项目组人员配备及岗位职责划分</w:t>
            </w:r>
          </w:p>
        </w:tc>
        <w:tc>
          <w:tcPr>
            <w:tcW w:type="dxa" w:w="2492"/>
          </w:tcPr>
          <w:p>
            <w:pPr>
              <w:pStyle w:val="null3"/>
            </w:pPr>
            <w:r>
              <w:rPr/>
              <w:t>本项目拟投入人员的工作经验及组织架构是否满足项目需求，并根据其项目组人员综合实力及合理性进行赋分。①架构合理，人员配置齐全、岗位分配合理、团队人员经验丰富，得10分；②人员配备满足采购需求，岗位职责划分清晰明确，有人员证书，有一定的工作履历，得7分；③人员满足采购需求，岗位职责描述不清晰，无人员证书，工作履历欠缺，得3分；④在满足采购需求的前提下，不提供不得分。(注：提供学历证明、工作履历、职业证书、开标前6个月内缴纳社保证明材料等相关证明材料)</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售后服务</w:t>
            </w:r>
          </w:p>
        </w:tc>
        <w:tc>
          <w:tcPr>
            <w:tcW w:type="dxa" w:w="2492"/>
          </w:tcPr>
          <w:p>
            <w:pPr>
              <w:pStyle w:val="null3"/>
            </w:pPr>
            <w:r>
              <w:rPr/>
              <w:t>1、供应商应提供详细并有针对性、具体、可行的售后服务措施方案及响应的售后承诺。①供应商有详细具体、可行的售后服务措施及承诺得5分。②供应商有具体、基本可行的售后服务措施及承诺得3分。③供应商有售后服务承诺得1分。④供应商未提供上述内容不得分。 2、①供应商提供具体可行的技术培训措施，保证使用单位能熟练操作、维护和正常使用得5分。②供应商具有基本可行的培训措施方案得3分。③供应商具有培训方案，但不针对本项目需求得1分。供应商未提供上述内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提供2021年9月1日以来类似项目业绩证明文件，提供一个得2分，满分10分，不提供不得分。（业绩时间以合同签订时间为准，并提供合同扫描件。）</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满足招标文件要求且报价最低者为评审基准价，其价格分值为满分20分。 报价得分=（评审基准价/最终报价）×价格分值 符合招标文件规定的小微企业、残疾人企业、监狱企业等优惠条件的供应商，价格给予10%的扣除，用扣除后的价格参与评审。</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第6章投标文件格式</w:t>
      </w:r>
    </w:p>
    <w:p>
      <w:pPr>
        <w:pStyle w:val="null3"/>
        <w:outlineLvl w:val="2"/>
      </w:pPr>
      <w:r>
        <w:rPr>
          <w:sz w:val="28"/>
          <w:b/>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详见附件：供应商应提交的相关资格证明材料</w:t>
      </w:r>
    </w:p>
    <w:p>
      <w:pPr>
        <w:pStyle w:val="null3"/>
        <w:ind w:firstLine="960"/>
      </w:pPr>
      <w:r>
        <w:rPr/>
        <w:t>详见附件：服务方案</w:t>
      </w:r>
    </w:p>
    <w:p>
      <w:pPr>
        <w:pStyle w:val="null3"/>
        <w:ind w:firstLine="960"/>
      </w:pPr>
      <w:r>
        <w:rPr/>
        <w:t>详见附件：业绩一览表</w:t>
      </w:r>
    </w:p>
    <w:p>
      <w:pPr>
        <w:pStyle w:val="null3"/>
        <w:ind w:firstLine="960"/>
      </w:pPr>
      <w:r>
        <w:rPr/>
        <w:t>详见附件：陕西省政府采购供应商拒绝政府采购领域商业贿赂承诺书</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详见附件：供应商应提交的相关资格证明材料</w:t>
      </w:r>
    </w:p>
    <w:p>
      <w:pPr>
        <w:pStyle w:val="null3"/>
        <w:ind w:firstLine="960"/>
      </w:pPr>
      <w:r>
        <w:rPr/>
        <w:t>详见附件：服务方案</w:t>
      </w:r>
    </w:p>
    <w:p>
      <w:pPr>
        <w:pStyle w:val="null3"/>
        <w:ind w:firstLine="960"/>
      </w:pPr>
      <w:r>
        <w:rPr/>
        <w:t>详见附件：业绩一览表</w:t>
      </w:r>
    </w:p>
    <w:p>
      <w:pPr>
        <w:pStyle w:val="null3"/>
        <w:ind w:firstLine="960"/>
      </w:pPr>
      <w:r>
        <w:rPr/>
        <w:t>详见附件：陕西省政府采购供应商拒绝政府采购领域商业贿赂承诺书</w:t>
      </w:r>
    </w:p>
    <w:p>
      <w:pPr>
        <w:pStyle w:val="null3"/>
      </w:pPr>
      <w:r>
        <w:rPr/>
        <w:t>采购包3：</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详见附件：供应商应提交的相关资格证明材料</w:t>
      </w:r>
    </w:p>
    <w:p>
      <w:pPr>
        <w:pStyle w:val="null3"/>
        <w:ind w:firstLine="960"/>
      </w:pPr>
      <w:r>
        <w:rPr/>
        <w:t>详见附件：服务方案</w:t>
      </w:r>
    </w:p>
    <w:p>
      <w:pPr>
        <w:pStyle w:val="null3"/>
        <w:ind w:firstLine="960"/>
      </w:pPr>
      <w:r>
        <w:rPr/>
        <w:t>详见附件：业绩一览表</w:t>
      </w:r>
    </w:p>
    <w:p>
      <w:pPr>
        <w:pStyle w:val="null3"/>
        <w:ind w:firstLine="960"/>
      </w:pPr>
      <w:r>
        <w:rPr/>
        <w:t>详见附件：陕西省政府采购供应商拒绝政府采购领域商业贿赂承诺书</w:t>
      </w:r>
    </w:p>
    <w:p>
      <w:pPr>
        <w:pStyle w:val="null3"/>
      </w:pPr>
      <w:r>
        <w:rPr/>
        <w:t xml:space="preserve"> </w:t>
        <w:br/>
        <w:br w:type="page"/>
      </w:r>
    </w:p>
    <w:p>
      <w:pPr>
        <w:pStyle w:val="null3"/>
        <w:jc w:val="center"/>
        <w:outlineLvl w:val="1"/>
      </w:pPr>
      <w:r>
        <w:rPr>
          <w:sz w:val="36"/>
          <w:b/>
        </w:rPr>
        <w:t>第7章 拟签订采购合同文本</w:t>
      </w:r>
    </w:p>
    <w:p>
      <w:pPr>
        <w:pStyle w:val="null3"/>
      </w:pPr>
      <w:r>
        <w:rPr/>
        <w:t>详见附件：第7章 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lowerLetter"/>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