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版本号：241012001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（货物类）</w:t>
      </w:r>
      <w:r>
        <w:br/>
      </w:r>
      <w:r>
        <w:br/>
      </w:r>
      <w:r>
        <w:br/>
      </w:r>
      <w:r>
        <w:br/>
      </w:r>
      <w:r>
        <w:br/>
      </w:r>
      <w:r>
        <w:br/>
      </w:r>
      <w:r>
        <w:br/>
      </w:r>
      <w:r>
        <w:br/>
      </w:r>
      <w:r>
        <w:br/>
      </w:r>
      <w:r>
        <w:br/>
      </w:r>
      <w:r>
        <w:br/>
      </w:r>
    </w:p>
    <w:p>
      <w:pPr>
        <w:pStyle w:val="null3"/>
        <w:jc w:val="center"/>
        <w:outlineLvl w:val="5"/>
      </w:pPr>
      <w:r>
        <w:rPr>
          <w:sz w:val="15"/>
          <w:b/>
        </w:rPr>
        <w:t>项目名称：</w:t>
      </w:r>
      <w:r>
        <w:rPr>
          <w:sz w:val="15"/>
          <w:b/>
        </w:rPr>
        <w:t>智慧资产管理平台采购项目</w:t>
      </w:r>
    </w:p>
    <w:p>
      <w:pPr>
        <w:pStyle w:val="null3"/>
        <w:jc w:val="center"/>
        <w:outlineLvl w:val="5"/>
      </w:pPr>
      <w:r>
        <w:rPr>
          <w:sz w:val="15"/>
          <w:b/>
        </w:rPr>
        <w:t xml:space="preserve">项目编号: </w:t>
      </w:r>
      <w:r>
        <w:rPr>
          <w:sz w:val="15"/>
          <w:b/>
        </w:rPr>
        <w:t>DQB-2024054-US</w:t>
      </w:r>
      <w:r>
        <w:br/>
      </w:r>
      <w:r>
        <w:br/>
      </w:r>
      <w:r>
        <w:br/>
      </w:r>
      <w:r>
        <w:br/>
      </w:r>
      <w:r>
        <w:br/>
      </w:r>
    </w:p>
    <w:p>
      <w:pPr>
        <w:pStyle w:val="null3"/>
        <w:jc w:val="center"/>
        <w:outlineLvl w:val="5"/>
      </w:pPr>
      <w:r>
        <w:rPr>
          <w:sz w:val="15"/>
          <w:b/>
        </w:rPr>
        <w:t>陕西科技大学</w:t>
      </w:r>
    </w:p>
    <w:p>
      <w:pPr>
        <w:pStyle w:val="null3"/>
        <w:jc w:val="center"/>
        <w:outlineLvl w:val="5"/>
      </w:pPr>
      <w:r>
        <w:rPr>
          <w:sz w:val="15"/>
          <w:b/>
        </w:rPr>
        <w:t>陕西德勤招标有限公司</w:t>
      </w:r>
      <w:r>
        <w:rPr>
          <w:sz w:val="15"/>
          <w:b/>
        </w:rPr>
        <w:t>共同编制</w:t>
      </w:r>
    </w:p>
    <w:p>
      <w:pPr>
        <w:pStyle w:val="null3"/>
        <w:jc w:val="center"/>
        <w:outlineLvl w:val="5"/>
      </w:pPr>
      <w:r>
        <w:rPr>
          <w:sz w:val="15"/>
          <w:b/>
        </w:rPr>
        <w:t>2024年10月12日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陕西德勤招标有限公司</w:t>
      </w:r>
      <w:r>
        <w:rPr/>
        <w:t>（以下简称“代理机构”）受</w:t>
      </w:r>
      <w:r>
        <w:rPr/>
        <w:t>陕西科技大学</w:t>
      </w:r>
      <w:r>
        <w:rPr/>
        <w:t>委托，拟对</w:t>
      </w:r>
      <w:r>
        <w:rPr/>
        <w:t>智慧资产管理平台采购项目</w:t>
      </w:r>
      <w:r>
        <w:rPr/>
        <w:t>采用单一来源方式进行采购，现邀请贵公司参加该项目的协商。</w:t>
      </w:r>
    </w:p>
    <w:p>
      <w:pPr>
        <w:pStyle w:val="null3"/>
        <w:outlineLvl w:val="2"/>
      </w:pPr>
      <w:r>
        <w:rPr>
          <w:sz w:val="28"/>
          <w:b/>
        </w:rPr>
        <w:t>一、采购项目编号：</w:t>
      </w:r>
      <w:r>
        <w:rPr>
          <w:sz w:val="28"/>
          <w:b/>
        </w:rPr>
        <w:t>DQB-2024054-US</w:t>
      </w:r>
    </w:p>
    <w:p>
      <w:pPr>
        <w:pStyle w:val="null3"/>
        <w:outlineLvl w:val="2"/>
      </w:pPr>
      <w:r>
        <w:rPr>
          <w:sz w:val="28"/>
          <w:b/>
        </w:rPr>
        <w:t>二、采购项目名称：</w:t>
      </w:r>
      <w:r>
        <w:rPr>
          <w:sz w:val="28"/>
          <w:b/>
        </w:rPr>
        <w:t>智慧资产管理平台采购项目</w:t>
      </w:r>
    </w:p>
    <w:p>
      <w:pPr>
        <w:pStyle w:val="null3"/>
        <w:outlineLvl w:val="2"/>
      </w:pPr>
      <w:r>
        <w:rPr>
          <w:sz w:val="28"/>
          <w:b/>
        </w:rPr>
        <w:t>三、协商项目简介：</w:t>
      </w:r>
    </w:p>
    <w:p>
      <w:pPr>
        <w:pStyle w:val="null3"/>
        <w:ind w:firstLine="480"/>
      </w:pPr>
      <w:r>
        <w:rPr/>
        <w:t>智慧资产管理平台采购项目，实现对登记建账、资产交接、资产调拨、资产增减值变动、资产盘点、资产退库、资产信息变动、资产处置等资产全生命周期的线上管理。实现与资产服务终端、移动端、数据化校园、财务接口等对接。</w:t>
      </w:r>
    </w:p>
    <w:p>
      <w:pPr>
        <w:pStyle w:val="null3"/>
        <w:outlineLvl w:val="2"/>
      </w:pPr>
      <w:r>
        <w:rPr>
          <w:sz w:val="28"/>
          <w:b/>
        </w:rPr>
        <w:t>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1、营业执照等主体资格证明文件：提供营业执照/事业单位法人证书/专业服务机构执业许可证/民办非企业单位登记证书。</w:t>
      </w:r>
    </w:p>
    <w:p>
      <w:pPr>
        <w:pStyle w:val="null3"/>
      </w:pPr>
      <w:r>
        <w:rPr/>
        <w:t>2、财务状况报告：提供2023年度经审计的财务报告(成立时间至提交响应文件截止时间不足一年的可提供成立后任意时段的资产负债表)，或其开标前三个月内基本开户银行出具的资信证明，或信用担保机构出具的响应担保函(以上三种形式的资料提供任何一种即可)。</w:t>
      </w:r>
    </w:p>
    <w:p>
      <w:pPr>
        <w:pStyle w:val="null3"/>
      </w:pPr>
      <w:r>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t>5、近三年无重大违法、违纪书面声明：提供《近三年无重大违法、违纪书面声明》。</w:t>
      </w:r>
    </w:p>
    <w:p>
      <w:pPr>
        <w:pStyle w:val="null3"/>
      </w:pPr>
      <w:r>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t>7、书面声明：提供书面声明，包括声明具有履行合同所必需的设备和专业技术能力；未为本项目提供整体设计、规范编制或者项目管理、监理、检测等服务。</w:t>
      </w:r>
    </w:p>
    <w:p>
      <w:pPr>
        <w:pStyle w:val="null3"/>
      </w:pPr>
      <w:r>
        <w:rPr/>
        <w:t>8、法定代表人授权委托书：法定代表人参加响应的，须提供本人身份证复印件(附在资格证明文件中)；法定代表人授权他人参加响应的，须提供法定代表人授权委托书。采购文件中凡是需要法定代表人盖章之处，非法人单位的负责人均参照执行。法人的分支机构参与响应时，除提供《法定代表人授权委托书》外，还须同时提供法人给分支机构出具的授权书。</w:t>
      </w:r>
    </w:p>
    <w:p>
      <w:pPr>
        <w:pStyle w:val="null3"/>
        <w:ind w:firstLine="480"/>
      </w:pPr>
      <w:r>
        <w:rPr/>
        <w:t>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（三）本项目采取网上开标，即采购人或代理机构通过项目电子化交易系统“开标/开启大厅”组织在线开启。</w:t>
      </w:r>
    </w:p>
    <w:p>
      <w:pPr>
        <w:pStyle w:val="null3"/>
        <w:outlineLvl w:val="2"/>
      </w:pPr>
      <w:r>
        <w:rPr>
          <w:sz w:val="28"/>
          <w:b/>
        </w:rPr>
        <w:t>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陕西科技大学</w:t>
      </w:r>
    </w:p>
    <w:p>
      <w:pPr>
        <w:pStyle w:val="null3"/>
      </w:pPr>
      <w:r>
        <w:rPr/>
        <w:t xml:space="preserve"> 地址： </w:t>
      </w:r>
      <w:r>
        <w:rPr/>
        <w:t>西安市未央大学城陕西科技大学</w:t>
      </w:r>
    </w:p>
    <w:p>
      <w:pPr>
        <w:pStyle w:val="null3"/>
      </w:pPr>
      <w:r>
        <w:rPr/>
        <w:t xml:space="preserve"> 邮编： </w:t>
      </w:r>
      <w:r>
        <w:rPr/>
        <w:t>/</w:t>
      </w:r>
    </w:p>
    <w:p>
      <w:pPr>
        <w:pStyle w:val="null3"/>
      </w:pPr>
      <w:r>
        <w:rPr/>
        <w:t xml:space="preserve"> 联系人： </w:t>
      </w:r>
      <w:r>
        <w:rPr/>
        <w:t>陕西科技大学经办</w:t>
      </w:r>
    </w:p>
    <w:p>
      <w:pPr>
        <w:pStyle w:val="null3"/>
      </w:pPr>
      <w:r>
        <w:rPr/>
        <w:t xml:space="preserve"> 联系电话： </w:t>
      </w:r>
      <w:r>
        <w:rPr/>
        <w:t>029-86168376</w:t>
      </w:r>
    </w:p>
    <w:p>
      <w:pPr>
        <w:pStyle w:val="null3"/>
        <w:outlineLvl w:val="2"/>
      </w:pPr>
      <w:r>
        <w:rPr>
          <w:sz w:val="28"/>
          <w:b/>
        </w:rPr>
        <w:t>代理机构：</w:t>
      </w:r>
      <w:r>
        <w:rPr>
          <w:sz w:val="28"/>
          <w:b/>
        </w:rPr>
        <w:t>陕西德勤招标有限公司</w:t>
      </w:r>
    </w:p>
    <w:p>
      <w:pPr>
        <w:pStyle w:val="null3"/>
      </w:pPr>
      <w:r>
        <w:rPr/>
        <w:t xml:space="preserve"> 地址： </w:t>
      </w:r>
      <w:r>
        <w:rPr/>
        <w:t>陕西省西安市高新区丈八一路1号汇鑫中心D座2206</w:t>
      </w:r>
    </w:p>
    <w:p>
      <w:pPr>
        <w:pStyle w:val="null3"/>
      </w:pPr>
      <w:r>
        <w:rPr/>
        <w:t xml:space="preserve"> 邮编： </w:t>
      </w:r>
      <w:r>
        <w:rPr/>
        <w:t>/</w:t>
      </w:r>
    </w:p>
    <w:p>
      <w:pPr>
        <w:pStyle w:val="null3"/>
      </w:pPr>
      <w:r>
        <w:rPr/>
        <w:t xml:space="preserve"> 联系人： </w:t>
      </w:r>
      <w:r>
        <w:rPr/>
        <w:t>李浩</w:t>
      </w:r>
    </w:p>
    <w:p>
      <w:pPr>
        <w:pStyle w:val="null3"/>
      </w:pPr>
      <w:r>
        <w:rPr/>
        <w:t xml:space="preserve"> 联系电话： </w:t>
      </w:r>
      <w:r>
        <w:rPr/>
        <w:t>029-81169855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本项目各包预算金额如下：</w:t>
            </w:r>
          </w:p>
          <w:p>
            <w:pPr>
              <w:pStyle w:val="null3"/>
            </w:pPr>
            <w:r>
              <w:rPr/>
              <w:t>采购包1：790,000.00元</w:t>
            </w:r>
            <w:r>
              <w:rPr/>
              <w:t>供应商的包件采购报价高于包件采购预算的，其响应文件将按无效处理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本项目各包最高限价详见第三章。</w:t>
            </w:r>
          </w:p>
          <w:p>
            <w:pPr>
              <w:pStyle w:val="null3"/>
            </w:pPr>
            <w:r>
              <w:rPr/>
              <w:t>采购包1：790,000.00元</w:t>
            </w:r>
            <w:r>
              <w:rPr/>
              <w:t xml:space="preserve"> 供应商的包件报价高于最高限价的，其响应文件将按无效处理。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采购包1保证金金额：15,000.00元</w:t>
            </w:r>
          </w:p>
          <w:p>
            <w:pPr>
              <w:pStyle w:val="null3"/>
            </w:pPr>
            <w:r>
              <w:rPr/>
              <w:t>缴交渠道：转账、支票、汇票等（需通过实体账户、户名及开户行信息）,电子保函</w:t>
            </w:r>
          </w:p>
          <w:p>
            <w:pPr>
              <w:pStyle w:val="null3"/>
            </w:pPr>
            <w:r>
              <w:rPr/>
              <w:t>开户名称：陕西德勤招标有限公司</w:t>
            </w:r>
          </w:p>
          <w:p>
            <w:pPr>
              <w:pStyle w:val="null3"/>
            </w:pPr>
            <w:r>
              <w:rPr/>
              <w:t>开户银行：光大银行西安丈八东路支行</w:t>
            </w:r>
          </w:p>
          <w:p>
            <w:pPr>
              <w:pStyle w:val="null3"/>
            </w:pPr>
            <w:r>
              <w:rPr/>
              <w:t>银行账号：52880188000025295</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8</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代理服务费收费标准：按国家计委颁发的《招标代理服务收费管理暂行办法》（计价格[2002]1980号）的标准下浮35%收取。</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w:t>
            </w:r>
          </w:p>
          <w:p>
            <w:pPr>
              <w:pStyle w:val="null3"/>
            </w:pPr>
            <w:r>
              <w:rPr/>
              <w:t>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陕西科技大学</w:t>
      </w:r>
      <w:r>
        <w:rPr/>
        <w:t>和</w:t>
      </w:r>
      <w:r>
        <w:rPr/>
        <w:t>陕西德勤招标有限公司</w:t>
      </w:r>
      <w:r>
        <w:rPr/>
        <w:t>享有。对采购文件中供应商参加本次政府采购活动应当具备的条件、项目技术、服务、商务及其他要求，评审标准由采购人负责解释。除上述采购文件内容，其他内容由</w:t>
      </w:r>
      <w:r>
        <w:rPr/>
        <w:t>陕西德勤招标有限公司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陕西科技大学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陕西德勤招标有限公司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 xml:space="preserve"> 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（四）资格审查</w:t>
      </w:r>
    </w:p>
    <w:p>
      <w:pPr>
        <w:pStyle w:val="null3"/>
        <w:ind w:firstLine="480"/>
      </w:pPr>
      <w:r>
        <w:rPr/>
        <w:t>（五）协商办法</w:t>
      </w:r>
    </w:p>
    <w:p>
      <w:pPr>
        <w:pStyle w:val="null3"/>
        <w:ind w:firstLine="480"/>
      </w:pPr>
      <w:r>
        <w:rPr/>
        <w:t>（六）响应文件格式</w:t>
      </w:r>
    </w:p>
    <w:p>
      <w:pPr>
        <w:pStyle w:val="null3"/>
        <w:ind w:firstLine="480"/>
      </w:pPr>
      <w:r>
        <w:rPr/>
        <w:t>（七）拟签订采购的合同文本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 xml:space="preserve"> 2.4.6响应文件格式</w:t>
      </w:r>
    </w:p>
    <w:p>
      <w:pPr>
        <w:pStyle w:val="null3"/>
        <w:ind w:firstLine="480"/>
      </w:pPr>
      <w:r>
        <w:rPr/>
        <w:t>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sz w:val="24"/>
          <w:b/>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 xml:space="preserve"> 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二、采购人和成交供应商签订的采购合同不得对采购文件确定的事项以及成交供应商的响应文件作实质性修改。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详见招投标文件及合同相关条款。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陕西德勤招标有限公司</w:t>
      </w:r>
      <w:r>
        <w:rPr/>
        <w:t xml:space="preserve"> 负责答复；供应商对除采购需求外的采购文件的询问、质疑由</w:t>
      </w:r>
      <w:r>
        <w:rPr/>
        <w:t>陕西德勤招标有限公司</w:t>
      </w:r>
      <w:r>
        <w:rPr/>
        <w:t xml:space="preserve"> 负责答复；供应商对采购过程、采购结果的询问、质疑由 </w:t>
      </w:r>
      <w:r>
        <w:rPr/>
        <w:t>陕西德勤招标有限公司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智慧资产管理平台采购项目，实现对登记建账、资产交接、资产调拨、资产增减值变动、资产盘点、资产退库、资产信息变动、资产处置等资产全生命周期的线上管理。实现与资产服务终端、移动端、数据化校园、财务接口等对接。</w:t>
      </w:r>
    </w:p>
    <w:p>
      <w:pPr>
        <w:pStyle w:val="null3"/>
        <w:outlineLvl w:val="2"/>
      </w:pPr>
      <w:r>
        <w:rPr>
          <w:sz w:val="28"/>
          <w:b/>
        </w:rPr>
        <w:t>3.2采购内容</w:t>
      </w:r>
    </w:p>
    <w:p>
      <w:pPr>
        <w:pStyle w:val="null3"/>
      </w:pPr>
      <w:r>
        <w:rPr/>
        <w:t>采购包1：</w:t>
      </w:r>
    </w:p>
    <w:p>
      <w:pPr>
        <w:pStyle w:val="null3"/>
      </w:pPr>
      <w:r>
        <w:rPr/>
        <w:t>采购包预算金额（元）: 790,000.00</w:t>
      </w:r>
    </w:p>
    <w:p>
      <w:pPr>
        <w:pStyle w:val="null3"/>
      </w:pPr>
      <w:r>
        <w:rPr/>
        <w:t>采购包最高限价（元）: 790,000.00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智慧资产管理平台</w:t>
            </w:r>
          </w:p>
        </w:tc>
        <w:tc>
          <w:tcPr>
            <w:tcW w:type="dxa" w:w="831"/>
          </w:tcPr>
          <w:p>
            <w:pPr>
              <w:pStyle w:val="null3"/>
              <w:jc w:val="right"/>
            </w:pPr>
            <w:r>
              <w:rPr/>
              <w:t>1.00</w:t>
            </w:r>
          </w:p>
        </w:tc>
        <w:tc>
          <w:tcPr>
            <w:tcW w:type="dxa" w:w="831"/>
          </w:tcPr>
          <w:p>
            <w:pPr>
              <w:pStyle w:val="null3"/>
              <w:jc w:val="right"/>
            </w:pPr>
            <w:r>
              <w:rPr/>
              <w:t>790,000.00</w:t>
            </w:r>
          </w:p>
        </w:tc>
        <w:tc>
          <w:tcPr>
            <w:tcW w:type="dxa" w:w="831"/>
          </w:tcPr>
          <w:p>
            <w:pPr>
              <w:pStyle w:val="null3"/>
            </w:pPr>
            <w:r>
              <w:rPr/>
              <w:t>套</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标的名称：智慧资产管理平台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jc w:val="left"/>
            </w:pPr>
            <w:r>
              <w:rPr>
                <w:rFonts w:ascii="宋体" w:hAnsi="宋体" w:cs="宋体" w:eastAsia="宋体"/>
                <w:sz w:val="21"/>
                <w:b/>
                <w:color w:val="000000"/>
              </w:rPr>
              <w:t>一、建设目标</w:t>
            </w:r>
          </w:p>
          <w:p>
            <w:pPr>
              <w:pStyle w:val="null3"/>
              <w:ind w:firstLine="480"/>
              <w:jc w:val="left"/>
            </w:pPr>
            <w:r>
              <w:rPr>
                <w:rFonts w:ascii="宋体" w:hAnsi="宋体" w:cs="宋体" w:eastAsia="宋体"/>
                <w:sz w:val="21"/>
                <w:color w:val="000000"/>
              </w:rPr>
              <w:t>根据陕西省教育办公室厅《关于做好资产管理纳入财政云预算一体化系统有关工作的通知》（陕教财办〔</w:t>
            </w:r>
            <w:r>
              <w:rPr>
                <w:rFonts w:ascii="宋体" w:hAnsi="宋体" w:cs="宋体" w:eastAsia="宋体"/>
                <w:sz w:val="21"/>
                <w:color w:val="000000"/>
              </w:rPr>
              <w:t>2022〕45号文件）《关于做好行政事业性资产管理纳入预算管理一体化数据迁移准备工作的通知》（陕教财办〔2023〕26 号）精神，要求行政事业单位资产管理业务与财政云预算管理一体化系统进行对接，我校资产管理系统一直使用的是北京久其软件股份有限公司的高等院校资产管理信息系统，根据省教育厅对高校资产管理信息系统的最新要求，该系统已经不能和财政云系统对接，需要对资产管理信息系统进行升级。</w:t>
            </w:r>
          </w:p>
          <w:p>
            <w:pPr>
              <w:pStyle w:val="null3"/>
              <w:ind w:firstLine="480"/>
              <w:jc w:val="left"/>
            </w:pPr>
            <w:r>
              <w:rPr>
                <w:rFonts w:ascii="宋体" w:hAnsi="宋体" w:cs="宋体" w:eastAsia="宋体"/>
                <w:sz w:val="21"/>
                <w:color w:val="000000"/>
              </w:rPr>
              <w:t>通过项目建设实现资产全生命周期管理，紧密结合自助报账终端等物联网技术手段，丰富资产管理手段，深入落实</w:t>
            </w:r>
            <w:r>
              <w:rPr>
                <w:rFonts w:ascii="宋体" w:hAnsi="宋体" w:cs="宋体" w:eastAsia="宋体"/>
                <w:sz w:val="21"/>
                <w:color w:val="000000"/>
              </w:rPr>
              <w:t>“放管服”和“一次办好”，加强内控制度建设和信息化管理水平，全面提升学校国有资产管理和服务水平。</w:t>
            </w:r>
          </w:p>
          <w:p>
            <w:pPr>
              <w:pStyle w:val="null3"/>
              <w:ind w:firstLine="480"/>
              <w:jc w:val="left"/>
            </w:pPr>
            <w:r>
              <w:rPr>
                <w:rFonts w:ascii="宋体" w:hAnsi="宋体" w:cs="宋体" w:eastAsia="宋体"/>
                <w:sz w:val="21"/>
                <w:color w:val="000000"/>
              </w:rPr>
              <w:t>1、高校资产管理信息系统：网页端系统需包括首页管理、验收入库、财务对账管理、转移分配、资产调剂平台、资产处置公示、资产盘点、折旧管理、资产出租出借、资产处置、查询中心、资产报表、数据体检、系统管理等功能，同时结合管理需求对系统进行定制开发。</w:t>
            </w:r>
          </w:p>
          <w:p>
            <w:pPr>
              <w:pStyle w:val="null3"/>
              <w:ind w:firstLine="480"/>
              <w:jc w:val="left"/>
            </w:pPr>
            <w:r>
              <w:rPr>
                <w:rFonts w:ascii="宋体" w:hAnsi="宋体" w:cs="宋体" w:eastAsia="宋体"/>
                <w:sz w:val="21"/>
                <w:color w:val="000000"/>
              </w:rPr>
              <w:t>2、移动端系统：移动端系统需提供资产管理移动APP（H5编写），集成至学校移动校园企业号等移动端服务，能够为各类用户提供基于移动应用的业务查询、业务审批、资产盘点等功能。</w:t>
            </w:r>
          </w:p>
          <w:p>
            <w:pPr>
              <w:pStyle w:val="null3"/>
              <w:ind w:firstLine="480"/>
              <w:jc w:val="left"/>
            </w:pPr>
            <w:r>
              <w:rPr>
                <w:rFonts w:ascii="宋体" w:hAnsi="宋体" w:cs="宋体" w:eastAsia="宋体"/>
                <w:sz w:val="21"/>
                <w:color w:val="000000"/>
              </w:rPr>
              <w:t>3、集成接口：根据不同信息化系统之间涉及的相关业务及信息关联要求开展集成化应用，需实现与学校大数据中心、财务系统、网上办事大厅、人事系统等实现集成对接，需要实现与财政及教育主管部资产管理系统的数据对接上报。</w:t>
            </w:r>
          </w:p>
          <w:p>
            <w:pPr>
              <w:pStyle w:val="null3"/>
              <w:ind w:firstLine="480"/>
              <w:jc w:val="left"/>
            </w:pPr>
            <w:r>
              <w:rPr>
                <w:rFonts w:ascii="宋体" w:hAnsi="宋体" w:cs="宋体" w:eastAsia="宋体"/>
                <w:sz w:val="21"/>
                <w:color w:val="000000"/>
              </w:rPr>
              <w:t>4、自助报账终端机：支持教职工在自助报账终端完成标签打印、业务单据打印、业务查询及出资产查询功能，也可以使用标签打印机对资产卡片进行标签的打印。</w:t>
            </w:r>
          </w:p>
          <w:p>
            <w:pPr>
              <w:pStyle w:val="null3"/>
              <w:ind w:firstLine="480"/>
              <w:jc w:val="left"/>
            </w:pPr>
            <w:r>
              <w:rPr>
                <w:rFonts w:ascii="宋体" w:hAnsi="宋体" w:cs="宋体" w:eastAsia="宋体"/>
                <w:sz w:val="21"/>
                <w:b/>
                <w:color w:val="000000"/>
              </w:rPr>
              <w:t>二、技术路线</w:t>
            </w:r>
          </w:p>
          <w:p>
            <w:pPr>
              <w:pStyle w:val="null3"/>
              <w:ind w:firstLine="480"/>
              <w:jc w:val="left"/>
            </w:pPr>
            <w:r>
              <w:rPr>
                <w:rFonts w:ascii="宋体" w:hAnsi="宋体" w:cs="宋体" w:eastAsia="宋体"/>
                <w:sz w:val="21"/>
                <w:color w:val="000000"/>
              </w:rPr>
              <w:t>2.1系统架构</w:t>
            </w:r>
          </w:p>
          <w:p>
            <w:pPr>
              <w:pStyle w:val="null3"/>
              <w:ind w:firstLine="480"/>
              <w:jc w:val="left"/>
            </w:pPr>
            <w:r>
              <w:rPr>
                <w:rFonts w:ascii="宋体" w:hAnsi="宋体" w:cs="宋体" w:eastAsia="宋体"/>
                <w:sz w:val="21"/>
                <w:color w:val="000000"/>
              </w:rPr>
              <w:t>需采用</w:t>
            </w:r>
            <w:r>
              <w:rPr>
                <w:rFonts w:ascii="宋体" w:hAnsi="宋体" w:cs="宋体" w:eastAsia="宋体"/>
                <w:sz w:val="21"/>
                <w:color w:val="000000"/>
              </w:rPr>
              <w:t>B/S（浏览器/服务器模式）架构，系统基于 Web 技术开发，利用浏览器进行使用和管理；所有的业务子系统的功能界面风格和操作流程一致，提供统一的个人任务查询处理接口。</w:t>
            </w:r>
          </w:p>
          <w:p>
            <w:pPr>
              <w:pStyle w:val="null3"/>
              <w:ind w:firstLine="480"/>
              <w:jc w:val="left"/>
            </w:pPr>
            <w:r>
              <w:rPr>
                <w:rFonts w:ascii="宋体" w:hAnsi="宋体" w:cs="宋体" w:eastAsia="宋体"/>
                <w:sz w:val="21"/>
                <w:color w:val="000000"/>
              </w:rPr>
              <w:t>能够同时支持运行在物理机或虚拟机环境上，支持</w:t>
            </w:r>
            <w:r>
              <w:rPr>
                <w:rFonts w:ascii="宋体" w:hAnsi="宋体" w:cs="宋体" w:eastAsia="宋体"/>
                <w:sz w:val="21"/>
                <w:color w:val="000000"/>
              </w:rPr>
              <w:t>Linux、windows 操作系统。</w:t>
            </w:r>
          </w:p>
          <w:p>
            <w:pPr>
              <w:pStyle w:val="null3"/>
              <w:ind w:firstLine="480"/>
              <w:jc w:val="left"/>
            </w:pPr>
            <w:r>
              <w:rPr>
                <w:rFonts w:ascii="宋体" w:hAnsi="宋体" w:cs="宋体" w:eastAsia="宋体"/>
                <w:sz w:val="21"/>
                <w:color w:val="000000"/>
              </w:rPr>
              <w:t>系统需具备二次开发平台能力，并开放二次开发整合接口，用于将后续开发的功能模块集成到系统中，另外系统支持所有业务流程自定义。信息交换方式应符合</w:t>
            </w:r>
            <w:r>
              <w:rPr>
                <w:rFonts w:ascii="宋体" w:hAnsi="宋体" w:cs="宋体" w:eastAsia="宋体"/>
                <w:sz w:val="21"/>
                <w:color w:val="000000"/>
              </w:rPr>
              <w:t>XML 数据交换标准，交互操作服务接口应符合 Web Services 标准，系统交互模式支持同步与异步方式，交互数据应支持各种数据类型。</w:t>
            </w:r>
          </w:p>
          <w:p>
            <w:pPr>
              <w:pStyle w:val="null3"/>
              <w:ind w:firstLine="480"/>
              <w:jc w:val="left"/>
            </w:pPr>
            <w:r>
              <w:rPr>
                <w:rFonts w:ascii="宋体" w:hAnsi="宋体" w:cs="宋体" w:eastAsia="宋体"/>
                <w:sz w:val="21"/>
                <w:color w:val="000000"/>
              </w:rPr>
              <w:t>2.2易用性</w:t>
            </w:r>
          </w:p>
          <w:p>
            <w:pPr>
              <w:pStyle w:val="null3"/>
              <w:ind w:firstLine="480"/>
              <w:jc w:val="left"/>
            </w:pPr>
            <w:r>
              <w:rPr>
                <w:rFonts w:ascii="宋体" w:hAnsi="宋体" w:cs="宋体" w:eastAsia="宋体"/>
                <w:sz w:val="21"/>
                <w:color w:val="000000"/>
              </w:rPr>
              <w:t>需保证客户端用</w:t>
            </w:r>
            <w:r>
              <w:rPr>
                <w:rFonts w:ascii="宋体" w:hAnsi="宋体" w:cs="宋体" w:eastAsia="宋体"/>
                <w:sz w:val="21"/>
                <w:color w:val="000000"/>
              </w:rPr>
              <w:t>Window 7、Window 8、Win10 等常用操作系统的正常使用，浏览器支持 IE10.0 及以上版本，并支持 Google Chrome、Firefox、360 等主流浏览器。</w:t>
            </w:r>
          </w:p>
          <w:p>
            <w:pPr>
              <w:pStyle w:val="null3"/>
              <w:ind w:firstLine="480"/>
              <w:jc w:val="left"/>
            </w:pPr>
            <w:r>
              <w:rPr>
                <w:rFonts w:ascii="宋体" w:hAnsi="宋体" w:cs="宋体" w:eastAsia="宋体"/>
                <w:sz w:val="21"/>
                <w:color w:val="000000"/>
              </w:rPr>
              <w:t>2.3 J2EE开发平台</w:t>
            </w:r>
          </w:p>
          <w:p>
            <w:pPr>
              <w:pStyle w:val="null3"/>
              <w:ind w:firstLine="480"/>
              <w:jc w:val="left"/>
            </w:pPr>
            <w:r>
              <w:rPr>
                <w:rFonts w:ascii="宋体" w:hAnsi="宋体" w:cs="宋体" w:eastAsia="宋体"/>
                <w:sz w:val="21"/>
                <w:color w:val="000000"/>
              </w:rPr>
              <w:t>本项目涉及全部信息系统均需基于</w:t>
            </w:r>
            <w:r>
              <w:rPr>
                <w:rFonts w:ascii="宋体" w:hAnsi="宋体" w:cs="宋体" w:eastAsia="宋体"/>
                <w:sz w:val="21"/>
                <w:color w:val="000000"/>
              </w:rPr>
              <w:t>J2EE平台开发设计，主体代码采用Java编程语言和服务器端Java技术(如EJBs、Servlet、JSP、JNDI、JDBC和RMI等)开发。</w:t>
            </w:r>
          </w:p>
          <w:p>
            <w:pPr>
              <w:pStyle w:val="null3"/>
              <w:ind w:firstLine="480"/>
              <w:jc w:val="left"/>
            </w:pPr>
            <w:r>
              <w:rPr>
                <w:rFonts w:ascii="宋体" w:hAnsi="宋体" w:cs="宋体" w:eastAsia="宋体"/>
                <w:sz w:val="21"/>
                <w:color w:val="000000"/>
              </w:rPr>
              <w:t>J2EE平台是目前为企业级应用提供分布式、高可靠、先进的解决方案。Java作为基于Web的软件业公共标准，其独立于操作系统，独立于服务器的“跨平台特性”，其“一次编写，到处运行”是最适合运行于互联网应用系统的开发语言，其完整的编程能力和丰富的中间件资源，可开发具有复杂业务逻辑的大型应用系统。</w:t>
            </w:r>
          </w:p>
          <w:p>
            <w:pPr>
              <w:pStyle w:val="null3"/>
              <w:ind w:firstLine="480"/>
              <w:jc w:val="left"/>
            </w:pPr>
            <w:r>
              <w:rPr>
                <w:rFonts w:ascii="宋体" w:hAnsi="宋体" w:cs="宋体" w:eastAsia="宋体"/>
                <w:sz w:val="21"/>
                <w:color w:val="000000"/>
              </w:rPr>
              <w:t>2.4面向对象的组件技术</w:t>
            </w:r>
          </w:p>
          <w:p>
            <w:pPr>
              <w:pStyle w:val="null3"/>
              <w:ind w:firstLine="480"/>
              <w:jc w:val="left"/>
            </w:pPr>
            <w:r>
              <w:rPr>
                <w:rFonts w:ascii="宋体" w:hAnsi="宋体" w:cs="宋体" w:eastAsia="宋体"/>
                <w:sz w:val="21"/>
                <w:color w:val="000000"/>
              </w:rPr>
              <w:t>面向对象的组件技术是一种完全独立于硬件和操作系统的开发环境，着重于开发构成应用程序</w:t>
            </w:r>
            <w:r>
              <w:rPr>
                <w:rFonts w:ascii="宋体" w:hAnsi="宋体" w:cs="宋体" w:eastAsia="宋体"/>
                <w:sz w:val="21"/>
                <w:color w:val="000000"/>
              </w:rPr>
              <w:t>“业务对象”的可重复使用的组件，利用这些组件顺利地建立分布式应用程序。</w:t>
            </w:r>
          </w:p>
          <w:p>
            <w:pPr>
              <w:pStyle w:val="null3"/>
              <w:ind w:firstLine="480"/>
              <w:jc w:val="left"/>
            </w:pPr>
            <w:r>
              <w:rPr>
                <w:rFonts w:ascii="宋体" w:hAnsi="宋体" w:cs="宋体" w:eastAsia="宋体"/>
                <w:sz w:val="21"/>
                <w:color w:val="000000"/>
              </w:rPr>
              <w:t>应用平台模块间相对独立，接口清晰，内部的业务流程升级和改造与其它模块无关，所有模块基于组件如</w:t>
            </w:r>
            <w:r>
              <w:rPr>
                <w:rFonts w:ascii="宋体" w:hAnsi="宋体" w:cs="宋体" w:eastAsia="宋体"/>
                <w:sz w:val="21"/>
                <w:color w:val="000000"/>
              </w:rPr>
              <w:t>EJB、Web Services开发，可插拔，并为将来单位二次开发提供开发API。</w:t>
            </w:r>
          </w:p>
          <w:p>
            <w:pPr>
              <w:pStyle w:val="null3"/>
              <w:ind w:firstLine="480"/>
              <w:jc w:val="left"/>
            </w:pPr>
            <w:r>
              <w:rPr>
                <w:rFonts w:ascii="宋体" w:hAnsi="宋体" w:cs="宋体" w:eastAsia="宋体"/>
                <w:sz w:val="21"/>
                <w:color w:val="000000"/>
              </w:rPr>
              <w:t>2.5基于物理的三层结构</w:t>
            </w:r>
          </w:p>
          <w:p>
            <w:pPr>
              <w:pStyle w:val="null3"/>
              <w:ind w:firstLine="480"/>
              <w:jc w:val="left"/>
            </w:pPr>
            <w:r>
              <w:rPr>
                <w:rFonts w:ascii="宋体" w:hAnsi="宋体" w:cs="宋体" w:eastAsia="宋体"/>
                <w:sz w:val="21"/>
                <w:color w:val="000000"/>
              </w:rPr>
              <w:t>应用系统平台的开发及运行结构要基于后台数据库的三层架构，即</w:t>
            </w:r>
            <w:r>
              <w:rPr>
                <w:rFonts w:ascii="宋体" w:hAnsi="宋体" w:cs="宋体" w:eastAsia="宋体"/>
                <w:sz w:val="21"/>
                <w:color w:val="000000"/>
              </w:rPr>
              <w:t>Web应用服务器、中间件应用服务器和数据库服务器，任何应用服务器需要访问数据库服务都需要通过中间件应用服务器，并且根据需要可以把Web应用服务器、中间件应用服务器和数据库服务器部署在不同的VLAN里，以加强系统安全性。</w:t>
            </w:r>
          </w:p>
          <w:p>
            <w:pPr>
              <w:pStyle w:val="null3"/>
              <w:ind w:firstLine="480"/>
              <w:jc w:val="left"/>
            </w:pPr>
            <w:r>
              <w:rPr>
                <w:rFonts w:ascii="宋体" w:hAnsi="宋体" w:cs="宋体" w:eastAsia="宋体"/>
                <w:sz w:val="21"/>
                <w:color w:val="000000"/>
              </w:rPr>
              <w:t>2.6系统协同要求</w:t>
            </w:r>
          </w:p>
          <w:p>
            <w:pPr>
              <w:pStyle w:val="null3"/>
              <w:ind w:firstLine="480"/>
              <w:jc w:val="left"/>
            </w:pPr>
            <w:r>
              <w:rPr>
                <w:rFonts w:ascii="宋体" w:hAnsi="宋体" w:cs="宋体" w:eastAsia="宋体"/>
                <w:sz w:val="21"/>
                <w:color w:val="000000"/>
              </w:rPr>
              <w:t>具备良好的协同工作能力，实现系统内部各项业务审批，及与外部其他业务系统进行数据交换，去除不必要的手工传递批件等操作，实现跨业务系统的数据流转。</w:t>
            </w:r>
          </w:p>
          <w:p>
            <w:pPr>
              <w:pStyle w:val="null3"/>
              <w:ind w:firstLine="480"/>
              <w:jc w:val="left"/>
            </w:pPr>
            <w:r>
              <w:rPr>
                <w:rFonts w:ascii="宋体" w:hAnsi="宋体" w:cs="宋体" w:eastAsia="宋体"/>
                <w:sz w:val="21"/>
                <w:b/>
                <w:color w:val="000000"/>
              </w:rPr>
              <w:t>三、安全要求</w:t>
            </w:r>
          </w:p>
          <w:p>
            <w:pPr>
              <w:pStyle w:val="null3"/>
              <w:ind w:firstLine="480"/>
              <w:jc w:val="left"/>
            </w:pPr>
            <w:r>
              <w:rPr>
                <w:rFonts w:ascii="宋体" w:hAnsi="宋体" w:cs="宋体" w:eastAsia="宋体"/>
                <w:sz w:val="21"/>
                <w:color w:val="000000"/>
              </w:rPr>
              <w:t>安全性满足认证授权、信息保密、数据完整性、防抵赖性、审计、数据的可回溯性等。既要充分考虑信息资源的共享，更要注意信息资源的保护和隔离，应分别针对不同的应用和不同的网络通信环境，采取不同的措施，包括系统安全机制、数据存取的权限控制等。</w:t>
            </w:r>
          </w:p>
          <w:p>
            <w:pPr>
              <w:pStyle w:val="null3"/>
              <w:ind w:firstLine="480"/>
              <w:jc w:val="left"/>
            </w:pPr>
            <w:r>
              <w:rPr>
                <w:rFonts w:ascii="宋体" w:hAnsi="宋体" w:cs="宋体" w:eastAsia="宋体"/>
                <w:sz w:val="21"/>
                <w:color w:val="000000"/>
              </w:rPr>
              <w:t>提供全面的软硬件结合的系统安全策略，包括系统完善的用户及权限管理，配合多种数据备份策略以保证数据的安全，及用户身份认证策略以防非法用户入侵等。具有完备的、涉及管理各环节的各类用户及群体的角色定义、授权与操作审计功能，支持按照任意选择的字段的内容进行灵活功能授权，具有详细的数据操作日志及数据跟踪管理能力，日志内容包括</w:t>
            </w:r>
            <w:r>
              <w:rPr>
                <w:rFonts w:ascii="宋体" w:hAnsi="宋体" w:cs="宋体" w:eastAsia="宋体"/>
                <w:sz w:val="21"/>
                <w:color w:val="000000"/>
              </w:rPr>
              <w:t>IP地址、修改时间、修改前后内容（支持同一条所有修改记录追溯的功能）、操作人、操作模块等。</w:t>
            </w:r>
          </w:p>
          <w:p>
            <w:pPr>
              <w:pStyle w:val="null3"/>
              <w:ind w:firstLine="480"/>
              <w:jc w:val="left"/>
            </w:pPr>
            <w:r>
              <w:rPr>
                <w:rFonts w:ascii="宋体" w:hAnsi="宋体" w:cs="宋体" w:eastAsia="宋体"/>
                <w:sz w:val="21"/>
                <w:color w:val="000000"/>
              </w:rPr>
              <w:t>提供可靠的数据自动、远程备份和快捷易用的手工备份功能（支持每天备份）。说明全部数据备份间隔和恢复时间，并给出能达到这些要求的硬件参数建议。提供成熟完备的故障恢复手段，提供数据容灾建设方案，确保系统的稳定性。</w:t>
            </w:r>
          </w:p>
          <w:p>
            <w:pPr>
              <w:pStyle w:val="null3"/>
              <w:ind w:firstLine="480"/>
              <w:jc w:val="left"/>
            </w:pPr>
            <w:r>
              <w:rPr>
                <w:rFonts w:ascii="宋体" w:hAnsi="宋体" w:cs="宋体" w:eastAsia="宋体"/>
                <w:sz w:val="21"/>
                <w:b/>
                <w:color w:val="000000"/>
              </w:rPr>
              <w:t>四、本期建设</w:t>
            </w:r>
            <w:r>
              <w:rPr>
                <w:rFonts w:ascii="宋体" w:hAnsi="宋体" w:cs="宋体" w:eastAsia="宋体"/>
                <w:sz w:val="21"/>
                <w:b/>
                <w:color w:val="000000"/>
              </w:rPr>
              <w:t>内容</w:t>
            </w:r>
          </w:p>
          <w:p>
            <w:pPr>
              <w:pStyle w:val="null3"/>
              <w:ind w:firstLine="480"/>
              <w:jc w:val="left"/>
            </w:pPr>
            <w:r>
              <w:rPr>
                <w:rFonts w:ascii="宋体" w:hAnsi="宋体" w:cs="宋体" w:eastAsia="宋体"/>
                <w:sz w:val="21"/>
                <w:color w:val="000000"/>
              </w:rPr>
              <w:t>实现对登记建账、资产交接、资产调拨、资产增减值变动、资产盘点、资产退库、资产信息变动、资产处置等资产全生命周期的线上管理。实现与资产服务终端、移动端、数据化校园、财务接口等对接。</w:t>
            </w:r>
          </w:p>
          <w:p>
            <w:pPr>
              <w:pStyle w:val="null3"/>
              <w:ind w:firstLine="480"/>
              <w:jc w:val="left"/>
            </w:pPr>
            <w:r>
              <w:rPr>
                <w:rFonts w:ascii="宋体" w:hAnsi="宋体" w:cs="宋体" w:eastAsia="宋体"/>
                <w:sz w:val="21"/>
                <w:color w:val="000000"/>
              </w:rPr>
              <w:t>4.1系统功能具体参数要求如下：</w:t>
            </w:r>
          </w:p>
          <w:tbl>
            <w:tblPr>
              <w:tblBorders>
                <w:top w:val="none" w:color="000000" w:sz="4"/>
                <w:left w:val="none" w:color="000000" w:sz="4"/>
                <w:bottom w:val="none" w:color="000000" w:sz="4"/>
                <w:right w:val="none" w:color="000000" w:sz="4"/>
                <w:insideH w:val="none"/>
                <w:insideV w:val="none"/>
              </w:tblBorders>
            </w:tblPr>
            <w:tblGrid>
              <w:gridCol w:w="200"/>
              <w:gridCol w:w="447"/>
              <w:gridCol w:w="1796"/>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序号</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功能</w:t>
                  </w:r>
                </w:p>
              </w:tc>
              <w:tc>
                <w:tcPr>
                  <w:tcW w:type="dxa" w:w="1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明细</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系统登录</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支持用户名及密码、微信扫码、手机验证</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首页门户</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待办事项、办事中心、业务总览、通知公告、消息中心、预警中心、帮助中心、微信、手机绑定、图表分析展示、政策法规库</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数据初始</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支持久其系统数据全量数据迁移；支持第三方系统存量卡片数据迁移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4</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登记建账</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资产建账申请及审批、资产领用确认、卡片批量导入、资产退库申请及审批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5</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资产信息变动</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一般信息变动、资产分类变动、资产增减值变动申请及审批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6</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转移分配</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资产交接申请及审批、资产调剂申请及审批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7</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资产移交</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资产移交待办查询、资产随人调动申请、资产收回申请、资产移交审批、资产移交详情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8</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资产盘点</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盘点任务维护、资产盘点、盘点结果处理</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9</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折旧管理</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资产折旧策略设置、折旧年限批量设置、计提折旧</w:t>
                  </w:r>
                  <w:r>
                    <w:rPr>
                      <w:rFonts w:ascii="黑体" w:hAnsi="黑体" w:cs="黑体" w:eastAsia="黑体"/>
                      <w:sz w:val="21"/>
                      <w:color w:val="000000"/>
                    </w:rPr>
                    <w:t>/摊销、补提冲减折旧、资产折旧信息初始化、资产折旧信息批量变更、资产月度查询、资产总账查询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10</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资产财务对账</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资产与财务对账、财务信息补登</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资产处置</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资产处置申请及审批、资产处置申报、执行，历年事项查询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查询中心</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综合查询、资产卡片明细查询、资产卡片历史状况查询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教育部实验室报表</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教育部实验室报表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14</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数据体检</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数据体检、体检进度监控</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15</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系统管理</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基础数据管理、用户及权限管理、系统日志等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16</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数据同步</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数据同步（与上级无缝对接）</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17</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低值耐耗</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低值耐耗品查询、低值耐耗入库、低值耐耗品报废、低值耐耗品信息变动；低值耐耗品部门调拨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18</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低值易耗</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低值易耗品库存、低值易耗品分类、低值易耗品出、入库、低值易耗品查询；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19</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资产调剂平台</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调剂发布及审批、调剂资产展示平台、调剂资产领用申请及审批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20</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处置公示平台</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处置公示类别、周期配置，处置资产公示、处置资产调剂等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配置管理</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配置参数维护；资产配置情况查询</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维修管理</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维修申请及审批；维修登记；维修人员维护；</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资产财务对接</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资产财务报账、增减值、处置登记、折旧摊销等业务数据财务推送，并支持查看推送日志；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24</w:t>
                  </w:r>
                </w:p>
              </w:tc>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数字化接口</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单点登录：实现统一身份认证，做到用户校园网</w:t>
                  </w:r>
                  <w:r>
                    <w:rPr>
                      <w:rFonts w:ascii="黑体" w:hAnsi="黑体" w:cs="黑体" w:eastAsia="黑体"/>
                      <w:sz w:val="21"/>
                      <w:color w:val="000000"/>
                    </w:rPr>
                    <w:t>“一点登陆，畅通使用”的效果</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25</w:t>
                  </w:r>
                </w:p>
              </w:tc>
              <w:tc>
                <w:tcPr>
                  <w:tcW w:type="dxa" w:w="447"/>
                  <w:vMerge/>
                  <w:tcBorders>
                    <w:top w:val="none" w:color="000000" w:sz="4"/>
                    <w:left w:val="single" w:color="000000" w:sz="4"/>
                    <w:bottom w:val="single" w:color="000000" w:sz="4"/>
                    <w:right w:val="single" w:color="000000" w:sz="4"/>
                  </w:tcBorders>
                </w:tcP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部门人员信息：同步学校人员、部门等基础数据。资产变动管理要与人员管理系统对接，在人员发生岗位变动时，其名下资产必须先进行移交方可办理其他调转手续。</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26</w:t>
                  </w:r>
                </w:p>
              </w:tc>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移动端（支持移动</w:t>
                  </w:r>
                  <w:r>
                    <w:rPr>
                      <w:rFonts w:ascii="黑体" w:hAnsi="黑体" w:cs="黑体" w:eastAsia="黑体"/>
                      <w:sz w:val="21"/>
                      <w:color w:val="000000"/>
                    </w:rPr>
                    <w:t>app\小程序\企业微信）</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能查询：管辖资产、名下资产、资产退库列表、资产调剂发布列表、调剂领用列表、校内处置申请列表、处置申报列表、处置执行列表、部门间调拨列表、通知公告；</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27</w:t>
                  </w:r>
                </w:p>
              </w:tc>
              <w:tc>
                <w:tcPr>
                  <w:tcW w:type="dxa" w:w="447"/>
                  <w:vMerge/>
                  <w:tcBorders>
                    <w:top w:val="none" w:color="000000" w:sz="4"/>
                    <w:left w:val="single" w:color="000000" w:sz="4"/>
                    <w:bottom w:val="single" w:color="000000" w:sz="4"/>
                    <w:right w:val="single" w:color="000000" w:sz="4"/>
                  </w:tcBorders>
                </w:tcP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能盘点：手工盘点、扫码盘点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28</w:t>
                  </w:r>
                </w:p>
              </w:tc>
              <w:tc>
                <w:tcPr>
                  <w:tcW w:type="dxa" w:w="447"/>
                  <w:vMerge/>
                  <w:tcBorders>
                    <w:top w:val="none" w:color="000000" w:sz="4"/>
                    <w:left w:val="single" w:color="000000" w:sz="4"/>
                    <w:bottom w:val="single" w:color="000000" w:sz="4"/>
                    <w:right w:val="single" w:color="000000" w:sz="4"/>
                  </w:tcBorders>
                </w:tcP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能审批：验收上账审批、资产领用、卡片标签上传、退库审批、资产调剂审批、校内处置审批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29</w:t>
                  </w:r>
                </w:p>
              </w:tc>
              <w:tc>
                <w:tcPr>
                  <w:tcW w:type="dxa" w:w="447"/>
                  <w:vMerge/>
                  <w:tcBorders>
                    <w:top w:val="none" w:color="000000" w:sz="4"/>
                    <w:left w:val="single" w:color="000000" w:sz="4"/>
                    <w:bottom w:val="single" w:color="000000" w:sz="4"/>
                    <w:right w:val="single" w:color="000000" w:sz="4"/>
                  </w:tcBorders>
                </w:tcP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能办理：资产交接业务申请、信息变动业务申请</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30</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自助终端软件</w:t>
                  </w:r>
                </w:p>
              </w:tc>
              <w:tc>
                <w:tcPr>
                  <w:tcW w:type="dxa" w:w="1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名下资产，管辖资产查看及打印验收上账、维修维护、重要信息变动，资产退库单据模板打印及条码打印条码及</w:t>
                  </w:r>
                  <w:r>
                    <w:rPr>
                      <w:rFonts w:ascii="黑体" w:hAnsi="黑体" w:cs="黑体" w:eastAsia="黑体"/>
                      <w:sz w:val="21"/>
                      <w:color w:val="000000"/>
                    </w:rPr>
                    <w:t>A4纸张打印数量维护</w:t>
                  </w:r>
                </w:p>
              </w:tc>
            </w:tr>
          </w:tbl>
          <w:p>
            <w:pPr>
              <w:pStyle w:val="null3"/>
              <w:ind w:firstLine="480"/>
              <w:jc w:val="left"/>
            </w:pPr>
            <w:r>
              <w:rPr>
                <w:rFonts w:ascii="宋体" w:hAnsi="宋体" w:cs="宋体" w:eastAsia="宋体"/>
                <w:sz w:val="21"/>
                <w:color w:val="000000"/>
              </w:rPr>
              <w:t>4.2</w:t>
            </w:r>
            <w:r>
              <w:rPr>
                <w:rFonts w:ascii="宋体" w:hAnsi="宋体" w:cs="宋体" w:eastAsia="宋体"/>
                <w:sz w:val="21"/>
                <w:color w:val="000000"/>
              </w:rPr>
              <w:t>硬件设备及参数</w:t>
            </w:r>
          </w:p>
          <w:tbl>
            <w:tblPr>
              <w:tblBorders>
                <w:top w:val="none" w:color="000000" w:sz="4"/>
                <w:left w:val="none" w:color="000000" w:sz="4"/>
                <w:bottom w:val="none" w:color="000000" w:sz="4"/>
                <w:right w:val="none" w:color="000000" w:sz="4"/>
                <w:insideH w:val="none"/>
                <w:insideV w:val="none"/>
              </w:tblBorders>
            </w:tblPr>
            <w:tblGrid>
              <w:gridCol w:w="204"/>
              <w:gridCol w:w="574"/>
              <w:gridCol w:w="1313"/>
              <w:gridCol w:w="234"/>
              <w:gridCol w:w="217"/>
            </w:tblGrid>
            <w:tr>
              <w:tc>
                <w:tcPr>
                  <w:tcW w:type="dxa" w:w="2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黑体" w:hAnsi="黑体" w:cs="黑体" w:eastAsia="黑体"/>
                      <w:sz w:val="21"/>
                      <w:color w:val="000000"/>
                    </w:rPr>
                    <w:t>序号</w:t>
                  </w:r>
                </w:p>
              </w:tc>
              <w:tc>
                <w:tcPr>
                  <w:tcW w:type="dxa" w:w="5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黑体" w:hAnsi="黑体" w:cs="黑体" w:eastAsia="黑体"/>
                      <w:sz w:val="21"/>
                      <w:color w:val="000000"/>
                    </w:rPr>
                    <w:t>型号</w:t>
                  </w:r>
                </w:p>
              </w:tc>
              <w:tc>
                <w:tcPr>
                  <w:tcW w:type="dxa" w:w="13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黑体" w:hAnsi="黑体" w:cs="黑体" w:eastAsia="黑体"/>
                      <w:sz w:val="21"/>
                      <w:color w:val="000000"/>
                    </w:rPr>
                    <w:t>设备参数</w:t>
                  </w:r>
                </w:p>
              </w:tc>
              <w:tc>
                <w:tcPr>
                  <w:tcW w:type="dxa" w:w="2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黑体" w:hAnsi="黑体" w:cs="黑体" w:eastAsia="黑体"/>
                      <w:sz w:val="21"/>
                      <w:color w:val="000000"/>
                    </w:rPr>
                    <w:t>单位</w:t>
                  </w:r>
                </w:p>
              </w:tc>
              <w:tc>
                <w:tcPr>
                  <w:tcW w:type="dxa" w:w="2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黑体" w:hAnsi="黑体" w:cs="黑体" w:eastAsia="黑体"/>
                      <w:sz w:val="21"/>
                      <w:color w:val="000000"/>
                    </w:rPr>
                    <w:t>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1</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触摸屏自助终端</w:t>
                  </w:r>
                </w:p>
              </w:tc>
              <w:tc>
                <w:tcPr>
                  <w:tcW w:type="dxa" w:w="1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黑体" w:hAnsi="黑体" w:cs="黑体" w:eastAsia="黑体"/>
                      <w:sz w:val="21"/>
                      <w:color w:val="000000"/>
                    </w:rPr>
                    <w:t>1、触摸屏自助终端  工业级显示器</w:t>
                  </w:r>
                </w:p>
                <w:p>
                  <w:pPr>
                    <w:pStyle w:val="null3"/>
                    <w:jc w:val="left"/>
                  </w:pPr>
                  <w:r>
                    <w:rPr>
                      <w:rFonts w:ascii="黑体" w:hAnsi="黑体" w:cs="黑体" w:eastAsia="黑体"/>
                      <w:sz w:val="21"/>
                      <w:color w:val="000000"/>
                    </w:rPr>
                    <w:t>显示面板：</w:t>
                  </w:r>
                  <w:r>
                    <w:rPr>
                      <w:rFonts w:ascii="黑体" w:hAnsi="黑体" w:cs="黑体" w:eastAsia="黑体"/>
                      <w:sz w:val="21"/>
                      <w:color w:val="000000"/>
                    </w:rPr>
                    <w:t>21.5寸（LG）工业级LED液晶模块.</w:t>
                  </w:r>
                </w:p>
                <w:p>
                  <w:pPr>
                    <w:pStyle w:val="null3"/>
                    <w:jc w:val="left"/>
                  </w:pPr>
                  <w:r>
                    <w:rPr>
                      <w:rFonts w:ascii="黑体" w:hAnsi="黑体" w:cs="黑体" w:eastAsia="黑体"/>
                      <w:sz w:val="21"/>
                      <w:color w:val="000000"/>
                    </w:rPr>
                    <w:t>显示区域：</w:t>
                  </w:r>
                  <w:r>
                    <w:rPr>
                      <w:rFonts w:ascii="黑体" w:hAnsi="黑体" w:cs="黑体" w:eastAsia="黑体"/>
                      <w:sz w:val="21"/>
                      <w:color w:val="000000"/>
                    </w:rPr>
                    <w:t>476*268mm</w:t>
                  </w:r>
                </w:p>
                <w:p>
                  <w:pPr>
                    <w:pStyle w:val="null3"/>
                    <w:jc w:val="left"/>
                  </w:pPr>
                  <w:r>
                    <w:rPr>
                      <w:rFonts w:ascii="黑体" w:hAnsi="黑体" w:cs="黑体" w:eastAsia="黑体"/>
                      <w:sz w:val="21"/>
                      <w:color w:val="000000"/>
                    </w:rPr>
                    <w:t>液晶高清分辨率：</w:t>
                  </w:r>
                  <w:r>
                    <w:rPr>
                      <w:rFonts w:ascii="黑体" w:hAnsi="黑体" w:cs="黑体" w:eastAsia="黑体"/>
                      <w:sz w:val="21"/>
                      <w:color w:val="000000"/>
                    </w:rPr>
                    <w:t>1920*1080</w:t>
                  </w:r>
                </w:p>
                <w:p>
                  <w:pPr>
                    <w:pStyle w:val="null3"/>
                    <w:jc w:val="left"/>
                  </w:pPr>
                  <w:r>
                    <w:rPr>
                      <w:rFonts w:ascii="黑体" w:hAnsi="黑体" w:cs="黑体" w:eastAsia="黑体"/>
                      <w:sz w:val="21"/>
                      <w:color w:val="000000"/>
                    </w:rPr>
                    <w:t>亮度</w:t>
                  </w:r>
                  <w:r>
                    <w:rPr>
                      <w:rFonts w:ascii="黑体" w:hAnsi="黑体" w:cs="黑体" w:eastAsia="黑体"/>
                      <w:sz w:val="21"/>
                      <w:color w:val="000000"/>
                    </w:rPr>
                    <w:t xml:space="preserve">450cd/㎡    对 比 度：1000：1  </w:t>
                  </w:r>
                </w:p>
                <w:p>
                  <w:pPr>
                    <w:pStyle w:val="null3"/>
                    <w:jc w:val="left"/>
                  </w:pPr>
                  <w:r>
                    <w:rPr>
                      <w:rFonts w:ascii="黑体" w:hAnsi="黑体" w:cs="黑体" w:eastAsia="黑体"/>
                      <w:sz w:val="21"/>
                      <w:color w:val="000000"/>
                    </w:rPr>
                    <w:t>响应时间：</w:t>
                  </w:r>
                  <w:r>
                    <w:rPr>
                      <w:rFonts w:ascii="黑体" w:hAnsi="黑体" w:cs="黑体" w:eastAsia="黑体"/>
                      <w:sz w:val="21"/>
                      <w:color w:val="000000"/>
                    </w:rPr>
                    <w:t>4.5ms      清 晰 度：1080p</w:t>
                  </w:r>
                </w:p>
                <w:p>
                  <w:pPr>
                    <w:pStyle w:val="null3"/>
                    <w:jc w:val="left"/>
                  </w:pPr>
                  <w:r>
                    <w:rPr>
                      <w:rFonts w:ascii="黑体" w:hAnsi="黑体" w:cs="黑体" w:eastAsia="黑体"/>
                      <w:sz w:val="21"/>
                      <w:color w:val="000000"/>
                    </w:rPr>
                    <w:t>使用寿命：</w:t>
                  </w:r>
                  <w:r>
                    <w:rPr>
                      <w:rFonts w:ascii="黑体" w:hAnsi="黑体" w:cs="黑体" w:eastAsia="黑体"/>
                      <w:sz w:val="21"/>
                      <w:color w:val="000000"/>
                    </w:rPr>
                    <w:t>60000~80000小时.</w:t>
                  </w:r>
                </w:p>
                <w:p>
                  <w:pPr>
                    <w:pStyle w:val="null3"/>
                    <w:jc w:val="left"/>
                  </w:pPr>
                  <w:r>
                    <w:rPr>
                      <w:rFonts w:ascii="黑体" w:hAnsi="黑体" w:cs="黑体" w:eastAsia="黑体"/>
                      <w:sz w:val="21"/>
                      <w:color w:val="000000"/>
                    </w:rPr>
                    <w:t>触摸屏：</w:t>
                  </w:r>
                  <w:r>
                    <w:rPr>
                      <w:rFonts w:ascii="黑体" w:hAnsi="黑体" w:cs="黑体" w:eastAsia="黑体"/>
                      <w:sz w:val="21"/>
                      <w:color w:val="000000"/>
                    </w:rPr>
                    <w:t>21.5寸TouchKit电容触控系统.触摸物理耐久性：承受超过6000万次以上的单点触摸，报告分辨率：32767 x 32767.</w:t>
                  </w:r>
                </w:p>
                <w:p>
                  <w:pPr>
                    <w:pStyle w:val="null3"/>
                    <w:jc w:val="left"/>
                  </w:pPr>
                  <w:r>
                    <w:rPr>
                      <w:rFonts w:ascii="黑体" w:hAnsi="黑体" w:cs="黑体" w:eastAsia="黑体"/>
                      <w:sz w:val="21"/>
                      <w:color w:val="000000"/>
                    </w:rPr>
                    <w:t>定制机柜：全钢制造，大于等于</w:t>
                  </w:r>
                  <w:r>
                    <w:rPr>
                      <w:rFonts w:ascii="黑体" w:hAnsi="黑体" w:cs="黑体" w:eastAsia="黑体"/>
                      <w:sz w:val="21"/>
                      <w:color w:val="000000"/>
                    </w:rPr>
                    <w:t>1.5mm冷轧钢板，进口汽车烤漆，防静电，内置音箱环绕立体声及一体电源，带安全锁.带电源开关.带固定支架，带脚垫。前维护，带校园卡挡板，带身份证挡板 ，机身颜色：白+蓝</w:t>
                  </w:r>
                </w:p>
                <w:p>
                  <w:pPr>
                    <w:pStyle w:val="null3"/>
                    <w:jc w:val="left"/>
                  </w:pPr>
                  <w:r>
                    <w:rPr>
                      <w:rFonts w:ascii="黑体" w:hAnsi="黑体" w:cs="黑体" w:eastAsia="黑体"/>
                      <w:sz w:val="21"/>
                      <w:color w:val="000000"/>
                    </w:rPr>
                    <w:t>主机配置：</w:t>
                  </w:r>
                  <w:r>
                    <w:rPr>
                      <w:rFonts w:ascii="黑体" w:hAnsi="黑体" w:cs="黑体" w:eastAsia="黑体"/>
                      <w:sz w:val="21"/>
                      <w:color w:val="000000"/>
                    </w:rPr>
                    <w:t>工控主板</w:t>
                  </w:r>
                  <w:r>
                    <w:rPr>
                      <w:rFonts w:ascii="黑体" w:hAnsi="黑体" w:cs="黑体" w:eastAsia="黑体"/>
                      <w:sz w:val="21"/>
                      <w:color w:val="000000"/>
                    </w:rPr>
                    <w:t>H81主板 /intel i3 4代CPU /8G内存  /128G固态盘</w:t>
                  </w:r>
                </w:p>
                <w:p>
                  <w:pPr>
                    <w:pStyle w:val="null3"/>
                    <w:jc w:val="left"/>
                  </w:pPr>
                  <w:r>
                    <w:rPr>
                      <w:rFonts w:ascii="黑体" w:hAnsi="黑体" w:cs="黑体" w:eastAsia="黑体"/>
                      <w:sz w:val="21"/>
                      <w:color w:val="000000"/>
                    </w:rPr>
                    <w:t>工业电源</w:t>
                  </w:r>
                  <w:r>
                    <w:rPr>
                      <w:rFonts w:ascii="黑体" w:hAnsi="黑体" w:cs="黑体" w:eastAsia="黑体"/>
                      <w:sz w:val="21"/>
                      <w:color w:val="000000"/>
                    </w:rPr>
                    <w:t>7*24小时不间断供电.</w:t>
                  </w:r>
                </w:p>
                <w:p>
                  <w:pPr>
                    <w:pStyle w:val="null3"/>
                    <w:jc w:val="left"/>
                  </w:pPr>
                  <w:r>
                    <w:rPr>
                      <w:rFonts w:ascii="黑体" w:hAnsi="黑体" w:cs="黑体" w:eastAsia="黑体"/>
                      <w:sz w:val="21"/>
                      <w:color w:val="000000"/>
                    </w:rPr>
                    <w:t>2、条码打印机 树脂不干胶二维码热转纸条码打印机, 可打印铜版纸 哑银纸 珠宝标签等。</w:t>
                  </w:r>
                </w:p>
                <w:p>
                  <w:pPr>
                    <w:pStyle w:val="null3"/>
                    <w:jc w:val="left"/>
                  </w:pPr>
                  <w:r>
                    <w:rPr>
                      <w:rFonts w:ascii="黑体" w:hAnsi="黑体" w:cs="黑体" w:eastAsia="黑体"/>
                      <w:sz w:val="21"/>
                      <w:color w:val="000000"/>
                    </w:rPr>
                    <w:t>带自动切刀</w:t>
                  </w:r>
                </w:p>
                <w:p>
                  <w:pPr>
                    <w:pStyle w:val="null3"/>
                    <w:jc w:val="left"/>
                  </w:pPr>
                  <w:r>
                    <w:rPr>
                      <w:rFonts w:ascii="黑体" w:hAnsi="黑体" w:cs="黑体" w:eastAsia="黑体"/>
                      <w:sz w:val="21"/>
                      <w:color w:val="000000"/>
                    </w:rPr>
                    <w:t>最大打印宽度：</w:t>
                  </w:r>
                  <w:r>
                    <w:rPr>
                      <w:rFonts w:ascii="黑体" w:hAnsi="黑体" w:cs="黑体" w:eastAsia="黑体"/>
                      <w:sz w:val="21"/>
                      <w:color w:val="000000"/>
                    </w:rPr>
                    <w:t>100mm，最大打印速度：150mm/s</w:t>
                  </w:r>
                </w:p>
                <w:p>
                  <w:pPr>
                    <w:pStyle w:val="null3"/>
                    <w:jc w:val="left"/>
                  </w:pPr>
                  <w:r>
                    <w:rPr>
                      <w:rFonts w:ascii="黑体" w:hAnsi="黑体" w:cs="黑体" w:eastAsia="黑体"/>
                      <w:sz w:val="21"/>
                      <w:color w:val="000000"/>
                    </w:rPr>
                    <w:t>打印分辨率：</w:t>
                  </w:r>
                  <w:r>
                    <w:rPr>
                      <w:rFonts w:ascii="黑体" w:hAnsi="黑体" w:cs="黑体" w:eastAsia="黑体"/>
                      <w:sz w:val="21"/>
                      <w:color w:val="000000"/>
                    </w:rPr>
                    <w:t>300DPI</w:t>
                  </w:r>
                </w:p>
                <w:p>
                  <w:pPr>
                    <w:pStyle w:val="null3"/>
                    <w:jc w:val="left"/>
                  </w:pPr>
                  <w:r>
                    <w:rPr>
                      <w:rFonts w:ascii="黑体" w:hAnsi="黑体" w:cs="黑体" w:eastAsia="黑体"/>
                      <w:sz w:val="21"/>
                      <w:color w:val="000000"/>
                    </w:rPr>
                    <w:t>支持打印字符及一维码、二维码</w:t>
                  </w:r>
                </w:p>
                <w:p>
                  <w:pPr>
                    <w:pStyle w:val="null3"/>
                    <w:jc w:val="left"/>
                  </w:pPr>
                  <w:r>
                    <w:rPr>
                      <w:rFonts w:ascii="黑体" w:hAnsi="黑体" w:cs="黑体" w:eastAsia="黑体"/>
                      <w:sz w:val="21"/>
                      <w:color w:val="000000"/>
                    </w:rPr>
                    <w:t>碳带长度：</w:t>
                  </w:r>
                  <w:r>
                    <w:rPr>
                      <w:rFonts w:ascii="黑体" w:hAnsi="黑体" w:cs="黑体" w:eastAsia="黑体"/>
                      <w:sz w:val="21"/>
                      <w:color w:val="000000"/>
                    </w:rPr>
                    <w:t>≥70m，支持碳带宽度：33-110mm</w:t>
                  </w:r>
                </w:p>
                <w:p>
                  <w:pPr>
                    <w:pStyle w:val="null3"/>
                    <w:jc w:val="left"/>
                  </w:pPr>
                  <w:r>
                    <w:rPr>
                      <w:rFonts w:ascii="黑体" w:hAnsi="黑体" w:cs="黑体" w:eastAsia="黑体"/>
                      <w:sz w:val="21"/>
                      <w:color w:val="000000"/>
                    </w:rPr>
                    <w:t>支持介质类型：卷筒式、折叠式</w:t>
                  </w:r>
                </w:p>
                <w:p>
                  <w:pPr>
                    <w:pStyle w:val="null3"/>
                    <w:jc w:val="left"/>
                  </w:pPr>
                  <w:r>
                    <w:rPr>
                      <w:rFonts w:ascii="黑体" w:hAnsi="黑体" w:cs="黑体" w:eastAsia="黑体"/>
                      <w:sz w:val="21"/>
                      <w:color w:val="000000"/>
                    </w:rPr>
                    <w:t>带电源、故障、状态（无纸</w:t>
                  </w:r>
                  <w:r>
                    <w:rPr>
                      <w:rFonts w:ascii="黑体" w:hAnsi="黑体" w:cs="黑体" w:eastAsia="黑体"/>
                      <w:sz w:val="21"/>
                      <w:color w:val="000000"/>
                    </w:rPr>
                    <w:t>/碳带）指示灯</w:t>
                  </w:r>
                </w:p>
                <w:p>
                  <w:pPr>
                    <w:pStyle w:val="null3"/>
                    <w:jc w:val="left"/>
                  </w:pPr>
                  <w:r>
                    <w:rPr>
                      <w:rFonts w:ascii="黑体" w:hAnsi="黑体" w:cs="黑体" w:eastAsia="黑体"/>
                      <w:sz w:val="21"/>
                      <w:color w:val="000000"/>
                    </w:rPr>
                    <w:t>通讯接口：</w:t>
                  </w:r>
                  <w:r>
                    <w:rPr>
                      <w:rFonts w:ascii="黑体" w:hAnsi="黑体" w:cs="黑体" w:eastAsia="黑体"/>
                      <w:sz w:val="21"/>
                      <w:color w:val="000000"/>
                    </w:rPr>
                    <w:t>USB接口、RS-232串口、以太网口（10M/100M）</w:t>
                  </w:r>
                </w:p>
                <w:p>
                  <w:pPr>
                    <w:pStyle w:val="null3"/>
                    <w:jc w:val="left"/>
                  </w:pPr>
                  <w:r>
                    <w:rPr>
                      <w:rFonts w:ascii="黑体" w:hAnsi="黑体" w:cs="黑体" w:eastAsia="黑体"/>
                      <w:sz w:val="21"/>
                      <w:color w:val="000000"/>
                    </w:rPr>
                    <w:t>安全标准：</w:t>
                  </w:r>
                  <w:r>
                    <w:rPr>
                      <w:rFonts w:ascii="黑体" w:hAnsi="黑体" w:cs="黑体" w:eastAsia="黑体"/>
                      <w:sz w:val="21"/>
                      <w:color w:val="000000"/>
                    </w:rPr>
                    <w:t>GB4943.1-2011</w:t>
                  </w:r>
                </w:p>
                <w:p>
                  <w:pPr>
                    <w:pStyle w:val="null3"/>
                    <w:jc w:val="left"/>
                  </w:pPr>
                  <w:r>
                    <w:rPr>
                      <w:rFonts w:ascii="黑体" w:hAnsi="黑体" w:cs="黑体" w:eastAsia="黑体"/>
                      <w:sz w:val="21"/>
                      <w:color w:val="000000"/>
                    </w:rPr>
                    <w:t>3、A4打印机 黑白激光打印机，黑白打印速度：最高分辨率1200×1200dpi，打印速度：≥20PPM 月打印量10000页  内存 ≥64M</w:t>
                  </w:r>
                </w:p>
                <w:p>
                  <w:pPr>
                    <w:pStyle w:val="null3"/>
                    <w:jc w:val="left"/>
                  </w:pPr>
                  <w:r>
                    <w:rPr>
                      <w:rFonts w:ascii="黑体" w:hAnsi="黑体" w:cs="黑体" w:eastAsia="黑体"/>
                      <w:sz w:val="21"/>
                      <w:color w:val="000000"/>
                    </w:rPr>
                    <w:t>4、二维码扫描 符合国际、国内通用二维码标准:QR Code, Data Matrix, PDF417，汉信码等符合国际、国内通用一维码标准</w:t>
                  </w:r>
                </w:p>
                <w:p>
                  <w:pPr>
                    <w:pStyle w:val="null3"/>
                    <w:jc w:val="left"/>
                  </w:pPr>
                  <w:r>
                    <w:rPr>
                      <w:rFonts w:ascii="黑体" w:hAnsi="黑体" w:cs="黑体" w:eastAsia="黑体"/>
                      <w:sz w:val="21"/>
                      <w:color w:val="000000"/>
                    </w:rPr>
                    <w:t>5、NFC刷卡器 感应式IC卡读卡器,不支持写入 ，只支持读取卡号</w:t>
                  </w:r>
                </w:p>
                <w:p>
                  <w:pPr>
                    <w:pStyle w:val="null3"/>
                    <w:jc w:val="left"/>
                  </w:pPr>
                  <w:r>
                    <w:rPr>
                      <w:rFonts w:ascii="黑体" w:hAnsi="黑体" w:cs="黑体" w:eastAsia="黑体"/>
                      <w:sz w:val="21"/>
                      <w:color w:val="000000"/>
                    </w:rPr>
                    <w:t>6、身份证阅读器 华视CVR-100二代证阅读器感应式，符合公安部GA450-2003，阅读距离：0-5cm，读卡时间：≤1s</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黑体" w:hAnsi="黑体" w:cs="黑体" w:eastAsia="黑体"/>
                      <w:sz w:val="21"/>
                      <w:color w:val="000000"/>
                    </w:rPr>
                    <w:t>2</w:t>
                  </w:r>
                </w:p>
              </w:tc>
            </w:tr>
          </w:tbl>
          <w:p>
            <w:pPr>
              <w:pStyle w:val="null3"/>
              <w:ind w:firstLine="480"/>
              <w:jc w:val="left"/>
            </w:pPr>
            <w:r>
              <w:rPr>
                <w:rFonts w:ascii="宋体" w:hAnsi="宋体" w:cs="宋体" w:eastAsia="宋体"/>
                <w:sz w:val="21"/>
                <w:b/>
                <w:color w:val="000000"/>
              </w:rPr>
              <w:t>五、项目实施要求</w:t>
            </w:r>
          </w:p>
          <w:p>
            <w:pPr>
              <w:pStyle w:val="null3"/>
              <w:ind w:firstLine="480"/>
              <w:jc w:val="left"/>
            </w:pPr>
            <w:r>
              <w:rPr>
                <w:rFonts w:ascii="宋体" w:hAnsi="宋体" w:cs="宋体" w:eastAsia="宋体"/>
                <w:sz w:val="21"/>
                <w:color w:val="000000"/>
              </w:rPr>
              <w:t>本次项目须严格按工期部署完成，并达到采购人的要求。投标方需要在投标文件中给出预实施工期进度表。采购人要求合同签订后即启动需求调研，并于需求调研说明书确认后</w:t>
            </w:r>
            <w:r>
              <w:rPr>
                <w:rFonts w:ascii="宋体" w:hAnsi="宋体" w:cs="宋体" w:eastAsia="宋体"/>
                <w:sz w:val="21"/>
                <w:color w:val="000000"/>
              </w:rPr>
              <w:t>60个日历日内安装部署实施完毕并启动试运行，试运行1个月后组织验收。</w:t>
            </w:r>
          </w:p>
          <w:p>
            <w:pPr>
              <w:pStyle w:val="null3"/>
              <w:ind w:firstLine="480"/>
              <w:jc w:val="left"/>
            </w:pPr>
            <w:r>
              <w:rPr>
                <w:rFonts w:ascii="宋体" w:hAnsi="宋体" w:cs="宋体" w:eastAsia="宋体"/>
                <w:sz w:val="21"/>
                <w:color w:val="000000"/>
              </w:rPr>
              <w:t>1.实施要求：系统试运行和正式运行阶段需派工程师现场支持，售后服务期内若远程服务无法满足需要的，需派工程师现场提供技术支持服务。系统支持将基础数据、资产数据以及相关业务数据在线同步或离线一键上报到主管单位资产管理信息系统，避免人工重复录入、导入导出等工作量。</w:t>
            </w:r>
          </w:p>
          <w:p>
            <w:pPr>
              <w:pStyle w:val="null3"/>
              <w:ind w:firstLine="480"/>
              <w:jc w:val="left"/>
            </w:pPr>
            <w:r>
              <w:rPr>
                <w:rFonts w:ascii="宋体" w:hAnsi="宋体" w:cs="宋体" w:eastAsia="宋体"/>
                <w:sz w:val="21"/>
                <w:color w:val="000000"/>
              </w:rPr>
              <w:t>2.建设期要求：合同签订之日起后60个日历日内完成项目建设。</w:t>
            </w:r>
          </w:p>
          <w:p>
            <w:pPr>
              <w:pStyle w:val="null3"/>
              <w:ind w:firstLine="480"/>
              <w:jc w:val="left"/>
            </w:pPr>
            <w:r>
              <w:rPr>
                <w:rFonts w:ascii="宋体" w:hAnsi="宋体" w:cs="宋体" w:eastAsia="宋体"/>
                <w:sz w:val="21"/>
                <w:color w:val="000000"/>
              </w:rPr>
              <w:t>3.培训要求</w:t>
            </w:r>
          </w:p>
          <w:p>
            <w:pPr>
              <w:pStyle w:val="null3"/>
              <w:ind w:firstLine="480"/>
              <w:jc w:val="left"/>
            </w:pPr>
            <w:r>
              <w:rPr>
                <w:rFonts w:ascii="宋体" w:hAnsi="宋体" w:cs="宋体" w:eastAsia="宋体"/>
                <w:sz w:val="21"/>
                <w:color w:val="000000"/>
              </w:rPr>
              <w:t>投标人须承诺在完成系统开发，进行部署实施、试运行、正式运行等阶段工作时，根据采购单位的要求，可多次派培训人员到现场开展培训工作。培训对象包括但不限于：系统管理员、资产管理部门工作人员、各院处相关资产管理员等。</w:t>
            </w:r>
          </w:p>
          <w:p>
            <w:pPr>
              <w:pStyle w:val="null3"/>
              <w:ind w:firstLine="480"/>
              <w:jc w:val="left"/>
            </w:pPr>
            <w:r>
              <w:rPr>
                <w:rFonts w:ascii="宋体" w:hAnsi="宋体" w:cs="宋体" w:eastAsia="宋体"/>
                <w:sz w:val="21"/>
                <w:color w:val="000000"/>
              </w:rPr>
              <w:t>培训内容包括系统部署实施培训、系统工作流程和操作培训和系统运行基本维护培训等。培训的时间、内容、人员、期次等具体内容在具体执行过程中需根据使用单位意见进行调整。培训方式：包括课堂讲解、上机操作和实际工作的参与。</w:t>
            </w:r>
          </w:p>
          <w:p>
            <w:pPr>
              <w:pStyle w:val="null3"/>
              <w:ind w:firstLine="480"/>
              <w:jc w:val="left"/>
            </w:pPr>
            <w:r>
              <w:rPr>
                <w:rFonts w:ascii="宋体" w:hAnsi="宋体" w:cs="宋体" w:eastAsia="宋体"/>
                <w:sz w:val="21"/>
                <w:b/>
                <w:color w:val="000000"/>
              </w:rPr>
              <w:t>六、售后服务要求</w:t>
            </w:r>
          </w:p>
          <w:p>
            <w:pPr>
              <w:pStyle w:val="null3"/>
              <w:ind w:firstLine="480"/>
              <w:jc w:val="left"/>
            </w:pPr>
            <w:r>
              <w:rPr>
                <w:rFonts w:ascii="宋体" w:hAnsi="宋体" w:cs="宋体" w:eastAsia="宋体"/>
                <w:sz w:val="21"/>
                <w:color w:val="000000"/>
              </w:rPr>
              <w:t>项目硬件</w:t>
            </w:r>
            <w:r>
              <w:rPr>
                <w:rFonts w:ascii="宋体" w:hAnsi="宋体" w:cs="宋体" w:eastAsia="宋体"/>
                <w:sz w:val="21"/>
                <w:color w:val="000000"/>
              </w:rPr>
              <w:t>3年质保期；软件提供3年免费质保期，3年免费服务，提供技术支持服务，成交供应商需具备本地化服务能力，包括但不限于以下服务：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1）电话咨询</w:t>
            </w:r>
          </w:p>
          <w:p>
            <w:pPr>
              <w:pStyle w:val="null3"/>
              <w:ind w:firstLine="480"/>
              <w:jc w:val="left"/>
            </w:pPr>
            <w:r>
              <w:rPr>
                <w:rFonts w:ascii="宋体" w:hAnsi="宋体" w:cs="宋体" w:eastAsia="宋体"/>
                <w:sz w:val="21"/>
                <w:color w:val="000000"/>
              </w:rPr>
              <w:t>应当为用户提供技术援助电话，解答用户在使用中遇到的问题，及时为用户提出解决问题的建议。</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2）现场响应</w:t>
            </w:r>
          </w:p>
          <w:p>
            <w:pPr>
              <w:pStyle w:val="null3"/>
              <w:ind w:firstLine="480"/>
              <w:jc w:val="left"/>
            </w:pPr>
            <w:r>
              <w:rPr>
                <w:rFonts w:ascii="宋体" w:hAnsi="宋体" w:cs="宋体" w:eastAsia="宋体"/>
                <w:sz w:val="21"/>
                <w:color w:val="000000"/>
              </w:rPr>
              <w:t>用户遇到使用及技术问题，电话咨询不能解决的，成交供应商应在</w:t>
            </w:r>
            <w:r>
              <w:rPr>
                <w:rFonts w:ascii="宋体" w:hAnsi="宋体" w:cs="宋体" w:eastAsia="宋体"/>
                <w:sz w:val="21"/>
                <w:color w:val="000000"/>
              </w:rPr>
              <w:t>2小时内采取相应响应措施；无法在4小时内解决的，应在24小时内派出专业人员进行技术支持。</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3）免费质保期过后，应提供免费电话咨询服务。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4）免费质保期过后，提供除免费电话咨询服务以外的售后服务的，可以按服务报价收取。</w:t>
            </w:r>
          </w:p>
          <w:p>
            <w:pPr>
              <w:pStyle w:val="null3"/>
              <w:ind w:firstLine="480"/>
              <w:jc w:val="left"/>
            </w:pP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合同签订之日起后60个日历日内完成项目建设</w:t>
      </w:r>
    </w:p>
    <w:p>
      <w:pPr>
        <w:pStyle w:val="null3"/>
        <w:outlineLvl w:val="3"/>
      </w:pPr>
      <w:r>
        <w:rPr>
          <w:sz w:val="24"/>
          <w:b/>
        </w:rPr>
        <w:t>3.4.2交货地点</w:t>
      </w:r>
    </w:p>
    <w:p>
      <w:pPr>
        <w:pStyle w:val="null3"/>
      </w:pPr>
      <w:r>
        <w:rPr/>
        <w:t>采购包1：</w:t>
      </w:r>
    </w:p>
    <w:p>
      <w:pPr>
        <w:pStyle w:val="null3"/>
      </w:pPr>
      <w:r>
        <w:rPr/>
        <w:t>陕西科技大学(西安校区)</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15</w:t>
      </w:r>
      <w:r>
        <w:rPr/>
        <w:t xml:space="preserve"> 日内，支付合同总金额的 </w:t>
      </w:r>
      <w:r>
        <w:rPr/>
        <w:t>15.00</w:t>
      </w:r>
      <w:r>
        <w:rPr/>
        <w:t>%。</w:t>
      </w:r>
    </w:p>
    <w:p>
      <w:pPr>
        <w:pStyle w:val="null3"/>
      </w:pPr>
      <w:r>
        <w:rPr/>
        <w:t>采购包1：</w:t>
      </w:r>
      <w:r>
        <w:rPr/>
        <w:t xml:space="preserve"> 付款条件说明： </w:t>
      </w:r>
      <w:r>
        <w:rPr/>
        <w:t>软件试运行合格后</w:t>
      </w:r>
      <w:r>
        <w:rPr/>
        <w:t xml:space="preserve"> ，达到付款条件起 </w:t>
      </w:r>
      <w:r>
        <w:rPr/>
        <w:t>15</w:t>
      </w:r>
      <w:r>
        <w:rPr/>
        <w:t xml:space="preserve"> 日内，支付合同总金额的 </w:t>
      </w:r>
      <w:r>
        <w:rPr/>
        <w:t>50.00</w:t>
      </w:r>
      <w:r>
        <w:rPr/>
        <w:t>%。</w:t>
      </w:r>
    </w:p>
    <w:p>
      <w:pPr>
        <w:pStyle w:val="null3"/>
      </w:pPr>
      <w:r>
        <w:rPr/>
        <w:t>采购包1：</w:t>
      </w:r>
      <w:r>
        <w:rPr/>
        <w:t xml:space="preserve"> 付款条件说明： </w:t>
      </w:r>
      <w:r>
        <w:rPr/>
        <w:t>全部验收合格后</w:t>
      </w:r>
      <w:r>
        <w:rPr/>
        <w:t xml:space="preserve"> ，达到付款条件起 </w:t>
      </w:r>
      <w:r>
        <w:rPr/>
        <w:t>15</w:t>
      </w:r>
      <w:r>
        <w:rPr/>
        <w:t xml:space="preserve"> 日内，支付合同总金额的 </w:t>
      </w:r>
      <w:r>
        <w:rPr/>
        <w:t>30.00</w:t>
      </w:r>
      <w:r>
        <w:rPr/>
        <w:t>%。</w:t>
      </w:r>
    </w:p>
    <w:p>
      <w:pPr>
        <w:pStyle w:val="null3"/>
      </w:pPr>
      <w:r>
        <w:rPr/>
        <w:t>采购包1：</w:t>
      </w:r>
      <w:r>
        <w:rPr/>
        <w:t xml:space="preserve"> 付款条件说明： </w:t>
      </w:r>
      <w:r>
        <w:rPr/>
        <w:t>验收合格、正常运营1年后</w:t>
      </w:r>
      <w:r>
        <w:rPr/>
        <w:t xml:space="preserve"> ，达到付款条件起 </w:t>
      </w:r>
      <w:r>
        <w:rPr/>
        <w:t>15</w:t>
      </w:r>
      <w:r>
        <w:rPr/>
        <w:t xml:space="preserve"> 日内，支付合同总金额的 </w:t>
      </w:r>
      <w:r>
        <w:rPr/>
        <w:t>5.00</w:t>
      </w:r>
      <w:r>
        <w:rPr/>
        <w:t>%。</w:t>
      </w:r>
    </w:p>
    <w:p>
      <w:pPr>
        <w:pStyle w:val="null3"/>
        <w:jc w:val="left"/>
        <w:outlineLvl w:val="3"/>
      </w:pPr>
      <w:r>
        <w:rPr>
          <w:sz w:val="24"/>
          <w:b/>
        </w:rPr>
        <w:t>3.4.5.验收标准和方法</w:t>
      </w:r>
    </w:p>
    <w:p>
      <w:pPr>
        <w:pStyle w:val="null3"/>
      </w:pPr>
      <w:r>
        <w:rPr/>
        <w:t>采购包1：</w:t>
      </w:r>
    </w:p>
    <w:p>
      <w:pPr>
        <w:pStyle w:val="null3"/>
      </w:pPr>
      <w:r>
        <w:rPr/>
        <w:t>详见招投标文件及合同相关条款。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项目硬件3年质保期；软件提供3年免费质保期，3年免费服务，提供技术支持服务。</w:t>
      </w:r>
    </w:p>
    <w:p>
      <w:pPr>
        <w:pStyle w:val="null3"/>
        <w:outlineLvl w:val="3"/>
      </w:pPr>
      <w:r>
        <w:rPr>
          <w:sz w:val="24"/>
          <w:b/>
        </w:rPr>
        <w:t>3.4.8.违约责任与解决争议的方法</w:t>
      </w:r>
    </w:p>
    <w:p>
      <w:pPr>
        <w:pStyle w:val="null3"/>
      </w:pPr>
      <w:r>
        <w:rPr/>
        <w:t>采购包1：</w:t>
      </w:r>
    </w:p>
    <w:p>
      <w:pPr>
        <w:pStyle w:val="null3"/>
      </w:pPr>
      <w:r>
        <w:rPr/>
        <w:t>详见招投标文件及合同相关条款。</w:t>
      </w:r>
    </w:p>
    <w:p>
      <w:pPr>
        <w:pStyle w:val="null3"/>
        <w:outlineLvl w:val="2"/>
      </w:pPr>
      <w:r>
        <w:rPr>
          <w:sz w:val="28"/>
          <w:b/>
        </w:rPr>
        <w:t>3.5其他要求</w:t>
      </w:r>
    </w:p>
    <w:p>
      <w:pPr>
        <w:pStyle w:val="null3"/>
      </w:pPr>
      <w:r>
        <w:rPr/>
        <w:t>采购包1：</w:t>
      </w:r>
    </w:p>
    <w:p>
      <w:pPr>
        <w:pStyle w:val="null3"/>
      </w:pPr>
      <w:r>
        <w:rPr/>
        <w:t>（1）供应商需要在线提交所有通过电子化交易平台实施的政府采购项目的响应文件，同时，线下提交纸质响应文件正本壹份、副本贰份。若电子响应文件与纸质响应文件不一致的，以电子响应文件为准。（2）响应文件，正、副本分别各自装订成册密封。在封口处加盖供应商公章。 （3）线下响应文件递交截止时间与线上开评标时间一致。（4）纸质响应文件现场递交，应于递交响应文件截止时间前递交到陕西省西安市高新区丈八一路 1 号汇鑫中心 D 座 2206 第二会议室。</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响应文件截止时间不足一年的可提供成立后任意时段的资产负债表)，或其开标前三个月内基本开户银行出具的资信证明，或信用担保机构出具的响应担保函(以上三种形式的资料提供任何一种即可)。</w:t>
            </w:r>
          </w:p>
        </w:tc>
        <w:tc>
          <w:tcPr>
            <w:tcW w:type="dxa" w:w="1661"/>
          </w:tcPr>
          <w:p>
            <w:pPr>
              <w:pStyle w:val="null3"/>
            </w:pPr>
            <w:r>
              <w:rPr/>
              <w:t>供应商应提交的相关资格证明材料</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提供营业执照/事业单位法人证书/专业服务机构执业许可证/民办非企业单位登记证书。</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成立时间至提交响应文件截止时间不足一年的可提供成立后任意时段的资产负债表)，或其开标前三个月内基本开户银行出具的资信证明，或信用担保机构出具的响应担保函(以上三种形式的资料提供任何一种即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社保缴纳证明</w:t>
            </w:r>
          </w:p>
        </w:tc>
        <w:tc>
          <w:tcPr>
            <w:tcW w:type="dxa" w:w="3322"/>
          </w:tcPr>
          <w:p>
            <w:pPr>
              <w:pStyle w:val="null3"/>
            </w:pPr>
            <w:r>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近三年无重大违法、违纪书面声明</w:t>
            </w:r>
          </w:p>
        </w:tc>
        <w:tc>
          <w:tcPr>
            <w:tcW w:type="dxa" w:w="3322"/>
          </w:tcPr>
          <w:p>
            <w:pPr>
              <w:pStyle w:val="null3"/>
            </w:pPr>
            <w:r>
              <w:rPr/>
              <w:t>提供《近三年无重大违法、违纪书面声明》。</w:t>
            </w:r>
          </w:p>
        </w:tc>
        <w:tc>
          <w:tcPr>
            <w:tcW w:type="dxa" w:w="1661"/>
          </w:tcPr>
          <w:p>
            <w:pPr>
              <w:pStyle w:val="null3"/>
            </w:pPr>
            <w:r>
              <w:rPr/>
              <w:t>近三年无重大违法、违纪书面声明</w:t>
            </w:r>
          </w:p>
        </w:tc>
      </w:tr>
      <w:tr>
        <w:tc>
          <w:tcPr>
            <w:tcW w:type="dxa" w:w="831"/>
          </w:tcPr>
          <w:p>
            <w:pPr>
              <w:pStyle w:val="null3"/>
            </w:pPr>
            <w:r>
              <w:rPr/>
              <w:t>6</w:t>
            </w:r>
          </w:p>
        </w:tc>
        <w:tc>
          <w:tcPr>
            <w:tcW w:type="dxa" w:w="2492"/>
          </w:tcPr>
          <w:p>
            <w:pPr>
              <w:pStyle w:val="null3"/>
            </w:pPr>
            <w:r>
              <w:rPr/>
              <w:t>信用记录</w:t>
            </w:r>
          </w:p>
        </w:tc>
        <w:tc>
          <w:tcPr>
            <w:tcW w:type="dxa" w:w="3322"/>
          </w:tcPr>
          <w:p>
            <w:pPr>
              <w:pStyle w:val="null3"/>
            </w:pPr>
            <w:r>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书面声明</w:t>
            </w:r>
          </w:p>
        </w:tc>
        <w:tc>
          <w:tcPr>
            <w:tcW w:type="dxa" w:w="3322"/>
          </w:tcPr>
          <w:p>
            <w:pPr>
              <w:pStyle w:val="null3"/>
            </w:pPr>
            <w:r>
              <w:rPr/>
              <w:t>提供书面声明，包括声明具有履行合同所必需的设备和专业技术能力；未为本项目提供整体设计、规范编制或者项目管理、监理、检测等服务。</w:t>
            </w:r>
          </w:p>
        </w:tc>
        <w:tc>
          <w:tcPr>
            <w:tcW w:type="dxa" w:w="1661"/>
          </w:tcPr>
          <w:p>
            <w:pPr>
              <w:pStyle w:val="null3"/>
            </w:pPr>
            <w:r>
              <w:rPr/>
              <w:t>书面声明</w:t>
            </w:r>
          </w:p>
        </w:tc>
      </w:tr>
      <w:tr>
        <w:tc>
          <w:tcPr>
            <w:tcW w:type="dxa" w:w="831"/>
          </w:tcPr>
          <w:p>
            <w:pPr>
              <w:pStyle w:val="null3"/>
            </w:pPr>
            <w:r>
              <w:rPr/>
              <w:t>8</w:t>
            </w:r>
          </w:p>
        </w:tc>
        <w:tc>
          <w:tcPr>
            <w:tcW w:type="dxa" w:w="2492"/>
          </w:tcPr>
          <w:p>
            <w:pPr>
              <w:pStyle w:val="null3"/>
            </w:pPr>
            <w:r>
              <w:rPr/>
              <w:t>法定代表人授权委托书</w:t>
            </w:r>
          </w:p>
        </w:tc>
        <w:tc>
          <w:tcPr>
            <w:tcW w:type="dxa" w:w="3322"/>
          </w:tcPr>
          <w:p>
            <w:pPr>
              <w:pStyle w:val="null3"/>
            </w:pPr>
            <w:r>
              <w:rPr/>
              <w:t>法定代表人参加响应的，须提供本人身份证复印件(附在资格证明文件中)；法定代表人授权他人参加响应的，须提供法定代表人授权委托书。采购文件中凡是需要法定代表人盖章之处，非法人单位的负责人均参照执行。法人的分支机构参与响应时，除提供《法定代表人授权委托书》外，还须同时提供法人给分支机构出具的授权书。</w:t>
            </w:r>
          </w:p>
        </w:tc>
        <w:tc>
          <w:tcPr>
            <w:tcW w:type="dxa" w:w="1661"/>
          </w:tcPr>
          <w:p>
            <w:pPr>
              <w:pStyle w:val="null3"/>
            </w:pPr>
            <w:r>
              <w:rPr/>
              <w:t>法定代表人授权书</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jc w:val="left"/>
      </w:pPr>
      <w:r>
        <w:rPr/>
        <w:t>（一）熟悉和理解单一来源采购文件；</w:t>
      </w:r>
    </w:p>
    <w:p>
      <w:pPr>
        <w:pStyle w:val="null3"/>
        <w:ind w:firstLine="480"/>
        <w:jc w:val="left"/>
      </w:pPr>
      <w:r>
        <w:rPr/>
        <w:t xml:space="preserve"> （二）审查供应商响应文件等是否满足单一来源采购文件要求，并作出评价；</w:t>
      </w:r>
    </w:p>
    <w:p>
      <w:pPr>
        <w:pStyle w:val="null3"/>
        <w:ind w:firstLine="480"/>
        <w:jc w:val="left"/>
      </w:pPr>
      <w:r>
        <w:rPr/>
        <w:t xml:space="preserve"> （三）根据需要要求采购组织单位对单一来源采购文件作出解释；根据需要要求供应商对响应文件有关事项作出澄清、说明或者更正；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（五）起草评审报告并进行签署；</w:t>
      </w:r>
    </w:p>
    <w:p>
      <w:pPr>
        <w:pStyle w:val="null3"/>
        <w:ind w:firstLine="480"/>
        <w:jc w:val="left"/>
      </w:pPr>
      <w:r>
        <w:rPr/>
        <w:t xml:space="preserve"> （六）向采购组织单位、财政部门或者其他监督部门报告非法干预评审工作的行为；</w:t>
      </w:r>
    </w:p>
    <w:p>
      <w:pPr>
        <w:pStyle w:val="null3"/>
        <w:ind w:firstLine="480"/>
        <w:jc w:val="left"/>
      </w:pPr>
      <w:r>
        <w:rPr/>
        <w:t>（七）法律、法规和规章规定的其他职责。</w:t>
      </w:r>
    </w:p>
    <w:p>
      <w:pPr>
        <w:pStyle w:val="null3"/>
        <w:jc w:val="left"/>
        <w:outlineLvl w:val="3"/>
      </w:pPr>
      <w:r>
        <w:rPr>
          <w:sz w:val="24"/>
          <w:b/>
        </w:rPr>
        <w:t>5.2.2.熟悉和理解采购文件和停止评审</w:t>
      </w:r>
    </w:p>
    <w:p>
      <w:pPr>
        <w:pStyle w:val="null3"/>
        <w:ind w:firstLine="480"/>
        <w:jc w:val="left"/>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t>二、本采购文件有下列情形之一的，协商小组应当停止评审：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 xml:space="preserve"> （三）采购项目属于国家规定的优先、强制采购范围，但是采购文件未依法体现优先、强制采购相关规定的；</w:t>
      </w:r>
    </w:p>
    <w:p>
      <w:pPr>
        <w:pStyle w:val="null3"/>
        <w:ind w:firstLine="480"/>
        <w:jc w:val="left"/>
      </w:pPr>
      <w:r>
        <w:rPr/>
        <w:t xml:space="preserve"> （四）采购项目属于政府采购促进中小企业发展的范围，但是采购文件未依法体现促进中小企业发展相关规定的；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r>
        <w:rPr/>
        <w:t>（七）采购文件有违反国家其他有关强制性规定的情形。</w:t>
      </w:r>
    </w:p>
    <w:p>
      <w:pPr>
        <w:pStyle w:val="null3"/>
        <w:ind w:firstLine="480"/>
        <w:jc w:val="left"/>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没有不符合采购文件规定的被视为无效响应的其他条款。</w:t>
            </w:r>
          </w:p>
        </w:tc>
        <w:tc>
          <w:tcPr>
            <w:tcW w:type="dxa" w:w="1661"/>
          </w:tcPr>
          <w:p>
            <w:pPr>
              <w:pStyle w:val="null3"/>
            </w:pPr>
            <w:r>
              <w:rPr/>
              <w:t>产品技术参数表 中小企业声明函 残疾人福利性单位声明函 响应方案 响应函 监狱企业的证明文件</w:t>
            </w:r>
          </w:p>
        </w:tc>
      </w:tr>
      <w:tr>
        <w:tc>
          <w:tcPr>
            <w:tcW w:type="dxa" w:w="831"/>
          </w:tcPr>
          <w:p>
            <w:pPr>
              <w:pStyle w:val="null3"/>
            </w:pPr>
            <w:r>
              <w:rPr/>
              <w:t>4</w:t>
            </w:r>
          </w:p>
        </w:tc>
        <w:tc>
          <w:tcPr>
            <w:tcW w:type="dxa" w:w="2492"/>
          </w:tcPr>
          <w:p>
            <w:pPr>
              <w:pStyle w:val="null3"/>
            </w:pPr>
            <w:r>
              <w:rPr/>
              <w:t>响应文件语言及有效期</w:t>
            </w:r>
          </w:p>
        </w:tc>
        <w:tc>
          <w:tcPr>
            <w:tcW w:type="dxa" w:w="3322"/>
          </w:tcPr>
          <w:p>
            <w:pPr>
              <w:pStyle w:val="null3"/>
            </w:pPr>
            <w:r>
              <w:rPr/>
              <w:t>响应文件语言及有效期符合采购文件要求。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响应文件封面、响应函、法定代表人授权委托书三处的项目名称、项目编号</w:t>
            </w:r>
          </w:p>
        </w:tc>
        <w:tc>
          <w:tcPr>
            <w:tcW w:type="dxa" w:w="3322"/>
          </w:tcPr>
          <w:p>
            <w:pPr>
              <w:pStyle w:val="null3"/>
            </w:pPr>
            <w:r>
              <w:rPr/>
              <w:t>三处均无遗漏，且与所投项目名称、项目编号一致。</w:t>
            </w:r>
          </w:p>
        </w:tc>
        <w:tc>
          <w:tcPr>
            <w:tcW w:type="dxa" w:w="1661"/>
          </w:tcPr>
          <w:p>
            <w:pPr>
              <w:pStyle w:val="null3"/>
            </w:pPr>
            <w:r>
              <w:rPr/>
              <w:t>响应文件封面 响应函 法定代表人授权书</w:t>
            </w:r>
          </w:p>
        </w:tc>
      </w:tr>
      <w:tr>
        <w:tc>
          <w:tcPr>
            <w:tcW w:type="dxa" w:w="831"/>
          </w:tcPr>
          <w:p>
            <w:pPr>
              <w:pStyle w:val="null3"/>
            </w:pPr>
            <w:r>
              <w:rPr/>
              <w:t>6</w:t>
            </w:r>
          </w:p>
        </w:tc>
        <w:tc>
          <w:tcPr>
            <w:tcW w:type="dxa" w:w="2492"/>
          </w:tcPr>
          <w:p>
            <w:pPr>
              <w:pStyle w:val="null3"/>
            </w:pPr>
            <w:r>
              <w:rPr/>
              <w:t>响应文件签署、盖章</w:t>
            </w:r>
          </w:p>
        </w:tc>
        <w:tc>
          <w:tcPr>
            <w:tcW w:type="dxa" w:w="3322"/>
          </w:tcPr>
          <w:p>
            <w:pPr>
              <w:pStyle w:val="null3"/>
            </w:pPr>
            <w:r>
              <w:rPr/>
              <w:t>均按采购文件要求签章(评分标准中要求提供的证明材料除外)。</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开标一览表</w:t>
            </w:r>
          </w:p>
        </w:tc>
        <w:tc>
          <w:tcPr>
            <w:tcW w:type="dxa" w:w="3322"/>
          </w:tcPr>
          <w:p>
            <w:pPr>
              <w:pStyle w:val="null3"/>
            </w:pPr>
            <w:r>
              <w:rPr/>
              <w:t>(1)响应报价符合唯一性要求： (2)开标一览表填写符合要求； (3)计量单位、报价货币均符合采购文件要求； (4)未超出采购预算或采购文件规定的最高限价。</w:t>
            </w:r>
          </w:p>
        </w:tc>
        <w:tc>
          <w:tcPr>
            <w:tcW w:type="dxa" w:w="1661"/>
          </w:tcPr>
          <w:p>
            <w:pPr>
              <w:pStyle w:val="null3"/>
            </w:pPr>
            <w:r>
              <w:rPr/>
              <w:t>分项报价表 标的清单 报价表</w:t>
            </w:r>
          </w:p>
        </w:tc>
      </w:tr>
      <w:tr>
        <w:tc>
          <w:tcPr>
            <w:tcW w:type="dxa" w:w="831"/>
          </w:tcPr>
          <w:p>
            <w:pPr>
              <w:pStyle w:val="null3"/>
            </w:pPr>
            <w:r>
              <w:rPr/>
              <w:t>8</w:t>
            </w:r>
          </w:p>
        </w:tc>
        <w:tc>
          <w:tcPr>
            <w:tcW w:type="dxa" w:w="2492"/>
          </w:tcPr>
          <w:p>
            <w:pPr>
              <w:pStyle w:val="null3"/>
            </w:pPr>
            <w:r>
              <w:rPr/>
              <w:t>商务条款响应</w:t>
            </w:r>
          </w:p>
        </w:tc>
        <w:tc>
          <w:tcPr>
            <w:tcW w:type="dxa" w:w="3322"/>
          </w:tcPr>
          <w:p>
            <w:pPr>
              <w:pStyle w:val="null3"/>
            </w:pPr>
            <w:r>
              <w:rPr/>
              <w:t>完全理解接受采购文件商务条款。</w:t>
            </w:r>
          </w:p>
        </w:tc>
        <w:tc>
          <w:tcPr>
            <w:tcW w:type="dxa" w:w="1661"/>
          </w:tcPr>
          <w:p>
            <w:pPr>
              <w:pStyle w:val="null3"/>
            </w:pPr>
            <w:r>
              <w:rPr/>
              <w:t>商务应答表</w:t>
            </w:r>
          </w:p>
        </w:tc>
      </w:tr>
      <w:tr>
        <w:tc>
          <w:tcPr>
            <w:tcW w:type="dxa" w:w="831"/>
          </w:tcPr>
          <w:p>
            <w:pPr>
              <w:pStyle w:val="null3"/>
            </w:pPr>
            <w:r>
              <w:rPr/>
              <w:t>9</w:t>
            </w:r>
          </w:p>
        </w:tc>
        <w:tc>
          <w:tcPr>
            <w:tcW w:type="dxa" w:w="2492"/>
          </w:tcPr>
          <w:p>
            <w:pPr>
              <w:pStyle w:val="null3"/>
            </w:pPr>
            <w:r>
              <w:rPr/>
              <w:t>保证金</w:t>
            </w:r>
          </w:p>
        </w:tc>
        <w:tc>
          <w:tcPr>
            <w:tcW w:type="dxa" w:w="3322"/>
          </w:tcPr>
          <w:p>
            <w:pPr>
              <w:pStyle w:val="null3"/>
            </w:pPr>
            <w:r>
              <w:rPr/>
              <w:t>保证金交纳符合采购文件要求。</w:t>
            </w:r>
          </w:p>
        </w:tc>
        <w:tc>
          <w:tcPr>
            <w:tcW w:type="dxa" w:w="1661"/>
          </w:tcPr>
          <w:p>
            <w:pPr>
              <w:pStyle w:val="null3"/>
            </w:pPr>
            <w:r>
              <w:rPr/>
              <w:t>保证金汇款声明函、保函</w:t>
            </w:r>
          </w:p>
        </w:tc>
      </w:tr>
    </w:tbl>
    <w:p>
      <w:pPr>
        <w:pStyle w:val="null3"/>
        <w:outlineLvl w:val="3"/>
      </w:pPr>
      <w:r>
        <w:rPr>
          <w:sz w:val="24"/>
          <w:b/>
        </w:rPr>
        <w:t>5.2.4协商</w:t>
      </w:r>
    </w:p>
    <w:p>
      <w:pPr>
        <w:pStyle w:val="null3"/>
        <w:ind w:firstLine="480"/>
      </w:pPr>
      <w:r>
        <w:rPr/>
        <w:t>一、协商会议在项目电子化交易系统进行。协商会议由代理机构在线主持，供应商代表在线参加。</w:t>
      </w:r>
    </w:p>
    <w:p>
      <w:pPr>
        <w:pStyle w:val="null3"/>
        <w:ind w:firstLine="480"/>
      </w:pPr>
      <w:r>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四、协商小组应当积极履行澄清、说明或者更正的职责，不得滥用权力。</w:t>
      </w:r>
    </w:p>
    <w:p>
      <w:pPr>
        <w:pStyle w:val="null3"/>
        <w:outlineLvl w:val="3"/>
      </w:pPr>
      <w:r>
        <w:rPr>
          <w:sz w:val="24"/>
          <w:b/>
        </w:rPr>
        <w:t>5.2.7编写协商报告</w:t>
      </w:r>
    </w:p>
    <w:p>
      <w:pPr>
        <w:pStyle w:val="null3"/>
        <w:ind w:firstLine="480"/>
      </w:pPr>
      <w:r>
        <w:rPr/>
        <w:t>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jc w:val="left"/>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t>依据本办法第四十三条 出现下列情形之一的，采购人或者采购代理机构应当终止采购活动，发布项目终止公告并说明原因，重新开展采购活动：</w:t>
      </w:r>
    </w:p>
    <w:p>
      <w:pPr>
        <w:pStyle w:val="null3"/>
        <w:jc w:val="left"/>
      </w:pPr>
      <w:r>
        <w:rPr/>
        <w:t>（一）因情况变化，不再符合规定的单一来源采购方式适用情形的；</w:t>
      </w:r>
    </w:p>
    <w:p>
      <w:pPr>
        <w:pStyle w:val="null3"/>
        <w:jc w:val="left"/>
      </w:pPr>
      <w:r>
        <w:rPr/>
        <w:t>（二）出现影响采购公正的违法、违规行为的；</w:t>
      </w:r>
    </w:p>
    <w:p>
      <w:pPr>
        <w:pStyle w:val="null3"/>
        <w:jc w:val="left"/>
      </w:pPr>
      <w:r>
        <w:rPr/>
        <w:t>（三）报价超过采购预算的。</w:t>
      </w:r>
    </w:p>
    <w:p>
      <w:pPr>
        <w:pStyle w:val="null3"/>
        <w:ind w:firstLine="480"/>
      </w:pPr>
      <w:r>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 xml:space="preserve"> 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详见附件：保证金汇款声明函、保函</w:t>
      </w:r>
    </w:p>
    <w:p>
      <w:pPr>
        <w:pStyle w:val="null3"/>
        <w:ind w:firstLine="960"/>
      </w:pPr>
      <w:r>
        <w:rPr/>
        <w:t>详见附件：法定代表人授权书</w:t>
      </w:r>
    </w:p>
    <w:p>
      <w:pPr>
        <w:pStyle w:val="null3"/>
        <w:ind w:firstLine="960"/>
      </w:pPr>
      <w:r>
        <w:rPr/>
        <w:t>详见附件：分项报价表</w:t>
      </w:r>
    </w:p>
    <w:p>
      <w:pPr>
        <w:pStyle w:val="null3"/>
        <w:ind w:firstLine="960"/>
      </w:pPr>
      <w:r>
        <w:rPr/>
        <w:t>详见附件：近三年无重大违法、违纪书面声明</w:t>
      </w:r>
    </w:p>
    <w:p>
      <w:pPr>
        <w:pStyle w:val="null3"/>
        <w:ind w:firstLine="960"/>
      </w:pPr>
      <w:r>
        <w:rPr/>
        <w:t>详见附件：书面声明</w:t>
      </w:r>
    </w:p>
    <w:p>
      <w:pPr>
        <w:pStyle w:val="null3"/>
        <w:ind w:firstLine="960"/>
      </w:pPr>
      <w:r>
        <w:rPr/>
        <w:t>详见附件：响应方案</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