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9B2F2">
      <w:pPr>
        <w:widowControl/>
        <w:spacing w:line="360" w:lineRule="auto"/>
        <w:jc w:val="center"/>
        <w:outlineLvl w:val="0"/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Style w:val="8"/>
          <w:rFonts w:hint="eastAsia" w:ascii="仿宋" w:hAnsi="仿宋" w:eastAsia="仿宋" w:cs="仿宋"/>
          <w:sz w:val="36"/>
          <w:szCs w:val="36"/>
          <w:lang w:val="en-US" w:eastAsia="zh-CN"/>
        </w:rPr>
        <w:t>商务及合同主要条款</w:t>
      </w:r>
    </w:p>
    <w:p w14:paraId="5FA95EE3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本表是对合同条款的具体补充和修改，如有矛盾，应以本资料表为准。</w:t>
      </w:r>
    </w:p>
    <w:tbl>
      <w:tblPr>
        <w:tblStyle w:val="6"/>
        <w:tblW w:w="973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33"/>
        <w:gridCol w:w="8706"/>
      </w:tblGrid>
      <w:tr w14:paraId="392719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4" w:hRule="atLeast"/>
          <w:jc w:val="center"/>
        </w:trPr>
        <w:tc>
          <w:tcPr>
            <w:tcW w:w="1033" w:type="dxa"/>
            <w:vAlign w:val="center"/>
          </w:tcPr>
          <w:p w14:paraId="23A79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条款号</w:t>
            </w:r>
          </w:p>
        </w:tc>
        <w:tc>
          <w:tcPr>
            <w:tcW w:w="8706" w:type="dxa"/>
            <w:vAlign w:val="center"/>
          </w:tcPr>
          <w:p w14:paraId="164880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内      容</w:t>
            </w:r>
          </w:p>
        </w:tc>
      </w:tr>
      <w:tr w14:paraId="6ADDC4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0" w:hRule="atLeast"/>
          <w:jc w:val="center"/>
        </w:trPr>
        <w:tc>
          <w:tcPr>
            <w:tcW w:w="1033" w:type="dxa"/>
            <w:vAlign w:val="center"/>
          </w:tcPr>
          <w:p w14:paraId="46DC7E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8706" w:type="dxa"/>
            <w:vAlign w:val="center"/>
          </w:tcPr>
          <w:p w14:paraId="77E86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服务地点：甲方指定地点。</w:t>
            </w:r>
          </w:p>
        </w:tc>
      </w:tr>
      <w:tr w14:paraId="480A39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3" w:hRule="atLeast"/>
          <w:jc w:val="center"/>
        </w:trPr>
        <w:tc>
          <w:tcPr>
            <w:tcW w:w="1033" w:type="dxa"/>
            <w:vAlign w:val="center"/>
          </w:tcPr>
          <w:p w14:paraId="6B355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8706" w:type="dxa"/>
            <w:vAlign w:val="center"/>
          </w:tcPr>
          <w:p w14:paraId="00473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服务期：自合同生效之日起，至项目工可研技术审查报告取得审批部门批复止（具体以合同签订为准）。</w:t>
            </w:r>
          </w:p>
        </w:tc>
      </w:tr>
      <w:tr w14:paraId="5ADEED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1033" w:type="dxa"/>
            <w:vAlign w:val="center"/>
          </w:tcPr>
          <w:p w14:paraId="28022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8706" w:type="dxa"/>
            <w:vAlign w:val="center"/>
          </w:tcPr>
          <w:p w14:paraId="3BB70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1.结算单位：银行转账，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甲方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负责结算。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Hans"/>
              </w:rPr>
              <w:t>甲方付款前，乙方须向甲方开具合同全额合格增值税普通发票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Hans"/>
              </w:rPr>
              <w:t>若乙方开具的发票不合格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Hans"/>
              </w:rPr>
              <w:t>甲方有权迟延支付款项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Hans"/>
              </w:rPr>
              <w:t>且不承担逾期付款的违约责任，附详细清单。</w:t>
            </w:r>
          </w:p>
          <w:p w14:paraId="77355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2.付款方式：</w:t>
            </w:r>
          </w:p>
          <w:p w14:paraId="5A82B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自本合同生效之日起，甲方收到乙方开具的全额合格增值税普通发票后，达到付款条件起60个日内，支付合同总金额的100.00%。</w:t>
            </w:r>
          </w:p>
        </w:tc>
      </w:tr>
      <w:tr w14:paraId="777AEE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9" w:hRule="atLeast"/>
          <w:jc w:val="center"/>
        </w:trPr>
        <w:tc>
          <w:tcPr>
            <w:tcW w:w="1033" w:type="dxa"/>
            <w:vAlign w:val="center"/>
          </w:tcPr>
          <w:p w14:paraId="37B10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8706" w:type="dxa"/>
            <w:vAlign w:val="center"/>
          </w:tcPr>
          <w:p w14:paraId="56277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成果要求：提供项目工可研技术审查报告。</w:t>
            </w:r>
          </w:p>
        </w:tc>
      </w:tr>
      <w:tr w14:paraId="2654BD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89" w:hRule="atLeast"/>
          <w:jc w:val="center"/>
        </w:trPr>
        <w:tc>
          <w:tcPr>
            <w:tcW w:w="1033" w:type="dxa"/>
            <w:vAlign w:val="center"/>
          </w:tcPr>
          <w:p w14:paraId="46B47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8706" w:type="dxa"/>
            <w:vAlign w:val="center"/>
          </w:tcPr>
          <w:p w14:paraId="2848B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知识产权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：</w:t>
            </w:r>
          </w:p>
          <w:p w14:paraId="0D9B3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乙方应对所供服务具有或已取得合法知识产权，乙方应保证所供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，给甲方造成损失的，由乙方一并赔偿。</w:t>
            </w:r>
          </w:p>
        </w:tc>
      </w:tr>
      <w:tr w14:paraId="219456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  <w:jc w:val="center"/>
        </w:trPr>
        <w:tc>
          <w:tcPr>
            <w:tcW w:w="1033" w:type="dxa"/>
            <w:vAlign w:val="center"/>
          </w:tcPr>
          <w:p w14:paraId="7BC3B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8706" w:type="dxa"/>
            <w:vAlign w:val="center"/>
          </w:tcPr>
          <w:p w14:paraId="53D18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315" w:hanging="420" w:hangingChars="15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违约责任：</w:t>
            </w:r>
          </w:p>
          <w:p w14:paraId="580BD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（1）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依据《中华人民共和国民法典》《中华人民共和国政府采购法》《中华人民共和国政府采购法实施条例》的相关条款和本合同约定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执行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。</w:t>
            </w:r>
          </w:p>
          <w:p w14:paraId="2DBAF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（2）未按合同要求提供的服务，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甲方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会同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采购代理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组织机构有权终止合同和对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乙方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的违约行为进行追究。</w:t>
            </w:r>
          </w:p>
          <w:p w14:paraId="58FCEC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（3）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合同签订生效后，因乙方原因终止合同，乙方除应向甲方退还已支付的所有款项外，还应向甲方支付合同总价款10%违约金，同时承担因此给甲方造成的所有损失。因甲方原因造成合同终止、解除的，甲方应按乙方实际工作量支付对应服务费用，并向乙方支付合同总价款10%的违约金。</w:t>
            </w:r>
          </w:p>
        </w:tc>
      </w:tr>
    </w:tbl>
    <w:p w14:paraId="4EDBE336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br w:type="page"/>
      </w:r>
    </w:p>
    <w:p w14:paraId="64465F71">
      <w:pPr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1C948EAC">
      <w:pPr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政府采购合同                        合同编号：</w:t>
      </w:r>
    </w:p>
    <w:p w14:paraId="5EFF0DCB">
      <w:pPr>
        <w:pStyle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50E9F2E7">
      <w:pPr>
        <w:pStyle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05405D70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A7BC6A5">
      <w:p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u w:val="single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u w:val="none"/>
          <w:lang w:val="en-US" w:eastAsia="zh-CN"/>
        </w:rPr>
        <w:t>采购</w:t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  <w:t>项目</w:t>
      </w:r>
    </w:p>
    <w:p w14:paraId="282ADD67">
      <w:pPr>
        <w:rPr>
          <w:rFonts w:hint="eastAsia" w:ascii="仿宋" w:hAnsi="仿宋" w:eastAsia="仿宋" w:cs="仿宋"/>
          <w:color w:val="auto"/>
          <w:sz w:val="21"/>
          <w:szCs w:val="24"/>
          <w:highlight w:val="none"/>
        </w:rPr>
      </w:pPr>
    </w:p>
    <w:p w14:paraId="341AEC3E">
      <w:pPr>
        <w:rPr>
          <w:rFonts w:hint="eastAsia" w:ascii="仿宋" w:hAnsi="仿宋" w:eastAsia="仿宋" w:cs="仿宋"/>
          <w:color w:val="auto"/>
          <w:sz w:val="21"/>
          <w:szCs w:val="24"/>
          <w:highlight w:val="none"/>
        </w:rPr>
      </w:pPr>
    </w:p>
    <w:p w14:paraId="53C04A55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C79095F"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4432CFF">
      <w:pPr>
        <w:rPr>
          <w:rFonts w:hint="eastAsia" w:ascii="仿宋" w:hAnsi="仿宋" w:eastAsia="仿宋" w:cs="仿宋"/>
          <w:color w:val="auto"/>
          <w:sz w:val="21"/>
          <w:szCs w:val="24"/>
          <w:highlight w:val="none"/>
        </w:rPr>
      </w:pPr>
    </w:p>
    <w:p w14:paraId="6282ADA8">
      <w:pPr>
        <w:rPr>
          <w:rFonts w:hint="eastAsia" w:ascii="仿宋" w:hAnsi="仿宋" w:eastAsia="仿宋" w:cs="仿宋"/>
          <w:color w:val="auto"/>
          <w:sz w:val="21"/>
          <w:szCs w:val="24"/>
          <w:highlight w:val="none"/>
        </w:rPr>
      </w:pPr>
    </w:p>
    <w:p w14:paraId="10EFED28">
      <w:pPr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（示范文本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仅供参考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）</w:t>
      </w:r>
    </w:p>
    <w:p w14:paraId="686AEDCE">
      <w:pPr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F41B765">
      <w:pPr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7BE2D4E">
      <w:pPr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653EA40D">
      <w:pPr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3C5D7EE">
      <w:pPr>
        <w:spacing w:before="163" w:beforeLines="50" w:line="360" w:lineRule="auto"/>
        <w:rPr>
          <w:rFonts w:hint="eastAsia" w:ascii="仿宋" w:hAnsi="仿宋" w:eastAsia="仿宋" w:cs="仿宋"/>
          <w:bCs/>
          <w:color w:val="auto"/>
          <w:sz w:val="48"/>
          <w:szCs w:val="48"/>
          <w:highlight w:val="none"/>
        </w:rPr>
      </w:pPr>
    </w:p>
    <w:p w14:paraId="6523D9B8">
      <w:pPr>
        <w:spacing w:before="163" w:beforeLines="50" w:line="360" w:lineRule="auto"/>
        <w:ind w:left="0" w:leftChars="0" w:firstLine="2223" w:firstLineChars="692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采购人：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</w:t>
      </w:r>
    </w:p>
    <w:p w14:paraId="3A7466D0">
      <w:pPr>
        <w:spacing w:before="163" w:beforeLines="50" w:line="360" w:lineRule="auto"/>
        <w:ind w:left="0" w:leftChars="0" w:firstLine="2223" w:firstLineChars="692"/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供应商：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 xml:space="preserve">        </w:t>
      </w:r>
    </w:p>
    <w:p w14:paraId="4E150C33">
      <w:pPr>
        <w:pStyle w:val="2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二〇二四年  月</w:t>
      </w:r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</w:rPr>
        <w:br w:type="page"/>
      </w:r>
    </w:p>
    <w:p w14:paraId="5350D4EA">
      <w:pPr>
        <w:spacing w:before="158" w:beforeLines="50"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</w:rPr>
        <w:t>第一部分  协议书</w:t>
      </w:r>
    </w:p>
    <w:p w14:paraId="54AF5C5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采购人（甲方）：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            </w:t>
      </w:r>
    </w:p>
    <w:p w14:paraId="7D8B55D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供应商（乙方）：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</w:t>
      </w:r>
    </w:p>
    <w:p w14:paraId="3A24871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根据《中华人民共和国民法典》及其他有关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法律法规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，遵循平等、自愿、公平和诚信的原则，双方就下述项目范围与相关服务事项协商一致，订立本合同。</w:t>
      </w:r>
    </w:p>
    <w:p w14:paraId="6AF8F65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一、项目概况</w:t>
      </w:r>
    </w:p>
    <w:p w14:paraId="0EA8335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；</w:t>
      </w:r>
    </w:p>
    <w:p w14:paraId="2A57EE6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2.采 购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；</w:t>
      </w:r>
    </w:p>
    <w:p w14:paraId="4C76F40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.项目地点：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 w14:paraId="695A0F3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二、组成本合同的文件</w:t>
      </w:r>
    </w:p>
    <w:p w14:paraId="25711F0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 协议书；</w:t>
      </w:r>
    </w:p>
    <w:p w14:paraId="1C58CC0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2. 成交通知书、响应文件、竞争性磋商文件、澄清、措施补充文件；</w:t>
      </w:r>
    </w:p>
    <w:p w14:paraId="5571113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 相关服务建议书；</w:t>
      </w:r>
    </w:p>
    <w:p w14:paraId="2012A94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4. 附录，即：附表内相关服务的范围和内容；</w:t>
      </w:r>
    </w:p>
    <w:p w14:paraId="3EE86E2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本合同签订后，双方依法签订的补充协议也是本合同文件的组成部分。</w:t>
      </w:r>
    </w:p>
    <w:p w14:paraId="2FD38E5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三、合同金额</w:t>
      </w:r>
    </w:p>
    <w:p w14:paraId="02E004D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合同总价（含税金额）：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（¥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）。</w:t>
      </w:r>
    </w:p>
    <w:p w14:paraId="0521BB6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合同总价即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成交价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，为一次性报价，不受市场价变化影响。合同总价为含税价，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供应商提供服务所发生的一切税（包括增值税）费等都已包含于合同总价中。</w:t>
      </w:r>
    </w:p>
    <w:p w14:paraId="4FCF04B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四、结算方式</w:t>
      </w:r>
    </w:p>
    <w:p w14:paraId="78579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1.结算单位：银行转账，由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负责结算。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Hans"/>
        </w:rPr>
        <w:t>甲方付款前，乙方须向甲方开具合同全额合格增值税普通发票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Hans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Hans"/>
        </w:rPr>
        <w:t>若乙方开具的发票不合格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Hans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Hans"/>
        </w:rPr>
        <w:t>甲方有权迟延支付款项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Hans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Hans"/>
        </w:rPr>
        <w:t>且不承担逾期付款的违约责任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 w14:paraId="20BE2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2.付款方式：</w:t>
      </w:r>
    </w:p>
    <w:p w14:paraId="2BF8E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自本合同生效之日起，甲方收到乙方开具的全额合格增值税普通发票后，达到付款条件起60个日内，支付合同总金额的100.00%。</w:t>
      </w:r>
    </w:p>
    <w:p w14:paraId="189A1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3.乙方收款账户信息：</w:t>
      </w:r>
    </w:p>
    <w:p w14:paraId="65F196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2"/>
          <w:sz w:val="28"/>
          <w:szCs w:val="28"/>
          <w:lang w:val="en-US" w:eastAsia="zh-CN" w:bidi="ar-SA"/>
        </w:rPr>
        <w:t>（1）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 xml:space="preserve">户名：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</w:t>
      </w:r>
    </w:p>
    <w:p w14:paraId="4A1A9A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2"/>
          <w:sz w:val="28"/>
          <w:szCs w:val="28"/>
          <w:lang w:val="en-US" w:eastAsia="zh-CN" w:bidi="ar-SA"/>
        </w:rPr>
        <w:t>（2）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 xml:space="preserve">账号：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</w:t>
      </w:r>
    </w:p>
    <w:p w14:paraId="2958BB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kern w:val="2"/>
          <w:sz w:val="28"/>
          <w:szCs w:val="28"/>
          <w:lang w:val="en-US" w:eastAsia="zh-CN" w:bidi="ar-SA"/>
        </w:rPr>
        <w:t>（3）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开户行：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</w:t>
      </w:r>
    </w:p>
    <w:p w14:paraId="426F97E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五、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期  </w:t>
      </w:r>
    </w:p>
    <w:p w14:paraId="20D437BC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自合同生效之日起，至项目工可研技术审查报告取得审批部门批复止（具体以合同签订为准）。</w:t>
      </w:r>
    </w:p>
    <w:p w14:paraId="1B149358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六、内容及要求</w:t>
      </w:r>
    </w:p>
    <w:p w14:paraId="0EBBB130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详见磋商文件第三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章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。</w:t>
      </w:r>
    </w:p>
    <w:p w14:paraId="75B8450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、保密</w:t>
      </w:r>
    </w:p>
    <w:p w14:paraId="0D24D822">
      <w:pPr>
        <w:keepNext w:val="0"/>
        <w:keepLines w:val="0"/>
        <w:pageBreakBefore w:val="0"/>
        <w:widowControl w:val="0"/>
        <w:tabs>
          <w:tab w:val="left" w:pos="1080"/>
        </w:tabs>
        <w:wordWrap/>
        <w:overflowPunct/>
        <w:topLinePunct w:val="0"/>
        <w:autoSpaceDE/>
        <w:autoSpaceDN/>
        <w:bidi w:val="0"/>
        <w:spacing w:line="360" w:lineRule="auto"/>
        <w:ind w:firstLine="420" w:firstLineChars="15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对工作中了解到的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的机密等进行严格保密，不得向他人泄漏。本合同的解除或终止不免除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应承担的保密义务。</w:t>
      </w:r>
    </w:p>
    <w:p w14:paraId="4ABA4FF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、知识产权</w:t>
      </w:r>
    </w:p>
    <w:p w14:paraId="1A53326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应对所供服务具有或已取得合法知识产权，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应保证所供服务不会出现因第三方提出侵犯其专利权、商标权或其它知识产权而引发法律或经济纠纷，否则由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负责解决并承担全部责任；如因此影响到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的正常使用，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有权单方解除本合同，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应无条件向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退回已收取的全部合同价款，给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造成损失的，由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一并赔偿。</w:t>
      </w:r>
    </w:p>
    <w:p w14:paraId="0DF886A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、验收</w:t>
      </w:r>
    </w:p>
    <w:p w14:paraId="712DF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乙方完成项目工可研技术审查咨询工作，并经甲方组织内部验收通过后，向甲方提交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叁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份项目可研技术审查咨询意见（含电子版），报告须加盖单位公章。</w:t>
      </w:r>
    </w:p>
    <w:p w14:paraId="1850B96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、不可抗力情况下的免责约定</w:t>
      </w:r>
    </w:p>
    <w:p w14:paraId="49609AE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在本合同执行过程中，若合同任何一方发生不可抗力，而导致不能或延误履行本合同义务时，甲乙双方应友好协商解决本合同继续执行、延迟执行或终止等相关问题。不可抗力包括但不限于战事、火灾、台风、地震、疫情，以及其他可由甲乙双方共同认可的事件。发生不可抗力一方必须在事故发生后立即告知另一方,并在事故发生十五天内，将书面证明发给对方。</w:t>
      </w:r>
    </w:p>
    <w:p w14:paraId="4D065E8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、违约责任</w:t>
      </w:r>
    </w:p>
    <w:p w14:paraId="08BAB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yellow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依据《中华人民共和国民法典》《中华人民共和国政府采购法》《中华人民共和国政府采购法实施条例》的相关条款和本合同约定。合同签订生效后，因乙方原因终止合同，乙方除应向甲方退还已支付的所有款项外，还应向甲方支付合同总价款10%违约金，同时承担因此给甲方造成的所有损失。因甲方原因造成合同终止、解除的，甲方应按乙方实际工作量支付对应服务费用，并向乙方支付合同总价款10%的违约金。</w:t>
      </w:r>
    </w:p>
    <w:p w14:paraId="29EB06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十二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双方权利和义务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  </w:t>
      </w:r>
    </w:p>
    <w:p w14:paraId="7A89C0CB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（一）甲方的权利和义务</w:t>
      </w:r>
    </w:p>
    <w:p w14:paraId="6BABAB6E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1.甲方负责向乙方提供项目可研报告等基础资料，组织相关单位开展项目现场踏勘调研、召开审查会议等工作。</w:t>
      </w:r>
    </w:p>
    <w:p w14:paraId="4F55536F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2.甲方应当对乙方提交的相关成果文件及时进行确认，以保证项目按照进度实施。</w:t>
      </w:r>
    </w:p>
    <w:p w14:paraId="7AB99633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3.合同执行过程中，工作内容、工作计划等若有重大调整，甲方应当以书面形式提前七日通知乙方，以便调整相应的工作安排，如因此造成的时间延长由甲方负责。</w:t>
      </w:r>
    </w:p>
    <w:p w14:paraId="27AEA695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（二）乙方的权利和义务</w:t>
      </w:r>
    </w:p>
    <w:p w14:paraId="0EBA7FD4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.乙方应按照本合同第六条内容和相关的竞争性磋商文件、磋商响应文件要求，明确相应的工作部门，以及足够的、相对固定的技术人员，提供所承担任务的全部工作环境，包括设备、场地等，作为完成该项目的技术支撑。</w:t>
      </w:r>
    </w:p>
    <w:p w14:paraId="1B55770F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乙方收到项目工可研技术审查任务后，应按照本合同第六条内容，根据现行有关规范标准和政策要求，负责对项目工可研报告开展现场踏勘调研、专家审查论证等咨询服务相关工作，并出具项目工可研技术咨询审查意见，以及需满足的质量、服务、安全、时限等要求。</w:t>
      </w:r>
    </w:p>
    <w:p w14:paraId="2D6A5DEB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.乙方应根据现行有关法律、法规和技术标准与规范，遵循科学、客观、公正的原则，充分了解项目情况和相关各方意见，对项目可研报告编制质量和深度，对项目的建设必要性、交通量预测分析、路线方案比选、建设标准和规模、土地节约利用、节能环保、投资估算、经济评价和财务分析等内容进行全面审查，把握项目是否存在重大技术问题，并及时报告甲方。乙方提交的技术审查咨询相关成果应当重点突出、数据翔实、结论明确，能够为下阶段开展工作提供决策依据。</w:t>
      </w:r>
    </w:p>
    <w:p w14:paraId="18CE3DF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十三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、合同争议的解决</w:t>
      </w:r>
    </w:p>
    <w:p w14:paraId="01331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合同执行中发生争议的，当事人双方应协商解决。协商达不成一致时，可向甲方住所地有管辖权的人民法院提起诉讼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。</w:t>
      </w:r>
    </w:p>
    <w:p w14:paraId="721C1287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其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他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（在合同中具体明确）</w:t>
      </w:r>
    </w:p>
    <w:p w14:paraId="53E30923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十五、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合同订立</w:t>
      </w:r>
    </w:p>
    <w:p w14:paraId="46B514B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 订立时间：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日。</w:t>
      </w:r>
    </w:p>
    <w:p w14:paraId="3F1EC15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2. 订立地点：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 w14:paraId="5FB9AD7D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 本合同一式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份，具有同等法律效力，双方各执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份，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自双方法定代表人或授权代理人签字并加盖公章（或合同专用章）之日起生效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，未尽事宜，双方协商解决。</w:t>
      </w:r>
    </w:p>
    <w:p w14:paraId="7377A42B">
      <w:pPr>
        <w:adjustRightInd w:val="0"/>
        <w:snapToGrid w:val="0"/>
        <w:spacing w:line="460" w:lineRule="exact"/>
        <w:ind w:firstLine="554" w:firstLineChars="198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（盖章）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（盖章）         </w:t>
      </w:r>
    </w:p>
    <w:p w14:paraId="3D88648C">
      <w:pPr>
        <w:adjustRightInd w:val="0"/>
        <w:snapToGrid w:val="0"/>
        <w:spacing w:line="460" w:lineRule="exact"/>
        <w:ind w:firstLine="554" w:firstLineChars="198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地址：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地址：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</w:p>
    <w:p w14:paraId="33AB9B5B">
      <w:pPr>
        <w:adjustRightInd w:val="0"/>
        <w:snapToGrid w:val="0"/>
        <w:spacing w:line="460" w:lineRule="exact"/>
        <w:ind w:firstLine="554" w:firstLineChars="198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法定代表人或其授权                   法定代表人或其授权 </w:t>
      </w:r>
    </w:p>
    <w:p w14:paraId="589FFCBA">
      <w:pPr>
        <w:adjustRightInd w:val="0"/>
        <w:snapToGrid w:val="0"/>
        <w:spacing w:line="460" w:lineRule="exact"/>
        <w:ind w:firstLine="554" w:firstLineChars="198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的代理人：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（签字）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的代理人：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（签字）           </w:t>
      </w:r>
    </w:p>
    <w:p w14:paraId="0F05C731">
      <w:pPr>
        <w:adjustRightInd w:val="0"/>
        <w:snapToGrid w:val="0"/>
        <w:spacing w:line="460" w:lineRule="exact"/>
        <w:ind w:firstLine="554" w:firstLineChars="198"/>
        <w:rPr>
          <w:rFonts w:hint="eastAsia" w:ascii="仿宋" w:hAnsi="仿宋" w:eastAsia="仿宋" w:cs="仿宋"/>
          <w:sz w:val="28"/>
          <w:szCs w:val="28"/>
          <w:lang w:val="en-US" w:eastAsia="zh-Han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订立时间：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订立时间：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</w:t>
      </w:r>
    </w:p>
    <w:p w14:paraId="0F2E4721">
      <w:pPr>
        <w:widowControl/>
        <w:spacing w:line="360" w:lineRule="auto"/>
        <w:jc w:val="center"/>
        <w:outlineLvl w:val="0"/>
        <w:rPr>
          <w:rStyle w:val="8"/>
          <w:rFonts w:hint="eastAsia" w:ascii="仿宋" w:hAnsi="仿宋" w:eastAsia="仿宋" w:cs="仿宋"/>
          <w:sz w:val="36"/>
          <w:szCs w:val="36"/>
          <w:lang w:val="en-US" w:eastAsia="zh-CN"/>
        </w:rPr>
      </w:pPr>
    </w:p>
    <w:p w14:paraId="354F3964">
      <w:pPr>
        <w:widowControl/>
        <w:spacing w:line="360" w:lineRule="auto"/>
        <w:jc w:val="center"/>
        <w:outlineLvl w:val="0"/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Style w:val="8"/>
          <w:rFonts w:hint="eastAsia" w:ascii="仿宋" w:hAnsi="仿宋" w:eastAsia="仿宋" w:cs="仿宋"/>
          <w:sz w:val="36"/>
          <w:szCs w:val="36"/>
          <w:lang w:val="en-US" w:eastAsia="zh-CN"/>
        </w:rPr>
        <w:t>商务及合同主要条款</w:t>
      </w:r>
    </w:p>
    <w:p w14:paraId="4955D6C3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本表是对合同条款的具体补充和修改，如有矛盾，应以本资料表为准。</w:t>
      </w:r>
    </w:p>
    <w:tbl>
      <w:tblPr>
        <w:tblStyle w:val="6"/>
        <w:tblW w:w="973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33"/>
        <w:gridCol w:w="8706"/>
      </w:tblGrid>
      <w:tr w14:paraId="4F183B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0" w:hRule="atLeast"/>
          <w:jc w:val="center"/>
        </w:trPr>
        <w:tc>
          <w:tcPr>
            <w:tcW w:w="1033" w:type="dxa"/>
            <w:vAlign w:val="center"/>
          </w:tcPr>
          <w:p w14:paraId="23342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条款号</w:t>
            </w:r>
          </w:p>
        </w:tc>
        <w:tc>
          <w:tcPr>
            <w:tcW w:w="8706" w:type="dxa"/>
            <w:vAlign w:val="center"/>
          </w:tcPr>
          <w:p w14:paraId="15A8D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  <w:t>内      容</w:t>
            </w:r>
          </w:p>
        </w:tc>
      </w:tr>
      <w:tr w14:paraId="4E73FE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0" w:hRule="atLeast"/>
          <w:jc w:val="center"/>
        </w:trPr>
        <w:tc>
          <w:tcPr>
            <w:tcW w:w="1033" w:type="dxa"/>
            <w:vAlign w:val="center"/>
          </w:tcPr>
          <w:p w14:paraId="17877E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8706" w:type="dxa"/>
            <w:vAlign w:val="center"/>
          </w:tcPr>
          <w:p w14:paraId="4989EA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服务地点：甲方指定地点。</w:t>
            </w:r>
          </w:p>
        </w:tc>
      </w:tr>
      <w:tr w14:paraId="4F1AB0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3" w:hRule="atLeast"/>
          <w:jc w:val="center"/>
        </w:trPr>
        <w:tc>
          <w:tcPr>
            <w:tcW w:w="1033" w:type="dxa"/>
            <w:vAlign w:val="center"/>
          </w:tcPr>
          <w:p w14:paraId="7545E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8706" w:type="dxa"/>
            <w:vAlign w:val="center"/>
          </w:tcPr>
          <w:p w14:paraId="2BD2B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服务期：自合同生效之日起，至提交项目工可研技术审查报告，且项目工可研技术审查报告取得审批部门批复止（具体以合同签订为准）。</w:t>
            </w:r>
          </w:p>
        </w:tc>
      </w:tr>
      <w:tr w14:paraId="00FE05E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  <w:jc w:val="center"/>
        </w:trPr>
        <w:tc>
          <w:tcPr>
            <w:tcW w:w="1033" w:type="dxa"/>
            <w:vAlign w:val="center"/>
          </w:tcPr>
          <w:p w14:paraId="526A3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8706" w:type="dxa"/>
            <w:vAlign w:val="center"/>
          </w:tcPr>
          <w:p w14:paraId="668ED3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1.结算单位：银行转账，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甲方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负责结算。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Hans"/>
              </w:rPr>
              <w:t>甲方付款前，乙方须向甲方开具合同全额合格增值税普通发票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Hans"/>
              </w:rPr>
              <w:t>若乙方开具的发票不合格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Hans"/>
              </w:rPr>
              <w:t>甲方有权迟延支付款项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Hans"/>
              </w:rPr>
              <w:t>且不承担逾期付款的违约责任，附详细清单。</w:t>
            </w:r>
          </w:p>
          <w:p w14:paraId="368A9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2.付款方式：</w:t>
            </w:r>
          </w:p>
          <w:p w14:paraId="20B5CF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自本合同生效之日起，甲方收到乙方开具的全额合格增值税普通发票后，达到付款条件起60个日内，支付合同总金额的100.00%。</w:t>
            </w:r>
          </w:p>
        </w:tc>
      </w:tr>
      <w:tr w14:paraId="630E08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9" w:hRule="atLeast"/>
          <w:jc w:val="center"/>
        </w:trPr>
        <w:tc>
          <w:tcPr>
            <w:tcW w:w="1033" w:type="dxa"/>
            <w:vAlign w:val="center"/>
          </w:tcPr>
          <w:p w14:paraId="63BCE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8706" w:type="dxa"/>
            <w:vAlign w:val="center"/>
          </w:tcPr>
          <w:p w14:paraId="157ED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成果要求：提供项目工可研技术审查报告。</w:t>
            </w:r>
          </w:p>
        </w:tc>
      </w:tr>
      <w:tr w14:paraId="5E74E6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89" w:hRule="atLeast"/>
          <w:jc w:val="center"/>
        </w:trPr>
        <w:tc>
          <w:tcPr>
            <w:tcW w:w="1033" w:type="dxa"/>
            <w:vAlign w:val="center"/>
          </w:tcPr>
          <w:p w14:paraId="61691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8706" w:type="dxa"/>
            <w:vAlign w:val="center"/>
          </w:tcPr>
          <w:p w14:paraId="7B49E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知识产权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：</w:t>
            </w:r>
          </w:p>
          <w:p w14:paraId="112E5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乙方应对所供服务具有或已取得合法知识产权，乙方应保证所供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，给甲方造成损失的，由乙方一并赔偿。</w:t>
            </w:r>
          </w:p>
        </w:tc>
      </w:tr>
      <w:tr w14:paraId="17A0FF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  <w:jc w:val="center"/>
        </w:trPr>
        <w:tc>
          <w:tcPr>
            <w:tcW w:w="1033" w:type="dxa"/>
            <w:vAlign w:val="center"/>
          </w:tcPr>
          <w:p w14:paraId="4C20A8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8706" w:type="dxa"/>
            <w:vAlign w:val="center"/>
          </w:tcPr>
          <w:p w14:paraId="31FC3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315" w:hanging="420" w:hangingChars="15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违约责任：</w:t>
            </w:r>
          </w:p>
          <w:p w14:paraId="04E7D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（1）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依据《中华人民共和国民法典》《中华人民共和国政府采购法》《中华人民共和国政府采购法实施条例》的相关条款和本合同约定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执行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。</w:t>
            </w:r>
          </w:p>
          <w:p w14:paraId="7BABC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（2）未按合同要求提供的服务，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甲方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会同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采购代理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组织机构有权终止合同和对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乙方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的违约行为进行追究。</w:t>
            </w:r>
          </w:p>
          <w:p w14:paraId="09993E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（3）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合同签订生效后，因乙方原因终止合同，乙方除应向甲方退还已支付的所有款项外，还应向甲方支付合同总价款10%违约金，同时承担因此给甲方造成的所有损失。因甲方原因造成合同终止、解除的，甲方应按乙方实际工作量支付对应服务费用，并向乙方支付合同总价款10%的违约金。</w:t>
            </w:r>
          </w:p>
        </w:tc>
      </w:tr>
    </w:tbl>
    <w:p w14:paraId="75897184">
      <w:pPr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71C7188A">
      <w:pPr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政府采购合同                        合同编号：</w:t>
      </w:r>
    </w:p>
    <w:p w14:paraId="2DD48A80">
      <w:pPr>
        <w:pStyle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5C1EF6F9">
      <w:pPr>
        <w:pStyle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0CD20EF6">
      <w:pPr>
        <w:pStyle w:val="2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4E0EBCA">
      <w:pPr>
        <w:jc w:val="center"/>
        <w:rPr>
          <w:rFonts w:hint="eastAsia" w:ascii="仿宋" w:hAnsi="仿宋" w:eastAsia="仿宋" w:cs="仿宋"/>
          <w:b/>
          <w:bCs/>
          <w:color w:val="auto"/>
          <w:sz w:val="48"/>
          <w:szCs w:val="4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8"/>
          <w:szCs w:val="48"/>
          <w:highlight w:val="none"/>
          <w:u w:val="singl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color w:val="auto"/>
          <w:sz w:val="48"/>
          <w:szCs w:val="48"/>
          <w:highlight w:val="none"/>
          <w:u w:val="none"/>
          <w:lang w:val="en-US" w:eastAsia="zh-CN"/>
        </w:rPr>
        <w:t>采购</w:t>
      </w:r>
      <w:r>
        <w:rPr>
          <w:rFonts w:hint="eastAsia" w:ascii="仿宋" w:hAnsi="仿宋" w:eastAsia="仿宋" w:cs="仿宋"/>
          <w:b/>
          <w:bCs/>
          <w:color w:val="auto"/>
          <w:sz w:val="48"/>
          <w:szCs w:val="48"/>
          <w:highlight w:val="none"/>
        </w:rPr>
        <w:t>项目</w:t>
      </w:r>
    </w:p>
    <w:p w14:paraId="1DAAA124">
      <w:pPr>
        <w:rPr>
          <w:rFonts w:hint="eastAsia" w:ascii="仿宋" w:hAnsi="仿宋" w:eastAsia="仿宋" w:cs="仿宋"/>
          <w:color w:val="auto"/>
          <w:sz w:val="22"/>
          <w:szCs w:val="28"/>
          <w:highlight w:val="none"/>
        </w:rPr>
      </w:pPr>
    </w:p>
    <w:p w14:paraId="3D818027">
      <w:pPr>
        <w:rPr>
          <w:rFonts w:hint="eastAsia" w:ascii="仿宋" w:hAnsi="仿宋" w:eastAsia="仿宋" w:cs="仿宋"/>
          <w:color w:val="auto"/>
          <w:sz w:val="22"/>
          <w:szCs w:val="28"/>
          <w:highlight w:val="none"/>
        </w:rPr>
      </w:pPr>
    </w:p>
    <w:p w14:paraId="5545ECA9">
      <w:pPr>
        <w:pStyle w:val="2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D967621">
      <w:pPr>
        <w:pStyle w:val="2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0C12C31">
      <w:pPr>
        <w:rPr>
          <w:rFonts w:hint="eastAsia" w:ascii="仿宋" w:hAnsi="仿宋" w:eastAsia="仿宋" w:cs="仿宋"/>
          <w:color w:val="auto"/>
          <w:sz w:val="22"/>
          <w:szCs w:val="28"/>
          <w:highlight w:val="none"/>
        </w:rPr>
      </w:pPr>
    </w:p>
    <w:p w14:paraId="6B338BE5">
      <w:pPr>
        <w:rPr>
          <w:rFonts w:hint="eastAsia" w:ascii="仿宋" w:hAnsi="仿宋" w:eastAsia="仿宋" w:cs="仿宋"/>
          <w:color w:val="auto"/>
          <w:sz w:val="22"/>
          <w:szCs w:val="28"/>
          <w:highlight w:val="none"/>
        </w:rPr>
      </w:pPr>
    </w:p>
    <w:p w14:paraId="1138A751">
      <w:pPr>
        <w:jc w:val="center"/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</w:rPr>
        <w:t>（示范文本</w:t>
      </w:r>
      <w:r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  <w:lang w:val="en-US" w:eastAsia="zh-CN"/>
        </w:rPr>
        <w:t>仅供参考</w:t>
      </w:r>
      <w:r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</w:rPr>
        <w:t>）</w:t>
      </w:r>
    </w:p>
    <w:p w14:paraId="2666243C">
      <w:pPr>
        <w:jc w:val="center"/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</w:rPr>
      </w:pPr>
    </w:p>
    <w:p w14:paraId="09589DB1">
      <w:pPr>
        <w:jc w:val="center"/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</w:rPr>
      </w:pPr>
    </w:p>
    <w:p w14:paraId="67C40AE4">
      <w:pPr>
        <w:jc w:val="center"/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</w:rPr>
      </w:pPr>
    </w:p>
    <w:p w14:paraId="6F428FF3">
      <w:pPr>
        <w:jc w:val="center"/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</w:rPr>
      </w:pPr>
    </w:p>
    <w:p w14:paraId="20690B92">
      <w:pPr>
        <w:spacing w:before="163" w:beforeLines="50" w:line="360" w:lineRule="auto"/>
        <w:rPr>
          <w:rFonts w:hint="eastAsia" w:ascii="仿宋" w:hAnsi="仿宋" w:eastAsia="仿宋" w:cs="仿宋"/>
          <w:bCs/>
          <w:color w:val="auto"/>
          <w:sz w:val="52"/>
          <w:szCs w:val="52"/>
          <w:highlight w:val="none"/>
        </w:rPr>
      </w:pPr>
    </w:p>
    <w:p w14:paraId="0BB9844D">
      <w:pPr>
        <w:spacing w:before="163" w:beforeLines="50" w:line="360" w:lineRule="auto"/>
        <w:ind w:left="0" w:leftChars="0" w:firstLine="1782" w:firstLineChars="493"/>
        <w:jc w:val="left"/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采购人：</w:t>
      </w:r>
      <w:r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highlight w:val="none"/>
          <w:u w:val="single"/>
          <w:lang w:val="en-US" w:eastAsia="zh-CN"/>
        </w:rPr>
        <w:t xml:space="preserve">                     </w:t>
      </w:r>
    </w:p>
    <w:p w14:paraId="013E83C4">
      <w:pPr>
        <w:spacing w:before="163" w:beforeLines="50" w:line="360" w:lineRule="auto"/>
        <w:ind w:left="0" w:leftChars="0" w:firstLine="1782" w:firstLineChars="493"/>
        <w:jc w:val="left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供应商：</w:t>
      </w:r>
      <w:r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 xml:space="preserve">        </w:t>
      </w:r>
    </w:p>
    <w:p w14:paraId="2B54644E">
      <w:pPr>
        <w:pStyle w:val="2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二〇二四年  月</w:t>
      </w:r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</w:rPr>
        <w:br w:type="page"/>
      </w:r>
    </w:p>
    <w:p w14:paraId="1DBAE086">
      <w:pPr>
        <w:spacing w:before="158" w:beforeLines="50" w:line="360" w:lineRule="auto"/>
        <w:jc w:val="center"/>
        <w:rPr>
          <w:rFonts w:ascii="仿宋" w:hAnsi="仿宋" w:eastAsia="仿宋" w:cs="仿宋"/>
          <w:b/>
          <w:bCs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第一部分  协议书</w:t>
      </w:r>
    </w:p>
    <w:p w14:paraId="088289C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采购人（甲方）：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            </w:t>
      </w:r>
    </w:p>
    <w:p w14:paraId="3BCBFE6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供应商（乙方）：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            </w:t>
      </w:r>
    </w:p>
    <w:p w14:paraId="71D70E4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根据《中华人民共和国民法典》及其他有关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法律法规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，遵循平等、自愿、公平和诚信的原则，双方就下述项目范围与相关服务事项协商一致，订立本合同。</w:t>
      </w:r>
    </w:p>
    <w:p w14:paraId="553278D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一、项目概况</w:t>
      </w:r>
    </w:p>
    <w:p w14:paraId="6D9F4EE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；</w:t>
      </w:r>
    </w:p>
    <w:p w14:paraId="3062A16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2.采 购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；</w:t>
      </w:r>
    </w:p>
    <w:p w14:paraId="1ED73E0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.项目地点：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 w14:paraId="0F8AE9C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二、组成本合同的文件</w:t>
      </w:r>
    </w:p>
    <w:p w14:paraId="33D24B4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 协议书；</w:t>
      </w:r>
    </w:p>
    <w:p w14:paraId="73B8623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2. 成交通知书、响应文件、竞争性磋商文件、澄清、措施补充文件；</w:t>
      </w:r>
    </w:p>
    <w:p w14:paraId="7110B9A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 相关服务建议书；</w:t>
      </w:r>
    </w:p>
    <w:p w14:paraId="002FF95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4. 附录，即：附表内相关服务的范围和内容；</w:t>
      </w:r>
    </w:p>
    <w:p w14:paraId="694D380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本合同签订后，双方依法签订的补充协议也是本合同文件的组成部分。</w:t>
      </w:r>
    </w:p>
    <w:p w14:paraId="652EB14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三、合同金额</w:t>
      </w:r>
    </w:p>
    <w:p w14:paraId="292916F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合同总价（含税金额）：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人民币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元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（¥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）。</w:t>
      </w:r>
    </w:p>
    <w:p w14:paraId="554E75A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合同总价即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成交价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，为一次性报价，不受市场价变化影响。合同总价为含税价，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供应商提供服务所发生的一切税（包括增值税）费等都已包含于合同总价中。</w:t>
      </w:r>
    </w:p>
    <w:p w14:paraId="755B5A5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四、结算方式</w:t>
      </w:r>
    </w:p>
    <w:p w14:paraId="0684F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1.结算单位：银行转账，由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负责结算。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Hans"/>
        </w:rPr>
        <w:t>甲方付款前，乙方须向甲方开具合同全额合格增值税普通发票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Hans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Hans"/>
        </w:rPr>
        <w:t>若乙方开具的发票不合格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Hans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Hans"/>
        </w:rPr>
        <w:t>甲方有权迟延支付款项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Hans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Hans"/>
        </w:rPr>
        <w:t>且不承担逾期付款的违约责任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 w14:paraId="74057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2.付款方式：</w:t>
      </w:r>
    </w:p>
    <w:p w14:paraId="52C19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自本合同生效之日起，甲方收到乙方开具的全额合格增值税普通发票后，达到付款条件起60个日内，支付合同总金额的100.00%。</w:t>
      </w:r>
    </w:p>
    <w:p w14:paraId="5BDD1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3.乙方收款账户信息：</w:t>
      </w:r>
    </w:p>
    <w:p w14:paraId="4D3DE3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color w:val="auto"/>
          <w:kern w:val="2"/>
          <w:sz w:val="28"/>
          <w:szCs w:val="28"/>
          <w:lang w:val="en-US" w:eastAsia="zh-CN" w:bidi="ar-SA"/>
        </w:rPr>
        <w:t>（1）</w:t>
      </w:r>
      <w:r>
        <w:rPr>
          <w:rFonts w:hint="eastAsia" w:ascii="仿宋" w:hAnsi="仿宋" w:eastAsia="仿宋"/>
          <w:bCs/>
          <w:color w:val="auto"/>
          <w:sz w:val="28"/>
          <w:szCs w:val="28"/>
          <w:highlight w:val="none"/>
          <w:lang w:val="en-US" w:eastAsia="zh-CN"/>
        </w:rPr>
        <w:t xml:space="preserve">户名： </w:t>
      </w:r>
      <w:r>
        <w:rPr>
          <w:rFonts w:hint="eastAsia" w:ascii="仿宋" w:hAnsi="仿宋" w:eastAsia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</w:t>
      </w:r>
    </w:p>
    <w:p w14:paraId="2CE101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color w:val="auto"/>
          <w:kern w:val="2"/>
          <w:sz w:val="28"/>
          <w:szCs w:val="28"/>
          <w:lang w:val="en-US" w:eastAsia="zh-CN" w:bidi="ar-SA"/>
        </w:rPr>
        <w:t>（2）</w:t>
      </w:r>
      <w:r>
        <w:rPr>
          <w:rFonts w:hint="eastAsia" w:ascii="仿宋" w:hAnsi="仿宋" w:eastAsia="仿宋"/>
          <w:bCs/>
          <w:color w:val="auto"/>
          <w:sz w:val="28"/>
          <w:szCs w:val="28"/>
          <w:highlight w:val="none"/>
          <w:lang w:val="en-US" w:eastAsia="zh-CN"/>
        </w:rPr>
        <w:t xml:space="preserve">账号： </w:t>
      </w:r>
      <w:r>
        <w:rPr>
          <w:rFonts w:hint="eastAsia" w:ascii="仿宋" w:hAnsi="仿宋" w:eastAsia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</w:t>
      </w:r>
    </w:p>
    <w:p w14:paraId="38DC9C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default" w:ascii="仿宋" w:hAnsi="仿宋" w:eastAsia="仿宋" w:cs="Times New Roman"/>
          <w:bCs/>
          <w:color w:val="auto"/>
          <w:kern w:val="2"/>
          <w:sz w:val="28"/>
          <w:szCs w:val="28"/>
          <w:lang w:val="en-US" w:eastAsia="zh-CN" w:bidi="ar-SA"/>
        </w:rPr>
        <w:t>（3）</w:t>
      </w:r>
      <w:r>
        <w:rPr>
          <w:rFonts w:hint="eastAsia" w:ascii="仿宋" w:hAnsi="仿宋" w:eastAsia="仿宋"/>
          <w:bCs/>
          <w:color w:val="auto"/>
          <w:sz w:val="28"/>
          <w:szCs w:val="28"/>
          <w:highlight w:val="none"/>
          <w:lang w:val="en-US" w:eastAsia="zh-CN"/>
        </w:rPr>
        <w:t>开户行：</w:t>
      </w:r>
      <w:r>
        <w:rPr>
          <w:rFonts w:hint="eastAsia" w:ascii="仿宋" w:hAnsi="仿宋" w:eastAsia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</w:t>
      </w:r>
    </w:p>
    <w:p w14:paraId="5B61E0D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五、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期  </w:t>
      </w:r>
    </w:p>
    <w:p w14:paraId="754B561A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自合同生效之日起，至提交项目工可研技术审查报告，且项目工可研技术审查报告取得审批部门批复止（具体以合同签订为准）。</w:t>
      </w:r>
    </w:p>
    <w:p w14:paraId="06D90DF4">
      <w:pPr>
        <w:keepNext w:val="0"/>
        <w:keepLines w:val="0"/>
        <w:pageBreakBefore w:val="0"/>
        <w:widowControl w:val="0"/>
        <w:tabs>
          <w:tab w:val="left" w:pos="840"/>
        </w:tabs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六、内容及要求</w:t>
      </w:r>
    </w:p>
    <w:p w14:paraId="575F7A0F">
      <w:pPr>
        <w:pStyle w:val="2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详见磋商文件第三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章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  <w:t>。</w:t>
      </w:r>
    </w:p>
    <w:p w14:paraId="70A3DD4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、保密</w:t>
      </w:r>
    </w:p>
    <w:p w14:paraId="55653161">
      <w:pPr>
        <w:keepNext w:val="0"/>
        <w:keepLines w:val="0"/>
        <w:pageBreakBefore w:val="0"/>
        <w:widowControl w:val="0"/>
        <w:tabs>
          <w:tab w:val="left" w:pos="1080"/>
        </w:tabs>
        <w:wordWrap/>
        <w:overflowPunct/>
        <w:topLinePunct w:val="0"/>
        <w:autoSpaceDE/>
        <w:autoSpaceDN/>
        <w:bidi w:val="0"/>
        <w:spacing w:line="360" w:lineRule="auto"/>
        <w:ind w:firstLine="420" w:firstLineChars="15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对工作中了解到的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的机密等进行严格保密，不得向他人泄漏。本合同的解除或终止不免除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应承担的保密义务。</w:t>
      </w:r>
    </w:p>
    <w:p w14:paraId="125C225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、知识产权</w:t>
      </w:r>
    </w:p>
    <w:p w14:paraId="50718EA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ind w:firstLine="56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应对所供服务具有或已取得合法知识产权，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应保证所供服务不会出现因第三方提出侵犯其专利权、商标权或其它知识产权而引发法律或经济纠纷，否则由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负责解决并承担全部责任；如因此影响到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的正常使用，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有权单方解除本合同，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应无条件向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退回已收取的全部合同价款，给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造成损失的，由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一并赔偿。</w:t>
      </w:r>
    </w:p>
    <w:p w14:paraId="41FF5C3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、验收</w:t>
      </w:r>
    </w:p>
    <w:p w14:paraId="10F7B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乙方完成项目工可研技术审查咨询工作，并经甲方组织内部验收通过后，向甲方提交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叁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份项目可研技术审查咨询意见（含电子版），报告须加盖单位公章。</w:t>
      </w:r>
    </w:p>
    <w:p w14:paraId="77C8FBF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、不可抗力情况下的免责约定</w:t>
      </w:r>
    </w:p>
    <w:p w14:paraId="3D6FAEE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在本合同执行过程中，若合同任何一方发生不可抗力，而导致不能或延误履行本合同义务时，甲乙双方应友好协商解决本合同继续执行、延迟执行或终止等相关问题。不可抗力包括但不限于战事、火灾、台风、地震、疫情，以及其他可由甲乙双方共同认可的事件。发生不可抗力一方必须在事故发生后立即告知另一方,并在事故发生十五天内，将书面证明发给对方。</w:t>
      </w:r>
    </w:p>
    <w:p w14:paraId="7B338D8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、违约责任</w:t>
      </w:r>
    </w:p>
    <w:p w14:paraId="57EC5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yellow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依据《中华人民共和国民法典》《中华人民共和国政府采购法》《中华人民共和国政府采购法实施条例》的相关条款和本合同约定。合同签订生效后，因乙方原因终止合同，乙方除应向甲方退还已支付的所有款项外，还应向甲方支付合同总价款10%违约金，同时承担因此给甲方造成的所有损失。因甲方原因造成合同终止、解除的，甲方应按乙方实际工作量支付对应服务费用，并向乙方支付合同总价款10%的违约金。</w:t>
      </w:r>
    </w:p>
    <w:p w14:paraId="496F9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十二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双方权利和义务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 xml:space="preserve">  </w:t>
      </w:r>
    </w:p>
    <w:p w14:paraId="36986B2E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（一）甲方的权利和义务</w:t>
      </w:r>
    </w:p>
    <w:p w14:paraId="33441422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1.甲方负责向乙方提供项目可研报告等基础资料，组织相关单位开展项目现场踏勘调研、召开审查会议等工作。</w:t>
      </w:r>
    </w:p>
    <w:p w14:paraId="64A3E38A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2.甲方应当对乙方提交的相关成果文件及时进行确认，以保证项目按照进度实施。</w:t>
      </w:r>
    </w:p>
    <w:p w14:paraId="19CAC13B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3.合同执行过程中，工作内容、工作计划等若有重大调整，甲方应当以书面形式提前七日通知乙方，以便调整相应的工作安排，如因此造成的时间延长由甲方负责。</w:t>
      </w:r>
    </w:p>
    <w:p w14:paraId="61C243FF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（二）乙方的权利和义务</w:t>
      </w:r>
    </w:p>
    <w:p w14:paraId="3AC7655E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1.乙方应按照本合同第六条内容和相关的竞争性磋商文件、磋商响应文件要求，明确相应的工作部门，以及足够的、相对固定的技术人员，提供所承担任务的全部工作环境，包括设备、场地等，作为完成该项目的技术支撑。</w:t>
      </w:r>
    </w:p>
    <w:p w14:paraId="7F3D5B13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.乙方收到项目工可研技术审查任务后，应按照本合同第六条内容，根据现行有关规范标准和政策要求，负责对项目工可研报告开展现场踏勘调研、专家审查论证等咨询服务相关工作，并出具项目工可研技术咨询审查意见，以及需满足的质量、服务、安全、时限等要求。</w:t>
      </w:r>
    </w:p>
    <w:p w14:paraId="4294B522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.乙方应根据现行有关法律、法规和技术标准与规范，遵循科学、客观、公正的原则，充分了解项目情况和相关各方意见，对项目可研报告编制质量和深度，对项目的建设必要性、交通量预测分析、路线方案比选、建设标准和规模、土地节约利用、节能环保、投资估算、经济评价和财务分析等内容进行全面审查，把握项目是否存在重大技术问题，并及时报告甲方。乙方提交的技术审查咨询相关成果应当重点突出、数据翔实、结论明确，能够为下阶段开展工作提供决策依据。</w:t>
      </w:r>
    </w:p>
    <w:p w14:paraId="2858FA4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十三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、合同争议的解决</w:t>
      </w:r>
    </w:p>
    <w:p w14:paraId="651F8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合同执行中发生争议的，当事人双方应协商解决。协商达不成一致时，可向甲方住所地有管辖权的人民法院提起诉讼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。</w:t>
      </w:r>
    </w:p>
    <w:p w14:paraId="3B2F5AE6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其</w:t>
      </w:r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  <w:t>他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（在合同中具体明确）</w:t>
      </w:r>
    </w:p>
    <w:p w14:paraId="3CBD73A8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十五、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合同订立</w:t>
      </w:r>
    </w:p>
    <w:p w14:paraId="6291D66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 订立时间：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日。</w:t>
      </w:r>
    </w:p>
    <w:p w14:paraId="3F271AC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54" w:firstLineChars="198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2. 订立地点：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 w14:paraId="0B48DD88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 本合同一式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份，具有同等法律效力，双方各执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份，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自双方法定代表人或授权代理人签字并加盖公章（或合同专用章）之日起生效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，未尽事宜，双方协商解决</w:t>
      </w:r>
      <w:r>
        <w:rPr>
          <w:rFonts w:hint="eastAsia" w:ascii="仿宋" w:hAnsi="仿宋" w:cs="仿宋"/>
          <w:color w:val="auto"/>
          <w:sz w:val="28"/>
          <w:szCs w:val="28"/>
          <w:highlight w:val="none"/>
        </w:rPr>
        <w:t>。</w:t>
      </w:r>
    </w:p>
    <w:p w14:paraId="30C495F6">
      <w:pPr>
        <w:pStyle w:val="2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0CEDBACF">
      <w:pPr>
        <w:adjustRightInd w:val="0"/>
        <w:snapToGrid w:val="0"/>
        <w:spacing w:line="460" w:lineRule="exact"/>
        <w:ind w:firstLine="554" w:firstLineChars="198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（盖章）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乙方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（盖章）         </w:t>
      </w:r>
    </w:p>
    <w:p w14:paraId="157410D7">
      <w:pPr>
        <w:adjustRightInd w:val="0"/>
        <w:snapToGrid w:val="0"/>
        <w:spacing w:line="460" w:lineRule="exact"/>
        <w:ind w:firstLine="554" w:firstLineChars="198"/>
        <w:rPr>
          <w:rFonts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地址：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地址：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</w:p>
    <w:p w14:paraId="5F0109A8">
      <w:pPr>
        <w:adjustRightInd w:val="0"/>
        <w:snapToGrid w:val="0"/>
        <w:spacing w:line="460" w:lineRule="exact"/>
        <w:ind w:firstLine="554" w:firstLineChars="198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法定代表人或其授权                   法定代表人或其授权 </w:t>
      </w:r>
    </w:p>
    <w:p w14:paraId="2EB991A6">
      <w:pPr>
        <w:adjustRightInd w:val="0"/>
        <w:snapToGrid w:val="0"/>
        <w:spacing w:line="460" w:lineRule="exact"/>
        <w:ind w:firstLine="554" w:firstLineChars="198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的代理人：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（签字）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的代理人：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（签字）           </w:t>
      </w:r>
    </w:p>
    <w:p w14:paraId="5FFC2063">
      <w:pPr>
        <w:adjustRightInd w:val="0"/>
        <w:snapToGrid w:val="0"/>
        <w:spacing w:line="460" w:lineRule="exact"/>
        <w:ind w:firstLine="554" w:firstLineChars="198"/>
        <w:rPr>
          <w:rFonts w:ascii="仿宋" w:hAnsi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订立时间：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订立时间：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  <w:r>
        <w:rPr>
          <w:rFonts w:hint="eastAsia" w:ascii="仿宋" w:hAnsi="仿宋" w:cs="仿宋"/>
          <w:color w:val="auto"/>
          <w:sz w:val="28"/>
          <w:szCs w:val="28"/>
          <w:highlight w:val="none"/>
          <w:u w:val="single"/>
        </w:rPr>
        <w:t xml:space="preserve">  </w:t>
      </w:r>
    </w:p>
    <w:p w14:paraId="25218396"/>
    <w:sectPr>
      <w:pgSz w:w="11906" w:h="16838"/>
      <w:pgMar w:top="1100" w:right="1080" w:bottom="110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雅酷黑简">
    <w:panose1 w:val="00020600040101010101"/>
    <w:charset w:val="86"/>
    <w:family w:val="auto"/>
    <w:pitch w:val="default"/>
    <w:sig w:usb0="A00002BF" w:usb1="1AC17CFA" w:usb2="00000016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3E73DA3"/>
    <w:rsid w:val="0199245E"/>
    <w:rsid w:val="0616597F"/>
    <w:rsid w:val="10F605B7"/>
    <w:rsid w:val="1598015F"/>
    <w:rsid w:val="1B0E2C71"/>
    <w:rsid w:val="265F0465"/>
    <w:rsid w:val="2F4414CC"/>
    <w:rsid w:val="32E93950"/>
    <w:rsid w:val="34BA4C49"/>
    <w:rsid w:val="371E6574"/>
    <w:rsid w:val="3DE11DF4"/>
    <w:rsid w:val="428F6994"/>
    <w:rsid w:val="43E73DA3"/>
    <w:rsid w:val="4F082F58"/>
    <w:rsid w:val="5F8F73F1"/>
    <w:rsid w:val="64E42046"/>
    <w:rsid w:val="6526103F"/>
    <w:rsid w:val="6AA3170B"/>
    <w:rsid w:val="6C3F3C55"/>
    <w:rsid w:val="6DBF7223"/>
    <w:rsid w:val="732D2E0A"/>
    <w:rsid w:val="73D85C78"/>
    <w:rsid w:val="781F337D"/>
    <w:rsid w:val="788A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标题 1 Char"/>
    <w:link w:val="3"/>
    <w:qFormat/>
    <w:uiPriority w:val="0"/>
    <w:rPr>
      <w:b/>
      <w:bCs/>
      <w:kern w:val="44"/>
      <w:sz w:val="30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2805</Words>
  <Characters>2848</Characters>
  <Lines>0</Lines>
  <Paragraphs>0</Paragraphs>
  <TotalTime>1</TotalTime>
  <ScaleCrop>false</ScaleCrop>
  <LinksUpToDate>false</LinksUpToDate>
  <CharactersWithSpaces>3452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2023-07-07T05:59:00Z</dcterms:created>
  <dc:creator>123</dc:creator>
  <cp:lastModifiedBy>R 13</cp:lastModifiedBy>
  <dcterms:modified xsi:type="dcterms:W3CDTF">2024-10-15T09:20:26Z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11F605E1BD3844A8B939FA3FD6A1FA5F_11</vt:lpwstr>
  </property>
</Properties>
</file>