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，在此郑重声明：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宋体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一、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二、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政府采购法》有关"提供虚假材料的规定"接受处罚。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</w:rPr>
        <w:t>特此声明。</w:t>
      </w:r>
    </w:p>
    <w:p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>
      <w:pPr>
        <w:snapToGrid w:val="0"/>
        <w:spacing w:line="360" w:lineRule="auto"/>
        <w:ind w:firstLine="3120" w:firstLineChars="1300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br w:type="page"/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信誉书面声明后附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在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并进行电子签章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：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①供应商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②供应商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“中国政府采购网”政府采购严重违法失信行为记录名单栏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2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  <w:lang w:eastAsia="zh-CN"/>
        </w:rPr>
        <w:t>上述查询记录中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如相关失信记录已失效，供应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商需提供相关证明资料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660</Words>
  <Characters>738</Characters>
  <Lines>0</Lines>
  <Paragraphs>0</Paragraphs>
  <TotalTime>3</TotalTime>
  <ScaleCrop>false</ScaleCrop>
  <LinksUpToDate>false</LinksUpToDate>
  <CharactersWithSpaces>860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R 13</cp:lastModifiedBy>
  <dcterms:modified xsi:type="dcterms:W3CDTF">2024-06-06T09:16:32Z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8CCDCD2048DF42419EF9FEE6B7EFEF3F_13</vt:lpwstr>
  </property>
</Properties>
</file>