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713DA">
      <w:pPr>
        <w:spacing w:line="360" w:lineRule="auto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  <w:r>
        <w:rPr>
          <w:rStyle w:val="6"/>
          <w:rFonts w:hint="eastAsia" w:ascii="仿宋" w:hAnsi="仿宋" w:eastAsia="仿宋" w:cs="仿宋"/>
          <w:b/>
          <w:sz w:val="40"/>
          <w:szCs w:val="40"/>
        </w:rPr>
        <w:t>陕西省建设工程施工合同</w:t>
      </w:r>
    </w:p>
    <w:p w14:paraId="349B81F4">
      <w:pPr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67891C2A">
      <w:pPr>
        <w:pStyle w:val="3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0D2062BC"/>
    <w:p w14:paraId="6236E8D9">
      <w:pPr>
        <w:ind w:firstLine="200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</w:p>
    <w:p w14:paraId="43498207">
      <w:pPr>
        <w:spacing w:line="400" w:lineRule="auto"/>
        <w:jc w:val="center"/>
        <w:rPr>
          <w:rStyle w:val="6"/>
          <w:rFonts w:ascii="仿宋" w:hAnsi="仿宋" w:eastAsia="仿宋" w:cs="仿宋"/>
          <w:b/>
          <w:spacing w:val="130"/>
          <w:sz w:val="40"/>
          <w:szCs w:val="40"/>
        </w:rPr>
      </w:pPr>
      <w:r>
        <w:rPr>
          <w:rStyle w:val="6"/>
          <w:rFonts w:hint="eastAsia" w:ascii="仿宋" w:hAnsi="仿宋" w:eastAsia="仿宋" w:cs="仿宋"/>
          <w:b/>
          <w:spacing w:val="130"/>
          <w:sz w:val="40"/>
          <w:szCs w:val="40"/>
        </w:rPr>
        <w:t>陕西省建设厅</w:t>
      </w:r>
    </w:p>
    <w:p w14:paraId="03ED1368">
      <w:pPr>
        <w:spacing w:line="400" w:lineRule="auto"/>
        <w:jc w:val="center"/>
        <w:rPr>
          <w:rStyle w:val="6"/>
          <w:rFonts w:ascii="仿宋" w:hAnsi="仿宋" w:eastAsia="仿宋" w:cs="仿宋"/>
          <w:b/>
          <w:spacing w:val="100"/>
          <w:sz w:val="40"/>
          <w:szCs w:val="40"/>
        </w:rPr>
      </w:pPr>
    </w:p>
    <w:p w14:paraId="34D0E355">
      <w:pPr>
        <w:pStyle w:val="3"/>
        <w:rPr>
          <w:rStyle w:val="6"/>
          <w:rFonts w:ascii="仿宋" w:hAnsi="仿宋" w:eastAsia="仿宋" w:cs="仿宋"/>
          <w:b/>
          <w:spacing w:val="100"/>
          <w:sz w:val="40"/>
          <w:szCs w:val="40"/>
        </w:rPr>
      </w:pPr>
    </w:p>
    <w:p w14:paraId="41D8698E"/>
    <w:p w14:paraId="19F4721B">
      <w:pPr>
        <w:spacing w:line="400" w:lineRule="auto"/>
        <w:jc w:val="center"/>
        <w:rPr>
          <w:rStyle w:val="6"/>
          <w:rFonts w:ascii="仿宋" w:hAnsi="仿宋" w:eastAsia="仿宋" w:cs="仿宋"/>
          <w:b/>
          <w:sz w:val="40"/>
          <w:szCs w:val="40"/>
        </w:rPr>
      </w:pPr>
      <w:r>
        <w:rPr>
          <w:rStyle w:val="6"/>
          <w:rFonts w:hint="eastAsia" w:ascii="仿宋" w:hAnsi="仿宋" w:eastAsia="仿宋" w:cs="仿宋"/>
          <w:b/>
          <w:sz w:val="40"/>
          <w:szCs w:val="40"/>
        </w:rPr>
        <w:t>陕西省工商行政管理局</w:t>
      </w:r>
    </w:p>
    <w:p w14:paraId="15EAEC0A">
      <w:pPr>
        <w:spacing w:line="360" w:lineRule="auto"/>
        <w:jc w:val="center"/>
        <w:rPr>
          <w:rStyle w:val="6"/>
          <w:rFonts w:hint="eastAsia" w:ascii="仿宋" w:hAnsi="仿宋" w:eastAsia="仿宋" w:cs="仿宋"/>
          <w:b/>
          <w:sz w:val="40"/>
          <w:szCs w:val="40"/>
        </w:rPr>
      </w:pPr>
      <w:r>
        <w:rPr>
          <w:rStyle w:val="6"/>
          <w:rFonts w:hint="eastAsia" w:ascii="仿宋" w:hAnsi="仿宋" w:eastAsia="仿宋" w:cs="仿宋"/>
          <w:b/>
          <w:sz w:val="40"/>
          <w:szCs w:val="40"/>
        </w:rPr>
        <w:t>二零二四年  月</w:t>
      </w:r>
    </w:p>
    <w:p w14:paraId="2A495770">
      <w:pPr>
        <w:rPr>
          <w:rStyle w:val="6"/>
          <w:rFonts w:hint="eastAsia" w:ascii="仿宋" w:hAnsi="仿宋" w:eastAsia="仿宋" w:cs="仿宋"/>
          <w:b/>
          <w:sz w:val="40"/>
          <w:szCs w:val="40"/>
        </w:rPr>
      </w:pPr>
      <w:r>
        <w:rPr>
          <w:rStyle w:val="6"/>
          <w:rFonts w:hint="eastAsia" w:ascii="仿宋" w:hAnsi="仿宋" w:eastAsia="仿宋" w:cs="仿宋"/>
          <w:b/>
          <w:sz w:val="40"/>
          <w:szCs w:val="40"/>
        </w:rPr>
        <w:br w:type="page"/>
      </w:r>
    </w:p>
    <w:p w14:paraId="6E4884BD">
      <w:pPr>
        <w:pStyle w:val="2"/>
      </w:pPr>
    </w:p>
    <w:p w14:paraId="79323E1B">
      <w:pPr>
        <w:spacing w:line="360" w:lineRule="auto"/>
        <w:jc w:val="center"/>
        <w:rPr>
          <w:rStyle w:val="6"/>
          <w:rFonts w:ascii="仿宋" w:hAnsi="仿宋" w:eastAsia="仿宋" w:cs="仿宋"/>
          <w:b/>
          <w:sz w:val="24"/>
        </w:rPr>
      </w:pPr>
    </w:p>
    <w:p w14:paraId="3CDA88C8">
      <w:pPr>
        <w:numPr>
          <w:ilvl w:val="0"/>
          <w:numId w:val="1"/>
        </w:numPr>
        <w:spacing w:line="460" w:lineRule="auto"/>
        <w:jc w:val="center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合同协议书</w:t>
      </w:r>
    </w:p>
    <w:p w14:paraId="6C0BD90B">
      <w:pPr>
        <w:spacing w:line="46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发包人（采购单位）：西安科技大学</w:t>
      </w:r>
    </w:p>
    <w:p w14:paraId="137C63E4">
      <w:pPr>
        <w:spacing w:line="38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承包人（成交单位）：采购人指定地点</w:t>
      </w:r>
    </w:p>
    <w:p w14:paraId="45756F50">
      <w:pPr>
        <w:pStyle w:val="3"/>
        <w:rPr>
          <w:rFonts w:ascii="仿宋" w:hAnsi="仿宋" w:eastAsia="仿宋" w:cs="仿宋"/>
          <w:sz w:val="24"/>
        </w:rPr>
      </w:pPr>
    </w:p>
    <w:p w14:paraId="1EF7FD79">
      <w:pPr>
        <w:spacing w:line="46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1.工程概述：</w:t>
      </w:r>
    </w:p>
    <w:p w14:paraId="708F23AE">
      <w:pPr>
        <w:spacing w:line="500" w:lineRule="exact"/>
        <w:ind w:left="1620" w:leftChars="200" w:hanging="1200" w:hangingChars="50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工程名称：</w:t>
      </w:r>
    </w:p>
    <w:p w14:paraId="54F7F19F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工程地址：</w:t>
      </w:r>
      <w:bookmarkStart w:id="0" w:name="_GoBack"/>
      <w:bookmarkEnd w:id="0"/>
    </w:p>
    <w:p w14:paraId="16CD9C85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2.工程工期：</w:t>
      </w:r>
      <w:r>
        <w:rPr>
          <w:rStyle w:val="6"/>
          <w:rFonts w:hint="eastAsia" w:ascii="仿宋" w:hAnsi="仿宋" w:eastAsia="仿宋" w:cs="仿宋"/>
          <w:sz w:val="24"/>
        </w:rPr>
        <w:t xml:space="preserve">   日历天</w:t>
      </w:r>
    </w:p>
    <w:p w14:paraId="2B56C4DE">
      <w:pPr>
        <w:tabs>
          <w:tab w:val="left" w:pos="1155"/>
        </w:tabs>
        <w:spacing w:line="460" w:lineRule="auto"/>
        <w:ind w:firstLine="480"/>
        <w:rPr>
          <w:rStyle w:val="6"/>
          <w:rFonts w:ascii="仿宋" w:hAnsi="仿宋" w:eastAsia="仿宋" w:cs="仿宋"/>
          <w:sz w:val="24"/>
          <w:u w:val="single" w:color="FF0000"/>
        </w:rPr>
      </w:pPr>
      <w:r>
        <w:rPr>
          <w:rStyle w:val="6"/>
          <w:rFonts w:hint="eastAsia" w:ascii="仿宋" w:hAnsi="仿宋" w:eastAsia="仿宋" w:cs="仿宋"/>
          <w:sz w:val="24"/>
        </w:rPr>
        <w:t>2.1开工日期：</w:t>
      </w:r>
      <w:r>
        <w:rPr>
          <w:rStyle w:val="6"/>
          <w:rFonts w:hint="eastAsia" w:ascii="仿宋" w:hAnsi="仿宋" w:eastAsia="仿宋" w:cs="仿宋"/>
          <w:sz w:val="24"/>
          <w:u w:val="single" w:color="FF0000"/>
        </w:rPr>
        <w:t xml:space="preserve">2024年    月 </w:t>
      </w:r>
      <w:r>
        <w:rPr>
          <w:rStyle w:val="6"/>
          <w:rFonts w:hint="eastAsia" w:ascii="仿宋" w:hAnsi="仿宋" w:eastAsia="仿宋" w:cs="仿宋"/>
          <w:sz w:val="24"/>
          <w:u w:val="single" w:color="0000FF"/>
        </w:rPr>
        <w:t xml:space="preserve">  </w:t>
      </w:r>
      <w:r>
        <w:rPr>
          <w:rStyle w:val="6"/>
          <w:rFonts w:hint="eastAsia" w:ascii="仿宋" w:hAnsi="仿宋" w:eastAsia="仿宋" w:cs="仿宋"/>
          <w:sz w:val="24"/>
          <w:u w:val="single" w:color="FF0000"/>
        </w:rPr>
        <w:t xml:space="preserve"> 日</w:t>
      </w:r>
    </w:p>
    <w:p w14:paraId="6BF860D5">
      <w:pPr>
        <w:spacing w:line="460" w:lineRule="auto"/>
        <w:ind w:firstLine="48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2.2竣工日期：</w:t>
      </w:r>
      <w:r>
        <w:rPr>
          <w:rStyle w:val="6"/>
          <w:rFonts w:hint="eastAsia" w:ascii="仿宋" w:hAnsi="仿宋" w:eastAsia="仿宋" w:cs="仿宋"/>
          <w:sz w:val="24"/>
          <w:u w:val="single" w:color="FF0000"/>
        </w:rPr>
        <w:t xml:space="preserve">2024年    月  </w:t>
      </w:r>
      <w:r>
        <w:rPr>
          <w:rStyle w:val="6"/>
          <w:rFonts w:hint="eastAsia" w:ascii="仿宋" w:hAnsi="仿宋" w:eastAsia="仿宋" w:cs="仿宋"/>
          <w:sz w:val="24"/>
          <w:u w:val="single" w:color="0000FF"/>
        </w:rPr>
        <w:t xml:space="preserve">  </w:t>
      </w:r>
      <w:r>
        <w:rPr>
          <w:rStyle w:val="6"/>
          <w:rFonts w:hint="eastAsia" w:ascii="仿宋" w:hAnsi="仿宋" w:eastAsia="仿宋" w:cs="仿宋"/>
          <w:sz w:val="24"/>
          <w:u w:val="single" w:color="FF0000"/>
        </w:rPr>
        <w:t>日</w:t>
      </w:r>
    </w:p>
    <w:p w14:paraId="07184942">
      <w:pPr>
        <w:tabs>
          <w:tab w:val="left" w:pos="1155"/>
        </w:tabs>
        <w:spacing w:line="460" w:lineRule="auto"/>
        <w:ind w:firstLine="48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2.3成交单位未征得采购单位同意和谅解而单方面延迟工期，将按违约终止合同。</w:t>
      </w:r>
    </w:p>
    <w:p w14:paraId="1A143D9D">
      <w:pPr>
        <w:tabs>
          <w:tab w:val="left" w:pos="1155"/>
        </w:tabs>
        <w:spacing w:line="460" w:lineRule="auto"/>
        <w:ind w:firstLine="48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2.4成交单位遇到可能妨碍按期完工的情况时，须及时以书面形式通知采购单位，说明原由、拖延的期限等；采购单位、采购代理机构在收到通知后，尽快进行情况评估并确定是否通过修改合同，酌情延长工期时间或者通过协商加收误期赔偿金。</w:t>
      </w:r>
    </w:p>
    <w:p w14:paraId="357076EF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3.合同价款：</w:t>
      </w:r>
      <w:r>
        <w:rPr>
          <w:rStyle w:val="6"/>
          <w:rFonts w:hint="eastAsia" w:ascii="仿宋" w:hAnsi="仿宋" w:eastAsia="仿宋" w:cs="仿宋"/>
          <w:sz w:val="24"/>
        </w:rPr>
        <w:t>固定综合单价。</w:t>
      </w:r>
    </w:p>
    <w:p w14:paraId="46767CFF">
      <w:pPr>
        <w:pStyle w:val="7"/>
        <w:spacing w:line="461" w:lineRule="auto"/>
        <w:jc w:val="both"/>
        <w:rPr>
          <w:rStyle w:val="6"/>
          <w:rFonts w:ascii="仿宋" w:hAnsi="仿宋" w:eastAsia="仿宋" w:cs="仿宋"/>
          <w:color w:val="auto"/>
          <w:sz w:val="24"/>
        </w:rPr>
      </w:pPr>
      <w:r>
        <w:rPr>
          <w:rStyle w:val="6"/>
          <w:rFonts w:hint="eastAsia" w:ascii="仿宋" w:hAnsi="仿宋" w:eastAsia="仿宋" w:cs="仿宋"/>
          <w:color w:val="auto"/>
          <w:sz w:val="24"/>
        </w:rPr>
        <w:t>本项目投标价款：大写：</w:t>
      </w:r>
    </w:p>
    <w:p w14:paraId="7E1933C7">
      <w:pPr>
        <w:pStyle w:val="7"/>
        <w:spacing w:line="461" w:lineRule="auto"/>
        <w:jc w:val="both"/>
        <w:rPr>
          <w:rStyle w:val="6"/>
          <w:rFonts w:ascii="仿宋" w:hAnsi="仿宋" w:eastAsia="仿宋" w:cs="仿宋"/>
          <w:color w:val="auto"/>
          <w:sz w:val="24"/>
        </w:rPr>
      </w:pPr>
      <w:r>
        <w:rPr>
          <w:rStyle w:val="6"/>
          <w:rFonts w:hint="eastAsia" w:ascii="仿宋" w:hAnsi="仿宋" w:eastAsia="仿宋" w:cs="仿宋"/>
          <w:color w:val="auto"/>
          <w:sz w:val="24"/>
        </w:rPr>
        <w:t>（¥：        元）</w:t>
      </w:r>
    </w:p>
    <w:p w14:paraId="4A014FF5">
      <w:pPr>
        <w:pStyle w:val="7"/>
        <w:jc w:val="both"/>
        <w:rPr>
          <w:rStyle w:val="6"/>
          <w:rFonts w:ascii="仿宋" w:hAnsi="仿宋" w:eastAsia="仿宋" w:cs="仿宋"/>
          <w:color w:val="auto"/>
          <w:sz w:val="24"/>
        </w:rPr>
      </w:pPr>
      <w:r>
        <w:rPr>
          <w:rStyle w:val="6"/>
          <w:rFonts w:hint="eastAsia" w:ascii="仿宋" w:hAnsi="仿宋" w:eastAsia="仿宋" w:cs="仿宋"/>
          <w:color w:val="auto"/>
          <w:sz w:val="24"/>
        </w:rPr>
        <w:t>中标价款：大写：          （¥：        元）</w:t>
      </w:r>
    </w:p>
    <w:p w14:paraId="260DFB9B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4.工程技术资料</w:t>
      </w:r>
      <w:r>
        <w:rPr>
          <w:rStyle w:val="6"/>
          <w:rFonts w:hint="eastAsia" w:ascii="仿宋" w:hAnsi="仿宋" w:eastAsia="仿宋" w:cs="仿宋"/>
          <w:sz w:val="24"/>
        </w:rPr>
        <w:t>：即国家主管部门的批文、行业监管部门的许可、工程勘察设计资料、工程施工图纸等。</w:t>
      </w:r>
    </w:p>
    <w:p w14:paraId="4E64D3B9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5.知识产权</w:t>
      </w:r>
      <w:r>
        <w:rPr>
          <w:rStyle w:val="6"/>
          <w:rFonts w:hint="eastAsia" w:ascii="仿宋" w:hAnsi="仿宋" w:eastAsia="仿宋" w:cs="仿宋"/>
          <w:sz w:val="24"/>
        </w:rPr>
        <w:t>：即成交单位在提供施工技术、工程材料、工程设备等时，对涉及任何有关知识产权的法律诉讼承担全责。</w:t>
      </w:r>
    </w:p>
    <w:p w14:paraId="4F7248FF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b/>
          <w:sz w:val="24"/>
          <w:u w:val="thick" w:color="000000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6.工程施工的配合与责任</w:t>
      </w:r>
    </w:p>
    <w:p w14:paraId="2A5200D9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6.1采购单位的责任：</w:t>
      </w:r>
      <w:r>
        <w:rPr>
          <w:rStyle w:val="6"/>
          <w:rFonts w:hint="eastAsia" w:ascii="仿宋" w:hAnsi="仿宋" w:eastAsia="仿宋" w:cs="仿宋"/>
          <w:sz w:val="24"/>
          <w:u w:val="single" w:color="000000"/>
        </w:rPr>
        <w:t xml:space="preserve">                   /                     </w:t>
      </w:r>
      <w:r>
        <w:rPr>
          <w:rStyle w:val="6"/>
          <w:rFonts w:hint="eastAsia" w:ascii="仿宋" w:hAnsi="仿宋" w:eastAsia="仿宋" w:cs="仿宋"/>
          <w:sz w:val="24"/>
        </w:rPr>
        <w:t>。</w:t>
      </w:r>
    </w:p>
    <w:p w14:paraId="6BCA744A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6.2成交单位的责任：</w:t>
      </w:r>
      <w:r>
        <w:rPr>
          <w:rStyle w:val="6"/>
          <w:rFonts w:hint="eastAsia" w:ascii="仿宋" w:hAnsi="仿宋" w:eastAsia="仿宋" w:cs="仿宋"/>
          <w:sz w:val="24"/>
          <w:u w:val="single" w:color="000000"/>
        </w:rPr>
        <w:t xml:space="preserve">准确及时的支持和配合采购和监理单位的各项工作                  </w:t>
      </w:r>
    </w:p>
    <w:p w14:paraId="7EE67128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6.3监理单位的责任：</w:t>
      </w:r>
      <w:r>
        <w:rPr>
          <w:rStyle w:val="6"/>
          <w:rFonts w:hint="eastAsia" w:ascii="仿宋" w:hAnsi="仿宋" w:eastAsia="仿宋" w:cs="仿宋"/>
          <w:sz w:val="24"/>
          <w:u w:val="single" w:color="000000"/>
        </w:rPr>
        <w:t xml:space="preserve">                 /                       </w:t>
      </w:r>
      <w:r>
        <w:rPr>
          <w:rStyle w:val="6"/>
          <w:rFonts w:hint="eastAsia" w:ascii="仿宋" w:hAnsi="仿宋" w:eastAsia="仿宋" w:cs="仿宋"/>
          <w:sz w:val="24"/>
        </w:rPr>
        <w:t>。</w:t>
      </w:r>
    </w:p>
    <w:p w14:paraId="0C153BF5">
      <w:pPr>
        <w:tabs>
          <w:tab w:val="left" w:pos="1155"/>
        </w:tabs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7．施工的组织</w:t>
      </w:r>
    </w:p>
    <w:p w14:paraId="7919B9EA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7.1施工现场各方委派总责任人的职责和具体委派办法。</w:t>
      </w:r>
    </w:p>
    <w:p w14:paraId="3E68AA47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7.2安全施工保障措施及安全责任。</w:t>
      </w:r>
    </w:p>
    <w:p w14:paraId="56DF0F1F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7.3开工、延期开工手续与开工确认。</w:t>
      </w:r>
    </w:p>
    <w:p w14:paraId="649BBB52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7.4暂停施工的原由、期限、再复工的确认及费用承担。</w:t>
      </w:r>
    </w:p>
    <w:p w14:paraId="7D225615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7.5非正常情况下，工期可顺延的因素和确认条件。</w:t>
      </w:r>
    </w:p>
    <w:p w14:paraId="09BB8E2B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7.6工期奖罚条件。</w:t>
      </w:r>
    </w:p>
    <w:p w14:paraId="3E473CA0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7.7项目施工进展计划。</w:t>
      </w:r>
    </w:p>
    <w:p w14:paraId="219F521F">
      <w:pPr>
        <w:tabs>
          <w:tab w:val="left" w:pos="1155"/>
        </w:tabs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7.8施工现场管理办法。</w:t>
      </w:r>
    </w:p>
    <w:p w14:paraId="6511A7C9">
      <w:pPr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8.工程质量保证</w:t>
      </w:r>
    </w:p>
    <w:p w14:paraId="0277CAEC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8.1成交单位须按照国家颁布的施工规范和本工程设计图纸进行施工，接受采购单位及其代理人的监督检查，并承担不合格工程的返工施工及费用。因返工耽误的工期不得顺延。</w:t>
      </w:r>
    </w:p>
    <w:p w14:paraId="1FC1B77B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8.2对工程施工质量出现争议的，须由质量监督部门进行认定。责任方承担认定费用，并对造成的其他损失给予相应的补偿。</w:t>
      </w:r>
    </w:p>
    <w:p w14:paraId="5BF194F8">
      <w:pPr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9.工程材料设备供应</w:t>
      </w:r>
    </w:p>
    <w:p w14:paraId="0EC03E6F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9.1由采购单位供应的材料设备，由采购单位提供清单，运达协商确定的地点，并在24小时前通知成交单位验收。</w:t>
      </w:r>
    </w:p>
    <w:p w14:paraId="63D59E42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9.2由成交单位自供的材料设备，由成交单位提供清单，运达指定地点，并在到货24小时内通知采购方代表或监理验收。</w:t>
      </w:r>
    </w:p>
    <w:p w14:paraId="485B37EE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9.3由于工程建设的需要，经采购单位同意后，可以对相应的材料进行调整，并协商确定价格差额计算方法和负担办法。</w:t>
      </w:r>
    </w:p>
    <w:p w14:paraId="3E3ADD3C">
      <w:pPr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10.工程设计的变更</w:t>
      </w:r>
    </w:p>
    <w:p w14:paraId="352DD79C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10.1工程设计变更的内容与审批手续要合理有效。</w:t>
      </w:r>
    </w:p>
    <w:p w14:paraId="5FC29E0F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10.2工程设计变更后的工程价款的计算由承包方提出，建设方确认。</w:t>
      </w:r>
    </w:p>
    <w:p w14:paraId="667E67F6">
      <w:pPr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11.竣工验收与质保期</w:t>
      </w:r>
    </w:p>
    <w:p w14:paraId="7DED5829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11.1竣工须达到的标准和具备工程验收的条件。</w:t>
      </w:r>
    </w:p>
    <w:p w14:paraId="25E6579E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11.2工程验收规范、标准，验收的组织实施。</w:t>
      </w:r>
    </w:p>
    <w:p w14:paraId="5B9B062E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11.3工程验收合格须移交的工程资料和竣工图纸等。</w:t>
      </w:r>
    </w:p>
    <w:p w14:paraId="7CBA845F">
      <w:pPr>
        <w:spacing w:line="460" w:lineRule="auto"/>
        <w:ind w:firstLine="470"/>
        <w:rPr>
          <w:rStyle w:val="6"/>
          <w:rFonts w:ascii="仿宋" w:hAnsi="仿宋" w:eastAsia="仿宋" w:cs="仿宋"/>
          <w:sz w:val="24"/>
        </w:rPr>
      </w:pPr>
      <w:r>
        <w:rPr>
          <w:rStyle w:val="6"/>
          <w:rFonts w:hint="eastAsia" w:ascii="仿宋" w:hAnsi="仿宋" w:eastAsia="仿宋" w:cs="仿宋"/>
          <w:sz w:val="24"/>
        </w:rPr>
        <w:t>11.4工程质保期为2年。</w:t>
      </w:r>
    </w:p>
    <w:p w14:paraId="0999C998">
      <w:pPr>
        <w:spacing w:line="460" w:lineRule="auto"/>
        <w:rPr>
          <w:rStyle w:val="6"/>
          <w:rFonts w:ascii="仿宋" w:hAnsi="仿宋" w:eastAsia="仿宋" w:cs="仿宋"/>
          <w:b/>
          <w:sz w:val="24"/>
        </w:rPr>
      </w:pPr>
      <w:r>
        <w:rPr>
          <w:rStyle w:val="6"/>
          <w:rFonts w:hint="eastAsia" w:ascii="仿宋" w:hAnsi="仿宋" w:eastAsia="仿宋" w:cs="仿宋"/>
          <w:b/>
          <w:sz w:val="24"/>
        </w:rPr>
        <w:t>12.款项结算：</w:t>
      </w:r>
    </w:p>
    <w:p w14:paraId="7C6F57AE">
      <w:pPr>
        <w:pStyle w:val="3"/>
        <w:spacing w:line="360" w:lineRule="auto"/>
        <w:ind w:firstLine="360" w:firstLineChars="15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</w:rPr>
        <w:t>付款方式：</w:t>
      </w:r>
      <w:r>
        <w:rPr>
          <w:rFonts w:ascii="仿宋" w:hAnsi="仿宋" w:eastAsia="仿宋" w:cs="仿宋"/>
          <w:color w:val="auto"/>
          <w:sz w:val="24"/>
        </w:rPr>
        <w:t>签订合同前向学校缴纳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8</w:t>
      </w:r>
      <w:r>
        <w:rPr>
          <w:rFonts w:ascii="仿宋" w:hAnsi="仿宋" w:eastAsia="仿宋" w:cs="仿宋"/>
          <w:color w:val="auto"/>
          <w:sz w:val="24"/>
        </w:rPr>
        <w:t>%的履约保证金，</w:t>
      </w:r>
      <w:r>
        <w:rPr>
          <w:rFonts w:ascii="仿宋" w:hAnsi="仿宋" w:eastAsia="仿宋" w:cs="仿宋"/>
          <w:sz w:val="24"/>
        </w:rPr>
        <w:t>合同签订后采购人支付40%合同金额的预付款。工程完工经学校验收合格后支付20%工程款，经工程审计，支付至审定价的100%。</w:t>
      </w:r>
    </w:p>
    <w:p w14:paraId="275613AE">
      <w:pPr>
        <w:pStyle w:val="3"/>
        <w:spacing w:line="360" w:lineRule="auto"/>
        <w:ind w:firstLine="360" w:firstLineChars="15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履约保证金基本要求：供应商成交后凭成交通知书向采购人缴纳成交金额的</w:t>
      </w:r>
      <w:r>
        <w:rPr>
          <w:rStyle w:val="6"/>
          <w:rFonts w:hint="eastAsia" w:ascii="仿宋" w:hAnsi="仿宋" w:eastAsia="仿宋" w:cs="仿宋"/>
          <w:sz w:val="24"/>
          <w:highlight w:val="none"/>
          <w:lang w:val="en-US" w:eastAsia="zh-CN"/>
        </w:rPr>
        <w:t>8</w:t>
      </w:r>
      <w:r>
        <w:rPr>
          <w:rStyle w:val="6"/>
          <w:rFonts w:hint="eastAsia" w:ascii="仿宋" w:hAnsi="仿宋" w:eastAsia="仿宋" w:cs="仿宋"/>
          <w:sz w:val="24"/>
          <w:highlight w:val="none"/>
        </w:rPr>
        <w:t>%作为履约保证金</w:t>
      </w:r>
      <w:r>
        <w:rPr>
          <w:rStyle w:val="6"/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3EE400C3">
      <w:pPr>
        <w:spacing w:line="460" w:lineRule="auto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b/>
          <w:sz w:val="24"/>
          <w:highlight w:val="none"/>
        </w:rPr>
        <w:t>13.合同争议的解决：</w:t>
      </w:r>
      <w:r>
        <w:rPr>
          <w:rStyle w:val="6"/>
          <w:rFonts w:hint="eastAsia" w:ascii="仿宋" w:hAnsi="仿宋" w:eastAsia="仿宋" w:cs="仿宋"/>
          <w:sz w:val="24"/>
          <w:highlight w:val="none"/>
        </w:rPr>
        <w:t>合同执行中发生争议的，当事人双方须协商解决，协商达不成一致时，可向工程所在地人民法院提请诉讼。</w:t>
      </w:r>
    </w:p>
    <w:p w14:paraId="62684E21">
      <w:pPr>
        <w:tabs>
          <w:tab w:val="left" w:pos="1155"/>
        </w:tabs>
        <w:spacing w:line="360" w:lineRule="auto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14.在发生不可抗力情况下导致的费用，发、承包双方应按09清单计价规则中规定的原则分别承担，并调整工程价款。</w:t>
      </w:r>
    </w:p>
    <w:p w14:paraId="6FB32D1E">
      <w:pPr>
        <w:tabs>
          <w:tab w:val="left" w:pos="1155"/>
        </w:tabs>
        <w:spacing w:line="360" w:lineRule="auto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15.合同一经签订，不得擅自变更、中止或者终止合同。对确需变更、调整或者中止、终止合同的，须按规定履行相应的手续。</w:t>
      </w:r>
    </w:p>
    <w:p w14:paraId="260B24FF">
      <w:pPr>
        <w:spacing w:line="360" w:lineRule="auto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16.违约责任：依据《中华人民共和国民法典》、《中华人民共和国政府采购法》的相关条款规定和本合同约定，成交单位未全面履行合同义务或者发生违约，采购单位会同采购代理机构有权终止合同，依法向成交单位进行经济索赔，并报请政府采购监管机关依法进行相应的行政处罚。采购单位违约的，须赔偿成交单位的经济损失。</w:t>
      </w:r>
    </w:p>
    <w:p w14:paraId="2AD03F2D">
      <w:pPr>
        <w:spacing w:line="360" w:lineRule="auto"/>
        <w:jc w:val="left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17.其他：承包方负有以下责任事项：</w:t>
      </w:r>
    </w:p>
    <w:p w14:paraId="3F157B74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17.1在施工期间负责与住建、规划、城管、环保等政府部门的协调沟通，办理相关手续，所需费用由中标人承担。</w:t>
      </w:r>
    </w:p>
    <w:p w14:paraId="1AA593F5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17.2负责施工期间使用的水、电线路、围栏和防护设施等；并提供施工用电、用水计划，水电费用提前与学校动力部门对接，安装水电表进行计量。</w:t>
      </w:r>
    </w:p>
    <w:p w14:paraId="7C8EC524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17.3遵守学校对施工场地交通、卫生和施工噪音管理规定。</w:t>
      </w:r>
    </w:p>
    <w:p w14:paraId="354E7C96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17.4在工程未交付使用之前，承包人负责已完成工程的成品保护工作，保护期间发生损坏，由承包人负责修复。</w:t>
      </w:r>
    </w:p>
    <w:p w14:paraId="0B459BF9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17.5做好施工场地内的管线和构筑物的成品保护工作；损坏时由承包人负责修复。</w:t>
      </w:r>
    </w:p>
    <w:p w14:paraId="214D6AE9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17.6保证施工现场清洁符合文明工地有关规定，交工前清理现场达无污染，现场无建筑垃圾；承担因此而造成的损失和罚款。</w:t>
      </w:r>
    </w:p>
    <w:p w14:paraId="29CCDAB6">
      <w:pPr>
        <w:spacing w:line="336" w:lineRule="auto"/>
        <w:ind w:firstLine="480" w:firstLineChars="200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17.7组织施工人员进行施工安全、防火、防盗安全交底等，指定专人负责施工现场安全工作，承担因此而造成的损失和罚款。</w:t>
      </w:r>
    </w:p>
    <w:p w14:paraId="573BB0E7">
      <w:pPr>
        <w:spacing w:line="336" w:lineRule="auto"/>
        <w:ind w:firstLine="480" w:firstLineChars="200"/>
        <w:rPr>
          <w:rStyle w:val="6"/>
          <w:rFonts w:hint="eastAsia"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sz w:val="24"/>
          <w:highlight w:val="none"/>
        </w:rPr>
        <w:t>17.8</w:t>
      </w:r>
      <w:r>
        <w:rPr>
          <w:rStyle w:val="6"/>
          <w:rFonts w:hint="eastAsia" w:ascii="仿宋" w:eastAsia="仿宋" w:cs="仿宋"/>
          <w:sz w:val="24"/>
          <w:highlight w:val="none"/>
        </w:rPr>
        <w:t>要充分考虑天气因素、设备保护、高空作业、噪音干扰等诸多因素对</w:t>
      </w:r>
      <w:r>
        <w:rPr>
          <w:rStyle w:val="6"/>
          <w:rFonts w:hint="eastAsia" w:ascii="仿宋" w:hAnsi="仿宋" w:eastAsia="仿宋" w:cs="仿宋"/>
          <w:sz w:val="24"/>
          <w:highlight w:val="none"/>
        </w:rPr>
        <w:t>施工的影响。</w:t>
      </w:r>
    </w:p>
    <w:p w14:paraId="4F76F7AD">
      <w:pPr>
        <w:spacing w:line="336" w:lineRule="auto"/>
        <w:ind w:firstLine="480" w:firstLineChars="200"/>
      </w:pPr>
      <w:r>
        <w:rPr>
          <w:rStyle w:val="6"/>
          <w:rFonts w:hint="eastAsia" w:ascii="仿宋" w:hAnsi="仿宋" w:eastAsia="仿宋" w:cs="仿宋"/>
          <w:sz w:val="24"/>
          <w:highlight w:val="none"/>
          <w:lang w:val="en-US" w:eastAsia="zh-CN"/>
        </w:rPr>
        <w:t>17.9在加固过程中，不得影响原建筑物的正常使用。</w:t>
      </w:r>
    </w:p>
    <w:p w14:paraId="79E7436B">
      <w:pPr>
        <w:pStyle w:val="3"/>
        <w:spacing w:line="336" w:lineRule="auto"/>
        <w:rPr>
          <w:rStyle w:val="6"/>
          <w:rFonts w:ascii="仿宋" w:hAnsi="仿宋" w:eastAsia="仿宋" w:cs="仿宋"/>
          <w:sz w:val="24"/>
          <w:highlight w:val="none"/>
        </w:rPr>
      </w:pPr>
      <w:r>
        <w:rPr>
          <w:rStyle w:val="6"/>
          <w:rFonts w:hint="eastAsia" w:ascii="仿宋" w:hAnsi="仿宋" w:eastAsia="仿宋" w:cs="仿宋"/>
          <w:b/>
          <w:sz w:val="24"/>
          <w:highlight w:val="none"/>
        </w:rPr>
        <w:t>18.</w:t>
      </w:r>
      <w:r>
        <w:rPr>
          <w:rStyle w:val="6"/>
          <w:rFonts w:hint="eastAsia" w:ascii="仿宋" w:hAnsi="仿宋" w:eastAsia="仿宋" w:cs="仿宋"/>
          <w:sz w:val="24"/>
          <w:highlight w:val="none"/>
        </w:rPr>
        <w:t>本合同一式柒份，其中发包人执肆份，承包人执贰份，招标代理机构执壹份。各方签字盖章后生效，合同执行完毕自动失效。（合同的服务承诺则长期有效）。</w:t>
      </w:r>
    </w:p>
    <w:p w14:paraId="60358A56">
      <w:pPr>
        <w:pStyle w:val="3"/>
        <w:rPr>
          <w:rStyle w:val="6"/>
          <w:rFonts w:ascii="仿宋" w:hAnsi="仿宋" w:eastAsia="仿宋" w:cs="仿宋"/>
          <w:sz w:val="24"/>
        </w:rPr>
      </w:pPr>
    </w:p>
    <w:tbl>
      <w:tblPr>
        <w:tblStyle w:val="4"/>
        <w:tblW w:w="8424" w:type="dxa"/>
        <w:tblInd w:w="-1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31"/>
        <w:gridCol w:w="4393"/>
      </w:tblGrid>
      <w:tr w14:paraId="2B501E4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5" w:hRule="atLeast"/>
        </w:trPr>
        <w:tc>
          <w:tcPr>
            <w:tcW w:w="4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0B333D9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发包方（甲方）：西安科技大学</w:t>
            </w:r>
          </w:p>
          <w:p w14:paraId="1A900932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51CD2DCB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单位名称：（盖章）</w:t>
            </w:r>
          </w:p>
          <w:p w14:paraId="24E9D17E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20F82197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单位地址：</w:t>
            </w:r>
          </w:p>
          <w:p w14:paraId="231E937A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6F74A492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邮政编码：</w:t>
            </w:r>
          </w:p>
          <w:p w14:paraId="5973ADC4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2EB9B9CF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全权代表：</w:t>
            </w:r>
          </w:p>
          <w:p w14:paraId="380A3065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6090A2BB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电话：</w:t>
            </w:r>
          </w:p>
          <w:p w14:paraId="4A772D31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681209FF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开户银行：</w:t>
            </w:r>
          </w:p>
          <w:p w14:paraId="3FB11411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5E7DB99A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账号：</w:t>
            </w:r>
          </w:p>
        </w:tc>
        <w:tc>
          <w:tcPr>
            <w:tcW w:w="4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D2EA5E2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 xml:space="preserve">承包方（乙方）： </w:t>
            </w:r>
          </w:p>
          <w:p w14:paraId="1F899C41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06E06263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单位名称：（盖章）</w:t>
            </w:r>
          </w:p>
          <w:p w14:paraId="0798E32F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5C82FEEA">
            <w:pPr>
              <w:snapToGrid w:val="0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 xml:space="preserve">单位地址： </w:t>
            </w:r>
          </w:p>
          <w:p w14:paraId="3F371EC1">
            <w:pPr>
              <w:pStyle w:val="3"/>
              <w:rPr>
                <w:rFonts w:ascii="仿宋" w:hAnsi="仿宋" w:eastAsia="仿宋" w:cs="仿宋"/>
                <w:sz w:val="24"/>
              </w:rPr>
            </w:pPr>
          </w:p>
          <w:p w14:paraId="52DC4C37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 xml:space="preserve">邮政编码： </w:t>
            </w:r>
          </w:p>
          <w:p w14:paraId="7E13F6E9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 xml:space="preserve">法定代表人： </w:t>
            </w:r>
          </w:p>
          <w:p w14:paraId="65877942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2E67C279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被授权人：</w:t>
            </w:r>
          </w:p>
          <w:p w14:paraId="70C54A87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</w:p>
          <w:p w14:paraId="792E9298">
            <w:pPr>
              <w:snapToGrid w:val="0"/>
              <w:spacing w:line="380" w:lineRule="auto"/>
              <w:ind w:left="1200" w:hanging="1200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开户银行：</w:t>
            </w:r>
          </w:p>
          <w:p w14:paraId="62A154EA">
            <w:pPr>
              <w:pStyle w:val="3"/>
              <w:rPr>
                <w:rFonts w:ascii="仿宋" w:hAnsi="仿宋" w:eastAsia="仿宋" w:cs="仿宋"/>
                <w:sz w:val="24"/>
              </w:rPr>
            </w:pPr>
          </w:p>
          <w:p w14:paraId="6634D9CB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账号:</w:t>
            </w:r>
          </w:p>
        </w:tc>
      </w:tr>
      <w:tr w14:paraId="3A6E4D5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84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EB9B037">
            <w:pPr>
              <w:snapToGrid w:val="0"/>
              <w:spacing w:line="380" w:lineRule="auto"/>
              <w:rPr>
                <w:rStyle w:val="6"/>
                <w:rFonts w:ascii="仿宋" w:hAnsi="仿宋" w:eastAsia="仿宋" w:cs="仿宋"/>
                <w:sz w:val="24"/>
              </w:rPr>
            </w:pPr>
            <w:r>
              <w:rPr>
                <w:rStyle w:val="6"/>
                <w:rFonts w:hint="eastAsia" w:ascii="仿宋" w:hAnsi="仿宋" w:eastAsia="仿宋" w:cs="仿宋"/>
                <w:sz w:val="24"/>
              </w:rPr>
              <w:t>合同签订时间：2024年  月   日</w:t>
            </w:r>
          </w:p>
        </w:tc>
      </w:tr>
    </w:tbl>
    <w:p w14:paraId="095B90A6">
      <w:pPr>
        <w:spacing w:line="360" w:lineRule="auto"/>
        <w:jc w:val="center"/>
        <w:rPr>
          <w:rStyle w:val="6"/>
          <w:rFonts w:hint="eastAsia" w:ascii="仿宋" w:hAnsi="仿宋" w:eastAsia="仿宋" w:cs="仿宋"/>
          <w:b/>
          <w:sz w:val="40"/>
          <w:szCs w:val="40"/>
        </w:rPr>
      </w:pPr>
    </w:p>
    <w:p w14:paraId="1DB44E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桫.豬..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8A7D99"/>
    <w:multiLevelType w:val="singleLevel"/>
    <w:tmpl w:val="E68A7D9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1MGVhMzNhOGJlY2JhYTlmNTJiOTEwZjc2ZWExZGUifQ=="/>
  </w:docVars>
  <w:rsids>
    <w:rsidRoot w:val="5BCB1E5E"/>
    <w:rsid w:val="097709D4"/>
    <w:rsid w:val="54A21152"/>
    <w:rsid w:val="58CE6901"/>
    <w:rsid w:val="5BCB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character" w:customStyle="1" w:styleId="6">
    <w:name w:val="NormalCharacter"/>
    <w:qFormat/>
    <w:uiPriority w:val="0"/>
    <w:rPr>
      <w:kern w:val="2"/>
      <w:sz w:val="21"/>
      <w:szCs w:val="24"/>
      <w:lang w:val="en-US" w:eastAsia="zh-CN" w:bidi="ar-SA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桫.豬.." w:hAnsi="Calibri" w:eastAsia="仿宋桫.豬.." w:cs="仿宋桫.豬..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2096</Words>
  <Characters>2229</Characters>
  <Lines>0</Lines>
  <Paragraphs>0</Paragraphs>
  <TotalTime>0</TotalTime>
  <ScaleCrop>false</ScaleCrop>
  <LinksUpToDate>false</LinksUpToDate>
  <CharactersWithSpaces>2383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2024-06-03T07:29:00Z</dcterms:created>
  <dc:creator>陕西中技招标有限公司</dc:creator>
  <cp:lastModifiedBy>陕西中技招标有限公司</cp:lastModifiedBy>
  <dcterms:modified xsi:type="dcterms:W3CDTF">2024-10-09T13:02:25Z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7A88C36C836D4478B3AC4BC20986071F_13</vt:lpwstr>
  </property>
</Properties>
</file>