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大型仪器设备2024至2025年度维修保险服务项目</w:t>
      </w:r>
    </w:p>
    <w:p>
      <w:pPr>
        <w:pStyle w:val="null3"/>
        <w:jc w:val="center"/>
        <w:outlineLvl w:val="2"/>
      </w:pPr>
      <w:r>
        <w:rPr>
          <w:sz w:val="28"/>
          <w:b/>
        </w:rPr>
        <w:t>采购项目编号：</w:t>
      </w:r>
      <w:r>
        <w:rPr>
          <w:sz w:val="28"/>
          <w:b/>
        </w:rPr>
        <w:t>SDZC2024-263</w:t>
      </w:r>
      <w:r>
        <w:br/>
      </w:r>
      <w:r>
        <w:br/>
      </w:r>
      <w:r>
        <w:br/>
      </w:r>
    </w:p>
    <w:p>
      <w:pPr>
        <w:pStyle w:val="null3"/>
        <w:jc w:val="center"/>
        <w:outlineLvl w:val="2"/>
      </w:pPr>
      <w:r>
        <w:rPr>
          <w:sz w:val="28"/>
          <w:b/>
        </w:rPr>
        <w:t>陕西科技大学</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2024年10月18日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陕西科技大学</w:t>
      </w:r>
      <w:r>
        <w:rPr/>
        <w:t>委托，拟对</w:t>
      </w:r>
      <w:r>
        <w:rPr/>
        <w:t>大型仪器设备2024至2025年度维修保险服务项目</w:t>
      </w:r>
      <w:r>
        <w:rPr/>
        <w:t>采用竞争性磋商采购方式进行采购，兹邀请供应商参加本项目的竞争性磋商。</w:t>
      </w:r>
    </w:p>
    <w:p>
      <w:pPr>
        <w:pStyle w:val="null3"/>
        <w:outlineLvl w:val="2"/>
      </w:pPr>
      <w:r>
        <w:rPr>
          <w:sz w:val="28"/>
          <w:b/>
        </w:rPr>
        <w:t>一、项目编号：</w:t>
      </w:r>
      <w:r>
        <w:rPr>
          <w:sz w:val="28"/>
          <w:b/>
        </w:rPr>
        <w:t>SDZC2024-263</w:t>
      </w:r>
    </w:p>
    <w:p>
      <w:pPr>
        <w:pStyle w:val="null3"/>
        <w:outlineLvl w:val="2"/>
      </w:pPr>
      <w:r>
        <w:rPr>
          <w:sz w:val="28"/>
          <w:b/>
        </w:rPr>
        <w:t>二、项目名称：</w:t>
      </w:r>
      <w:r>
        <w:rPr>
          <w:sz w:val="28"/>
          <w:b/>
        </w:rPr>
        <w:t>大型仪器设备2024至2025年度维修保险服务项目</w:t>
      </w:r>
    </w:p>
    <w:p>
      <w:pPr>
        <w:pStyle w:val="null3"/>
        <w:outlineLvl w:val="2"/>
      </w:pPr>
      <w:r>
        <w:rPr>
          <w:sz w:val="28"/>
          <w:b/>
        </w:rPr>
        <w:t>三、磋商项目简介</w:t>
      </w:r>
    </w:p>
    <w:p>
      <w:pPr>
        <w:pStyle w:val="null3"/>
        <w:ind w:firstLine="480"/>
      </w:pPr>
      <w:r>
        <w:rPr/>
        <w:t>大型仪器设备2024至2025年度维修保险服务项目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3、税收缴纳证明：税收缴纳证明:提供截止至开标时间前一年内任意一个月的税收缴纳凭据；（增值税、企业所得税至少提供一种，依法免税的供应商应提供相关文件证明）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书面说明及承诺，加盖供应商公章）：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书面声明，加盖供应商公章）：提供参加政府采购活动前三年内在经营活动中没有重大违法记录的书面声明。（提供书面声明，加盖供应商公章）</w:t>
      </w:r>
    </w:p>
    <w:p>
      <w:pPr>
        <w:pStyle w:val="null3"/>
      </w:pPr>
      <w:r>
        <w:rPr/>
        <w:t>7、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8、磋商保证金交纳凭证或担保函；（磋商保证交纳金凭证为银行凭证及基本账户证明资料，担保函为财政部门认可的政府采购信用担保机构出具）：磋商保证金交纳凭证或担保函；（磋商保证交纳金凭证为银行凭证及基本账户证明资料，担保函为财政部门认可的政府采购信用担保机构出具）</w:t>
      </w:r>
    </w:p>
    <w:p>
      <w:pPr>
        <w:pStyle w:val="null3"/>
      </w:pPr>
      <w:r>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陕西科技大学</w:t>
      </w:r>
    </w:p>
    <w:p>
      <w:pPr>
        <w:pStyle w:val="null3"/>
      </w:pPr>
      <w:r>
        <w:rPr/>
        <w:t xml:space="preserve"> 地址： </w:t>
      </w:r>
      <w:r>
        <w:rPr/>
        <w:t>陕西科技大学</w:t>
      </w:r>
    </w:p>
    <w:p>
      <w:pPr>
        <w:pStyle w:val="null3"/>
      </w:pPr>
      <w:r>
        <w:rPr/>
        <w:t xml:space="preserve"> 邮编： </w:t>
      </w:r>
      <w:r>
        <w:rPr/>
        <w:t>西安市未央大学园区</w:t>
      </w:r>
    </w:p>
    <w:p>
      <w:pPr>
        <w:pStyle w:val="null3"/>
      </w:pPr>
      <w:r>
        <w:rPr/>
        <w:t xml:space="preserve"> 联系人： </w:t>
      </w:r>
      <w:r>
        <w:rPr/>
        <w:t>陕西科技大学</w:t>
      </w:r>
    </w:p>
    <w:p>
      <w:pPr>
        <w:pStyle w:val="null3"/>
      </w:pPr>
      <w:r>
        <w:rPr/>
        <w:t xml:space="preserve"> 联系电话： </w:t>
      </w:r>
      <w:r>
        <w:rPr/>
        <w:t>029-86168378</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 座7 层703（张家堡转盘东南角）</w:t>
      </w:r>
    </w:p>
    <w:p>
      <w:pPr>
        <w:pStyle w:val="null3"/>
      </w:pPr>
      <w:r>
        <w:rPr/>
        <w:t xml:space="preserve"> 邮编： </w:t>
      </w:r>
      <w:r>
        <w:rPr/>
        <w:t>710018</w:t>
      </w:r>
    </w:p>
    <w:p>
      <w:pPr>
        <w:pStyle w:val="null3"/>
      </w:pPr>
      <w:r>
        <w:rPr/>
        <w:t xml:space="preserve"> 联系人： </w:t>
      </w:r>
      <w:r>
        <w:rPr/>
        <w:t>黄诗末</w:t>
      </w:r>
    </w:p>
    <w:p>
      <w:pPr>
        <w:pStyle w:val="null3"/>
      </w:pPr>
      <w:r>
        <w:rPr/>
        <w:t xml:space="preserve"> 联系电话： </w:t>
      </w:r>
      <w:r>
        <w:rPr/>
        <w:t>029-86673953/86518381转8007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采购包1保证金金额：14,000.00元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 1151 0000 0135 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说明：签订合同前，成交供应商应向采购人缴纳成交金额5%的履约保证金。项目验收合格后，甲方一次性无息退还5%的履约保证金给乙方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下浮35%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陕西科技大学</w:t>
      </w:r>
      <w:r>
        <w:rPr/>
        <w:t>和</w:t>
      </w:r>
      <w:r>
        <w:rPr/>
        <w:t>陕西上德招标有限公司</w:t>
      </w:r>
      <w:r>
        <w:rPr/>
        <w:t>享有。对磋商文件中供应商参加本次政府采购活动应当具备的条件，磋商项目技术、服务、商务及其他要求，评审细则及标准由</w:t>
      </w:r>
      <w:r>
        <w:rPr/>
        <w:t>陕西科技大学</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详见磋商文件及合同条款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联系人：黄诗末</w:t>
      </w:r>
    </w:p>
    <w:p>
      <w:pPr>
        <w:pStyle w:val="null3"/>
      </w:pPr>
      <w:r>
        <w:rPr/>
        <w:t>联系电话：029-86673953、029-86518381、029-89299829、029-89293231 转8007</w:t>
      </w:r>
    </w:p>
    <w:p>
      <w:pPr>
        <w:pStyle w:val="null3"/>
      </w:pPr>
      <w:r>
        <w:rPr/>
        <w:t>地址：陕西上德招标有限公司（西安市经开区凤城八路正尚国际金融广场A座7层703（张家堡转盘东南角））</w:t>
      </w:r>
    </w:p>
    <w:p>
      <w:pPr>
        <w:pStyle w:val="null3"/>
      </w:pPr>
      <w:r>
        <w:rPr/>
        <w:t>邮编：710021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大型仪器设备2024至2025年度维修保险服务项目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大型仪器设备维修保险服务</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标的名称：大型仪器设备维修保险服务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、服务地点：陕西科技大学指定地点</w:t>
            </w:r>
          </w:p>
          <w:p>
            <w:pPr>
              <w:pStyle w:val="null3"/>
              <w:jc w:val="both"/>
            </w:pPr>
            <w:r>
              <w:rPr>
                <w:rFonts w:ascii="宋体" w:hAnsi="宋体" w:cs="宋体" w:eastAsia="宋体"/>
                <w:sz w:val="24"/>
                <w:b/>
              </w:rPr>
              <w:t>二</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要求</w:t>
            </w:r>
          </w:p>
          <w:p>
            <w:pPr>
              <w:pStyle w:val="null3"/>
              <w:ind w:firstLine="480"/>
              <w:jc w:val="both"/>
            </w:pPr>
            <w:r>
              <w:rPr>
                <w:rFonts w:ascii="宋体" w:hAnsi="宋体" w:cs="宋体" w:eastAsia="宋体"/>
                <w:sz w:val="24"/>
              </w:rPr>
              <w:t>项目背景：</w:t>
            </w:r>
          </w:p>
          <w:p>
            <w:pPr>
              <w:pStyle w:val="null3"/>
              <w:ind w:firstLine="480"/>
              <w:jc w:val="both"/>
            </w:pPr>
            <w:r>
              <w:rPr>
                <w:rFonts w:ascii="宋体" w:hAnsi="宋体" w:cs="宋体" w:eastAsia="宋体"/>
                <w:sz w:val="24"/>
              </w:rPr>
              <w:t>本项目涉及</w:t>
            </w:r>
            <w:r>
              <w:rPr>
                <w:rFonts w:ascii="宋体" w:hAnsi="宋体" w:cs="宋体" w:eastAsia="宋体"/>
                <w:sz w:val="24"/>
              </w:rPr>
              <w:t>陕西科技大学</w:t>
            </w:r>
            <w:r>
              <w:rPr>
                <w:rFonts w:ascii="宋体" w:hAnsi="宋体" w:cs="宋体" w:eastAsia="宋体"/>
                <w:sz w:val="24"/>
              </w:rPr>
              <w:t>前沿科学与技术转移研究院</w:t>
            </w:r>
            <w:r>
              <w:rPr>
                <w:rFonts w:ascii="宋体" w:hAnsi="宋体" w:cs="宋体" w:eastAsia="宋体"/>
                <w:sz w:val="24"/>
              </w:rPr>
              <w:t>现代仪器分析中心（简称分析中心）</w:t>
            </w:r>
            <w:r>
              <w:rPr>
                <w:rFonts w:ascii="宋体" w:hAnsi="宋体" w:cs="宋体" w:eastAsia="宋体"/>
                <w:sz w:val="24"/>
              </w:rPr>
              <w:t>20台检测分析设备，总价值约</w:t>
            </w:r>
            <w:r>
              <w:rPr>
                <w:rFonts w:ascii="宋体" w:hAnsi="宋体" w:cs="宋体" w:eastAsia="宋体"/>
                <w:sz w:val="22"/>
              </w:rPr>
              <w:t>39255656.78</w:t>
            </w:r>
            <w:r>
              <w:rPr>
                <w:rFonts w:ascii="宋体" w:hAnsi="宋体" w:cs="宋体" w:eastAsia="宋体"/>
                <w:sz w:val="24"/>
              </w:rPr>
              <w:t>元（</w:t>
            </w:r>
            <w:r>
              <w:rPr>
                <w:rFonts w:ascii="宋体" w:hAnsi="宋体" w:cs="宋体" w:eastAsia="宋体"/>
                <w:sz w:val="24"/>
              </w:rPr>
              <w:t>见</w:t>
            </w:r>
            <w:r>
              <w:rPr>
                <w:rFonts w:ascii="宋体" w:hAnsi="宋体" w:cs="宋体" w:eastAsia="宋体"/>
                <w:sz w:val="24"/>
              </w:rPr>
              <w:t>“</w:t>
            </w:r>
            <w:r>
              <w:rPr>
                <w:rFonts w:ascii="宋体" w:hAnsi="宋体" w:cs="宋体" w:eastAsia="宋体"/>
                <w:sz w:val="24"/>
              </w:rPr>
              <w:t>需维保仪器清单</w:t>
            </w:r>
            <w:r>
              <w:rPr>
                <w:rFonts w:ascii="宋体" w:hAnsi="宋体" w:cs="宋体" w:eastAsia="宋体"/>
                <w:sz w:val="24"/>
              </w:rPr>
              <w:t>”</w:t>
            </w:r>
            <w:r>
              <w:rPr>
                <w:rFonts w:ascii="宋体" w:hAnsi="宋体" w:cs="宋体" w:eastAsia="宋体"/>
                <w:sz w:val="24"/>
              </w:rPr>
              <w:t>），分布于</w:t>
            </w:r>
            <w:r>
              <w:rPr>
                <w:rFonts w:ascii="宋体" w:hAnsi="宋体" w:cs="宋体" w:eastAsia="宋体"/>
                <w:sz w:val="24"/>
              </w:rPr>
              <w:t>现代仪器分析中心</w:t>
            </w:r>
            <w:r>
              <w:rPr>
                <w:rFonts w:ascii="宋体" w:hAnsi="宋体" w:cs="宋体" w:eastAsia="宋体"/>
                <w:sz w:val="24"/>
              </w:rPr>
              <w:t>各实验室。为实现设备故障快速维修、减少设备停机时间、提高检测准确率、保障检测任务的高效性和及时性，特寻求设备维护、维修服务商提供本项目要求的服务。</w:t>
            </w:r>
          </w:p>
          <w:p>
            <w:pPr>
              <w:pStyle w:val="null3"/>
              <w:ind w:firstLine="480"/>
              <w:jc w:val="both"/>
            </w:pPr>
            <w:r>
              <w:rPr>
                <w:rFonts w:ascii="宋体" w:hAnsi="宋体" w:cs="宋体" w:eastAsia="宋体"/>
                <w:sz w:val="24"/>
              </w:rPr>
              <w:t>服务内容：</w:t>
            </w:r>
          </w:p>
          <w:p>
            <w:pPr>
              <w:pStyle w:val="null3"/>
              <w:numPr>
                <w:ilvl w:val="0"/>
                <w:numId w:val="1"/>
              </w:numPr>
              <w:jc w:val="both"/>
            </w:pPr>
            <w:r>
              <w:rPr>
                <w:rFonts w:ascii="宋体" w:hAnsi="宋体" w:cs="宋体" w:eastAsia="宋体"/>
                <w:sz w:val="24"/>
              </w:rPr>
              <w:t>供应商应保证在完全</w:t>
            </w:r>
            <w:r>
              <w:rPr>
                <w:rFonts w:ascii="宋体" w:hAnsi="宋体" w:cs="宋体" w:eastAsia="宋体"/>
                <w:sz w:val="24"/>
              </w:rPr>
              <w:t>了解采购人的需求上完成本项目并提供详细的项目服方案。</w:t>
            </w:r>
          </w:p>
          <w:p>
            <w:pPr>
              <w:pStyle w:val="null3"/>
              <w:numPr>
                <w:ilvl w:val="0"/>
                <w:numId w:val="1"/>
              </w:numPr>
              <w:jc w:val="both"/>
            </w:pPr>
            <w:r>
              <w:rPr>
                <w:rFonts w:ascii="宋体" w:hAnsi="宋体" w:cs="宋体" w:eastAsia="宋体"/>
                <w:sz w:val="24"/>
              </w:rPr>
              <w:t>服务应包含所有原厂维修配件费及原厂工程师一切费用（不含日常耗材）及其他应有费用；每季度一次的上门巡访，在线故障排除；不定期对全部维保设备进行巡查检修，及时发现并解决问题。</w:t>
            </w:r>
          </w:p>
          <w:p>
            <w:pPr>
              <w:pStyle w:val="null3"/>
              <w:numPr>
                <w:ilvl w:val="0"/>
                <w:numId w:val="1"/>
              </w:numPr>
              <w:jc w:val="both"/>
            </w:pPr>
            <w:r>
              <w:rPr>
                <w:rFonts w:ascii="宋体" w:hAnsi="宋体" w:cs="宋体" w:eastAsia="宋体"/>
                <w:sz w:val="24"/>
              </w:rPr>
              <w:t>供应商针对此项目实施应成立售后服务项目小组，其成员应具备一定的专业</w:t>
            </w:r>
            <w:r>
              <w:rPr>
                <w:rFonts w:ascii="宋体" w:hAnsi="宋体" w:cs="宋体" w:eastAsia="宋体"/>
                <w:sz w:val="24"/>
              </w:rPr>
              <w:t>素质，同时还应提供其参与的维修案例。</w:t>
            </w:r>
          </w:p>
          <w:p>
            <w:pPr>
              <w:pStyle w:val="null3"/>
              <w:numPr>
                <w:ilvl w:val="0"/>
                <w:numId w:val="1"/>
              </w:numPr>
              <w:jc w:val="both"/>
            </w:pPr>
            <w:r>
              <w:rPr>
                <w:rFonts w:ascii="宋体" w:hAnsi="宋体" w:cs="宋体" w:eastAsia="宋体"/>
                <w:sz w:val="24"/>
              </w:rPr>
              <w:t>在合同履行期间内，财产一切险免赔额：每次事故绝对免赔额</w:t>
            </w:r>
            <w:r>
              <w:rPr>
                <w:rFonts w:ascii="宋体" w:hAnsi="宋体" w:cs="宋体" w:eastAsia="宋体"/>
                <w:sz w:val="24"/>
              </w:rPr>
              <w:t>2000元或损失额的10%，以高者为准；机器损坏险免赔额：每次事故绝对免赔额3000元</w:t>
            </w:r>
            <w:r>
              <w:rPr>
                <w:rFonts w:ascii="宋体" w:hAnsi="宋体" w:cs="宋体" w:eastAsia="宋体"/>
                <w:sz w:val="24"/>
              </w:rPr>
              <w:t>或</w:t>
            </w:r>
            <w:r>
              <w:rPr>
                <w:rFonts w:ascii="宋体" w:hAnsi="宋体" w:cs="宋体" w:eastAsia="宋体"/>
                <w:sz w:val="24"/>
              </w:rPr>
              <w:t>损失额的</w:t>
            </w:r>
            <w:r>
              <w:rPr>
                <w:rFonts w:ascii="宋体" w:hAnsi="宋体" w:cs="宋体" w:eastAsia="宋体"/>
                <w:sz w:val="24"/>
              </w:rPr>
              <w:t>20%，以高者为准。</w:t>
            </w:r>
          </w:p>
          <w:p>
            <w:pPr>
              <w:pStyle w:val="null3"/>
              <w:numPr>
                <w:ilvl w:val="0"/>
                <w:numId w:val="1"/>
              </w:numPr>
              <w:jc w:val="both"/>
            </w:pPr>
            <w:r>
              <w:rPr>
                <w:rFonts w:ascii="宋体" w:hAnsi="宋体" w:cs="宋体" w:eastAsia="宋体"/>
                <w:sz w:val="24"/>
              </w:rPr>
              <w:t>供应商提供拥有功能完善的</w:t>
            </w:r>
            <w:r>
              <w:rPr>
                <w:rFonts w:ascii="宋体" w:hAnsi="宋体" w:cs="宋体" w:eastAsia="宋体"/>
                <w:sz w:val="24"/>
              </w:rPr>
              <w:t>仪器</w:t>
            </w:r>
            <w:r>
              <w:rPr>
                <w:rFonts w:ascii="宋体" w:hAnsi="宋体" w:cs="宋体" w:eastAsia="宋体"/>
                <w:sz w:val="24"/>
              </w:rPr>
              <w:t>维保管理系统</w:t>
            </w:r>
            <w:r>
              <w:rPr>
                <w:rFonts w:ascii="宋体" w:hAnsi="宋体" w:cs="宋体" w:eastAsia="宋体"/>
                <w:sz w:val="24"/>
              </w:rPr>
              <w:t>平台</w:t>
            </w:r>
            <w:r>
              <w:rPr>
                <w:rFonts w:ascii="宋体" w:hAnsi="宋体" w:cs="宋体" w:eastAsia="宋体"/>
                <w:sz w:val="24"/>
              </w:rPr>
              <w:t>网站</w:t>
            </w:r>
            <w:r>
              <w:rPr>
                <w:rFonts w:ascii="宋体" w:hAnsi="宋体" w:cs="宋体" w:eastAsia="宋体"/>
                <w:sz w:val="24"/>
              </w:rPr>
              <w:t>及手机端</w:t>
            </w:r>
            <w:r>
              <w:rPr>
                <w:rFonts w:ascii="宋体" w:hAnsi="宋体" w:cs="宋体" w:eastAsia="宋体"/>
                <w:sz w:val="24"/>
              </w:rPr>
              <w:t>APP，采购人</w:t>
            </w:r>
            <w:r>
              <w:rPr>
                <w:rFonts w:ascii="宋体" w:hAnsi="宋体" w:cs="宋体" w:eastAsia="宋体"/>
                <w:sz w:val="24"/>
              </w:rPr>
              <w:t>以及仪器负责人员能够在整个维保维修过程中及时</w:t>
            </w:r>
            <w:r>
              <w:rPr>
                <w:rFonts w:ascii="宋体" w:hAnsi="宋体" w:cs="宋体" w:eastAsia="宋体"/>
                <w:sz w:val="24"/>
              </w:rPr>
              <w:t>查看包括但不仅限于维修进展、维修记录、维修结果和记录管理等信息。</w:t>
            </w:r>
          </w:p>
          <w:p>
            <w:pPr>
              <w:pStyle w:val="null3"/>
              <w:numPr>
                <w:ilvl w:val="0"/>
                <w:numId w:val="1"/>
              </w:numPr>
              <w:jc w:val="both"/>
            </w:pPr>
            <w:r>
              <w:rPr>
                <w:rFonts w:ascii="宋体" w:hAnsi="宋体" w:cs="宋体" w:eastAsia="宋体"/>
                <w:sz w:val="24"/>
              </w:rPr>
              <w:t>供应商提供客户服务专线电话：确保</w:t>
            </w:r>
            <w:r>
              <w:rPr>
                <w:rFonts w:ascii="宋体" w:hAnsi="宋体" w:cs="宋体" w:eastAsia="宋体"/>
                <w:sz w:val="24"/>
              </w:rPr>
              <w:t>24小时×365天有客服人员接听电话。</w:t>
            </w:r>
          </w:p>
          <w:p>
            <w:pPr>
              <w:pStyle w:val="null3"/>
              <w:numPr>
                <w:ilvl w:val="0"/>
                <w:numId w:val="1"/>
              </w:numPr>
              <w:ind w:right="75"/>
              <w:jc w:val="left"/>
            </w:pPr>
            <w:r>
              <w:rPr>
                <w:rFonts w:ascii="宋体" w:hAnsi="宋体" w:cs="宋体" w:eastAsia="宋体"/>
                <w:sz w:val="24"/>
              </w:rPr>
              <w:t>响应时间：收到服务诉求通知</w:t>
            </w:r>
            <w:r>
              <w:rPr>
                <w:rFonts w:ascii="宋体" w:hAnsi="宋体" w:cs="宋体" w:eastAsia="宋体"/>
                <w:sz w:val="24"/>
              </w:rPr>
              <w:t>2小时</w:t>
            </w:r>
            <w:r>
              <w:rPr>
                <w:rFonts w:ascii="宋体" w:hAnsi="宋体" w:cs="宋体" w:eastAsia="宋体"/>
                <w:sz w:val="24"/>
              </w:rPr>
              <w:t>内响应，工作时间</w:t>
            </w:r>
            <w:r>
              <w:rPr>
                <w:rFonts w:ascii="宋体" w:hAnsi="宋体" w:cs="宋体" w:eastAsia="宋体"/>
                <w:sz w:val="24"/>
              </w:rPr>
              <w:t>8小时内到达</w:t>
            </w:r>
            <w:r>
              <w:rPr>
                <w:rFonts w:ascii="宋体" w:hAnsi="宋体" w:cs="宋体" w:eastAsia="宋体"/>
                <w:sz w:val="24"/>
                <w:color w:val="000000"/>
              </w:rPr>
              <w:t>故障现场；原厂</w:t>
            </w:r>
            <w:r>
              <w:rPr>
                <w:rFonts w:ascii="宋体" w:hAnsi="宋体" w:cs="宋体" w:eastAsia="宋体"/>
                <w:sz w:val="24"/>
                <w:color w:val="000000"/>
              </w:rPr>
              <w:t>工程师</w:t>
            </w:r>
            <w:r>
              <w:rPr>
                <w:rFonts w:ascii="宋体" w:hAnsi="宋体" w:cs="宋体" w:eastAsia="宋体"/>
                <w:sz w:val="24"/>
                <w:color w:val="000000"/>
              </w:rPr>
              <w:t>在</w:t>
            </w:r>
            <w:r>
              <w:rPr>
                <w:rFonts w:ascii="宋体" w:hAnsi="宋体" w:cs="宋体" w:eastAsia="宋体"/>
                <w:sz w:val="24"/>
                <w:color w:val="000000"/>
              </w:rPr>
              <w:t>三</w:t>
            </w:r>
            <w:r>
              <w:rPr>
                <w:rFonts w:ascii="宋体" w:hAnsi="宋体" w:cs="宋体" w:eastAsia="宋体"/>
                <w:sz w:val="24"/>
                <w:color w:val="000000"/>
              </w:rPr>
              <w:t>个工作日内响应，</w:t>
            </w:r>
            <w:r>
              <w:rPr>
                <w:rFonts w:ascii="宋体" w:hAnsi="宋体" w:cs="宋体" w:eastAsia="宋体"/>
                <w:sz w:val="24"/>
                <w:color w:val="000000"/>
              </w:rPr>
              <w:t>五（十）</w:t>
            </w:r>
            <w:r>
              <w:rPr>
                <w:rFonts w:ascii="宋体" w:hAnsi="宋体" w:cs="宋体" w:eastAsia="宋体"/>
                <w:sz w:val="24"/>
                <w:color w:val="000000"/>
              </w:rPr>
              <w:t>个工作日</w:t>
            </w:r>
            <w:r>
              <w:rPr>
                <w:rFonts w:ascii="&quot;times new roman&quot;" w:hAnsi="&quot;times new roman&quot;" w:cs="&quot;times new roman&quot;" w:eastAsia="&quot;times new roman&quot;"/>
                <w:sz w:val="24"/>
                <w:color w:val="000000"/>
              </w:rPr>
              <w:t>(</w:t>
            </w:r>
            <w:r>
              <w:rPr>
                <w:rFonts w:ascii="宋体" w:hAnsi="宋体" w:cs="宋体" w:eastAsia="宋体"/>
                <w:sz w:val="24"/>
              </w:rPr>
              <w:t>（不含订购配件时间）</w:t>
            </w:r>
            <w:r>
              <w:rPr>
                <w:rFonts w:ascii="&quot;times new roman&quot;" w:hAnsi="&quot;times new roman&quot;" w:cs="&quot;times new roman&quot;" w:eastAsia="&quot;times new roman&quot;"/>
                <w:sz w:val="24"/>
                <w:color w:val="000000"/>
              </w:rPr>
              <w:t xml:space="preserve">) </w:t>
            </w:r>
            <w:r>
              <w:rPr>
                <w:rFonts w:ascii="宋体" w:hAnsi="宋体" w:cs="宋体" w:eastAsia="宋体"/>
                <w:sz w:val="24"/>
                <w:color w:val="000000"/>
              </w:rPr>
              <w:t>内到场开展工作</w:t>
            </w:r>
            <w:r>
              <w:rPr>
                <w:rFonts w:ascii="宋体" w:hAnsi="宋体" w:cs="宋体" w:eastAsia="宋体"/>
                <w:sz w:val="24"/>
                <w:color w:val="000000"/>
              </w:rPr>
              <w:t>。</w:t>
            </w:r>
          </w:p>
          <w:p>
            <w:pPr>
              <w:pStyle w:val="null3"/>
              <w:numPr>
                <w:ilvl w:val="0"/>
                <w:numId w:val="1"/>
              </w:numPr>
              <w:jc w:val="both"/>
            </w:pPr>
            <w:r>
              <w:rPr>
                <w:rFonts w:ascii="宋体" w:hAnsi="宋体" w:cs="宋体" w:eastAsia="宋体"/>
                <w:sz w:val="24"/>
              </w:rPr>
              <w:t>突发紧急事件时，协助校方做好设备保障工作</w:t>
            </w:r>
            <w:r>
              <w:rPr>
                <w:rFonts w:ascii="宋体" w:hAnsi="宋体" w:cs="宋体" w:eastAsia="宋体"/>
                <w:sz w:val="24"/>
              </w:rPr>
              <w:t>,必要时提供应急预案。</w:t>
            </w:r>
          </w:p>
          <w:p>
            <w:pPr>
              <w:pStyle w:val="null3"/>
              <w:numPr>
                <w:ilvl w:val="0"/>
                <w:numId w:val="1"/>
              </w:numPr>
              <w:jc w:val="both"/>
            </w:pPr>
            <w:r>
              <w:rPr>
                <w:rFonts w:ascii="宋体" w:hAnsi="宋体" w:cs="宋体" w:eastAsia="宋体"/>
                <w:sz w:val="24"/>
              </w:rPr>
              <w:t>供应商与设备生产厂家建立良好的业务合作关系便于及时反馈沟通，能提供设备厂家或进口品牌合作业绩。</w:t>
            </w:r>
          </w:p>
          <w:p>
            <w:pPr>
              <w:pStyle w:val="null3"/>
              <w:numPr>
                <w:ilvl w:val="0"/>
                <w:numId w:val="1"/>
              </w:numPr>
              <w:jc w:val="both"/>
            </w:pPr>
            <w:r>
              <w:rPr>
                <w:rFonts w:ascii="宋体" w:hAnsi="宋体" w:cs="宋体" w:eastAsia="宋体"/>
                <w:sz w:val="24"/>
              </w:rPr>
              <w:t>供应商项目负责人或技术负责人应具有该项目设备清单中的设备或同类大型设备维修维护工作经验，并提供本项目维保主要产品类别相关维修业绩及案例证明。</w:t>
            </w:r>
          </w:p>
          <w:p>
            <w:pPr>
              <w:pStyle w:val="null3"/>
              <w:ind w:firstLine="480"/>
              <w:jc w:val="both"/>
            </w:pPr>
            <w:r>
              <w:rPr>
                <w:rFonts w:ascii="宋体" w:hAnsi="宋体" w:cs="宋体" w:eastAsia="宋体"/>
                <w:sz w:val="24"/>
                <w:b/>
              </w:rPr>
              <w:t>需维保仪器清单</w:t>
            </w:r>
          </w:p>
          <w:tbl>
            <w:tblPr>
              <w:tblBorders>
                <w:top w:val="none" w:color="000000" w:sz="4"/>
                <w:left w:val="none" w:color="000000" w:sz="4"/>
                <w:bottom w:val="none" w:color="000000" w:sz="4"/>
                <w:right w:val="none" w:color="000000" w:sz="4"/>
                <w:insideH w:val="none"/>
                <w:insideV w:val="none"/>
              </w:tblBorders>
            </w:tblPr>
            <w:tblGrid>
              <w:gridCol w:w="225"/>
              <w:gridCol w:w="765"/>
              <w:gridCol w:w="594"/>
              <w:gridCol w:w="508"/>
              <w:gridCol w:w="450"/>
            </w:tblGrid>
            <w:tr>
              <w:tc>
                <w:tcPr>
                  <w:tcW w:type="dxa" w:w="225"/>
                  <w:tcBorders>
                    <w:top w:val="singl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序列</w:t>
                  </w:r>
                </w:p>
              </w:tc>
              <w:tc>
                <w:tcPr>
                  <w:tcW w:type="dxa" w:w="765"/>
                  <w:tcBorders>
                    <w:top w:val="singl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仪器名称</w:t>
                  </w:r>
                </w:p>
              </w:tc>
              <w:tc>
                <w:tcPr>
                  <w:tcW w:type="dxa" w:w="594"/>
                  <w:tcBorders>
                    <w:top w:val="singl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型号</w:t>
                  </w:r>
                </w:p>
              </w:tc>
              <w:tc>
                <w:tcPr>
                  <w:tcW w:type="dxa" w:w="508"/>
                  <w:tcBorders>
                    <w:top w:val="singl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品牌</w:t>
                  </w:r>
                </w:p>
              </w:tc>
              <w:tc>
                <w:tcPr>
                  <w:tcW w:type="dxa" w:w="450"/>
                  <w:tcBorders>
                    <w:top w:val="singl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购置时间</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场发射扫描电镜</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Verios 460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FEI</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2016</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同步热分析仪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SDT Q600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TA公司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2016/12/22</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差示扫描量热仪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Discovery DSC25</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TA公司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2016/12/22</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快速热重分析仪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Discovery TGA</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TA公司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2016/12/22</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激光散射仪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CPC-TDAmax</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英国马尔文</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2013/</w:t>
                  </w:r>
                  <w:r>
                    <w:rPr>
                      <w:rFonts w:ascii="宋体" w:hAnsi="宋体" w:cs="宋体" w:eastAsia="宋体"/>
                      <w:sz w:val="21"/>
                      <w:color w:val="000000"/>
                    </w:rPr>
                    <w:t>0</w:t>
                  </w:r>
                  <w:r>
                    <w:rPr>
                      <w:rFonts w:ascii="宋体" w:hAnsi="宋体" w:cs="宋体" w:eastAsia="宋体"/>
                      <w:sz w:val="21"/>
                      <w:color w:val="000000"/>
                    </w:rPr>
                    <w:t>5/23</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傅立叶变换红外光谱仪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VERTEX 80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德国布鲁克</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2013/</w:t>
                  </w:r>
                  <w:r>
                    <w:rPr>
                      <w:rFonts w:ascii="宋体" w:hAnsi="宋体" w:cs="宋体" w:eastAsia="宋体"/>
                      <w:sz w:val="21"/>
                      <w:color w:val="000000"/>
                    </w:rPr>
                    <w:t>0</w:t>
                  </w:r>
                  <w:r>
                    <w:rPr>
                      <w:rFonts w:ascii="宋体" w:hAnsi="宋体" w:cs="宋体" w:eastAsia="宋体"/>
                      <w:sz w:val="21"/>
                      <w:color w:val="000000"/>
                    </w:rPr>
                    <w:t>5/23</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7</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紫外可见分光光度计</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CARY100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安捷伦公司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2013/</w:t>
                  </w:r>
                  <w:r>
                    <w:rPr>
                      <w:rFonts w:ascii="宋体" w:hAnsi="宋体" w:cs="宋体" w:eastAsia="宋体"/>
                      <w:sz w:val="21"/>
                      <w:color w:val="000000"/>
                    </w:rPr>
                    <w:t>0</w:t>
                  </w:r>
                  <w:r>
                    <w:rPr>
                      <w:rFonts w:ascii="宋体" w:hAnsi="宋体" w:cs="宋体" w:eastAsia="宋体"/>
                      <w:sz w:val="21"/>
                      <w:color w:val="000000"/>
                    </w:rPr>
                    <w:t>4/17</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差示扫描量热仪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Q2000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TA公司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2013/</w:t>
                  </w:r>
                  <w:r>
                    <w:rPr>
                      <w:rFonts w:ascii="宋体" w:hAnsi="宋体" w:cs="宋体" w:eastAsia="宋体"/>
                      <w:sz w:val="21"/>
                      <w:color w:val="000000"/>
                    </w:rPr>
                    <w:t>0</w:t>
                  </w:r>
                  <w:r>
                    <w:rPr>
                      <w:rFonts w:ascii="宋体" w:hAnsi="宋体" w:cs="宋体" w:eastAsia="宋体"/>
                      <w:sz w:val="21"/>
                      <w:color w:val="000000"/>
                    </w:rPr>
                    <w:t>4/17</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9</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冷场发射扫描电镜</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S-4800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日本日立</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2012/</w:t>
                  </w:r>
                  <w:r>
                    <w:rPr>
                      <w:rFonts w:ascii="宋体" w:hAnsi="宋体" w:cs="宋体" w:eastAsia="宋体"/>
                      <w:sz w:val="21"/>
                      <w:color w:val="000000"/>
                    </w:rPr>
                    <w:t>0</w:t>
                  </w:r>
                  <w:r>
                    <w:rPr>
                      <w:rFonts w:ascii="宋体" w:hAnsi="宋体" w:cs="宋体" w:eastAsia="宋体"/>
                      <w:sz w:val="21"/>
                      <w:color w:val="000000"/>
                    </w:rPr>
                    <w:t>9/15</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10</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纳米粒度电位分析仪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ZS90</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英国马尔文</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2011/</w:t>
                  </w:r>
                  <w:r>
                    <w:rPr>
                      <w:rFonts w:ascii="宋体" w:hAnsi="宋体" w:cs="宋体" w:eastAsia="宋体"/>
                      <w:sz w:val="21"/>
                      <w:color w:val="000000"/>
                    </w:rPr>
                    <w:t>0</w:t>
                  </w:r>
                  <w:r>
                    <w:rPr>
                      <w:rFonts w:ascii="宋体" w:hAnsi="宋体" w:cs="宋体" w:eastAsia="宋体"/>
                      <w:sz w:val="21"/>
                      <w:color w:val="000000"/>
                    </w:rPr>
                    <w:t>5/</w:t>
                  </w:r>
                  <w:r>
                    <w:rPr>
                      <w:rFonts w:ascii="宋体" w:hAnsi="宋体" w:cs="宋体" w:eastAsia="宋体"/>
                      <w:sz w:val="21"/>
                      <w:color w:val="000000"/>
                    </w:rPr>
                    <w:t>0</w:t>
                  </w:r>
                  <w:r>
                    <w:rPr>
                      <w:rFonts w:ascii="宋体" w:hAnsi="宋体" w:cs="宋体" w:eastAsia="宋体"/>
                      <w:sz w:val="21"/>
                      <w:color w:val="000000"/>
                    </w:rPr>
                    <w:t>1</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11</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荧光光谱仪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FluoroMax-4P</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HORIBA JOBIN YVON公司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2011/</w:t>
                  </w:r>
                  <w:r>
                    <w:rPr>
                      <w:rFonts w:ascii="宋体" w:hAnsi="宋体" w:cs="宋体" w:eastAsia="宋体"/>
                      <w:sz w:val="21"/>
                      <w:color w:val="000000"/>
                    </w:rPr>
                    <w:t>0</w:t>
                  </w:r>
                  <w:r>
                    <w:rPr>
                      <w:rFonts w:ascii="宋体" w:hAnsi="宋体" w:cs="宋体" w:eastAsia="宋体"/>
                      <w:sz w:val="21"/>
                      <w:color w:val="000000"/>
                    </w:rPr>
                    <w:t>5/</w:t>
                  </w:r>
                  <w:r>
                    <w:rPr>
                      <w:rFonts w:ascii="宋体" w:hAnsi="宋体" w:cs="宋体" w:eastAsia="宋体"/>
                      <w:sz w:val="21"/>
                      <w:color w:val="000000"/>
                    </w:rPr>
                    <w:t>0</w:t>
                  </w:r>
                  <w:r>
                    <w:rPr>
                      <w:rFonts w:ascii="宋体" w:hAnsi="宋体" w:cs="宋体" w:eastAsia="宋体"/>
                      <w:sz w:val="21"/>
                      <w:color w:val="000000"/>
                    </w:rPr>
                    <w:t>1</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12</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视频接触角测量仪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EASY DROP</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瑞士华嘉公司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2011/</w:t>
                  </w:r>
                  <w:r>
                    <w:rPr>
                      <w:rFonts w:ascii="宋体" w:hAnsi="宋体" w:cs="宋体" w:eastAsia="宋体"/>
                      <w:sz w:val="21"/>
                      <w:color w:val="000000"/>
                    </w:rPr>
                    <w:t>0</w:t>
                  </w:r>
                  <w:r>
                    <w:rPr>
                      <w:rFonts w:ascii="宋体" w:hAnsi="宋体" w:cs="宋体" w:eastAsia="宋体"/>
                      <w:sz w:val="21"/>
                      <w:color w:val="000000"/>
                    </w:rPr>
                    <w:t>5/</w:t>
                  </w:r>
                  <w:r>
                    <w:rPr>
                      <w:rFonts w:ascii="宋体" w:hAnsi="宋体" w:cs="宋体" w:eastAsia="宋体"/>
                      <w:sz w:val="21"/>
                      <w:color w:val="000000"/>
                    </w:rPr>
                    <w:t>0</w:t>
                  </w:r>
                  <w:r>
                    <w:rPr>
                      <w:rFonts w:ascii="宋体" w:hAnsi="宋体" w:cs="宋体" w:eastAsia="宋体"/>
                      <w:sz w:val="21"/>
                      <w:color w:val="000000"/>
                    </w:rPr>
                    <w:t>1</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13</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表面张力仪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DCAT21</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德国</w:t>
                  </w:r>
                  <w:r>
                    <w:rPr>
                      <w:rFonts w:ascii="宋体" w:hAnsi="宋体" w:cs="宋体" w:eastAsia="宋体"/>
                      <w:sz w:val="21"/>
                      <w:color w:val="000000"/>
                    </w:rPr>
                    <w:t>dataphysics</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2013/</w:t>
                  </w:r>
                  <w:r>
                    <w:rPr>
                      <w:rFonts w:ascii="宋体" w:hAnsi="宋体" w:cs="宋体" w:eastAsia="宋体"/>
                      <w:sz w:val="21"/>
                      <w:color w:val="000000"/>
                    </w:rPr>
                    <w:t>0</w:t>
                  </w:r>
                  <w:r>
                    <w:rPr>
                      <w:rFonts w:ascii="宋体" w:hAnsi="宋体" w:cs="宋体" w:eastAsia="宋体"/>
                      <w:sz w:val="21"/>
                      <w:color w:val="000000"/>
                    </w:rPr>
                    <w:t>7/10</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14</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稳定性分析仪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TURBISCAN LAB</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法国</w:t>
                  </w:r>
                  <w:r>
                    <w:rPr>
                      <w:rFonts w:ascii="宋体" w:hAnsi="宋体" w:cs="宋体" w:eastAsia="宋体"/>
                      <w:sz w:val="21"/>
                      <w:color w:val="000000"/>
                    </w:rPr>
                    <w:t>TURBISCAN</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2014/</w:t>
                  </w:r>
                  <w:r>
                    <w:rPr>
                      <w:rFonts w:ascii="宋体" w:hAnsi="宋体" w:cs="宋体" w:eastAsia="宋体"/>
                      <w:sz w:val="21"/>
                      <w:color w:val="000000"/>
                    </w:rPr>
                    <w:t>0</w:t>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3</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15</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场发射透射电子显微镜</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Tecnai G2 F20 S-TWIN</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美国</w:t>
                  </w:r>
                  <w:r>
                    <w:rPr>
                      <w:rFonts w:ascii="宋体" w:hAnsi="宋体" w:cs="宋体" w:eastAsia="宋体"/>
                      <w:sz w:val="21"/>
                      <w:color w:val="000000"/>
                    </w:rPr>
                    <w:t>FEI</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w:t>
                  </w: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color w:val="000000"/>
                    </w:rPr>
                    <w:t>0</w:t>
                  </w:r>
                  <w:r>
                    <w:rPr>
                      <w:rFonts w:ascii="宋体" w:hAnsi="宋体" w:cs="宋体" w:eastAsia="宋体"/>
                      <w:sz w:val="21"/>
                      <w:color w:val="000000"/>
                    </w:rPr>
                    <w:t>1/13</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16</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液质联用仪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maxis plus</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德国布鲁克公司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2015/</w:t>
                  </w:r>
                  <w:r>
                    <w:rPr>
                      <w:rFonts w:ascii="宋体" w:hAnsi="宋体" w:cs="宋体" w:eastAsia="宋体"/>
                      <w:sz w:val="21"/>
                      <w:color w:val="000000"/>
                    </w:rPr>
                    <w:t>0</w:t>
                  </w:r>
                  <w:r>
                    <w:rPr>
                      <w:rFonts w:ascii="宋体" w:hAnsi="宋体" w:cs="宋体" w:eastAsia="宋体"/>
                      <w:sz w:val="21"/>
                      <w:color w:val="000000"/>
                    </w:rPr>
                    <w:t>5/21</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17</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XPS光电子能谱仪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SUPRA</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Kratos</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2016</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11</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18</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XRD/X射线衍射仪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SmartLab9KW</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日本</w:t>
                  </w:r>
                  <w:r>
                    <w:rPr>
                      <w:rFonts w:ascii="times new roman, times, serif" w:hAnsi="times new roman, times, serif" w:cs="times new roman, times, serif" w:eastAsia="times new roman, times, serif"/>
                      <w:sz w:val="18"/>
                      <w:color w:val="000000"/>
                    </w:rPr>
                    <w:t>Rigaku</w:t>
                  </w:r>
                  <w:r>
                    <w:rPr>
                      <w:rFonts w:ascii="宋体" w:hAnsi="宋体" w:cs="宋体" w:eastAsia="宋体"/>
                      <w:sz w:val="18"/>
                      <w:color w:val="000000"/>
                    </w:rPr>
                    <w:t>公司</w:t>
                  </w:r>
                </w:p>
                <w:p>
                  <w:pPr>
                    <w:pStyle w:val="null3"/>
                    <w:jc w:val="center"/>
                  </w:pP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2020</w:t>
                  </w:r>
                  <w:r>
                    <w:rPr>
                      <w:rFonts w:ascii="宋体" w:hAnsi="宋体" w:cs="宋体" w:eastAsia="宋体"/>
                      <w:sz w:val="21"/>
                    </w:rPr>
                    <w:t>/</w:t>
                  </w:r>
                  <w:r>
                    <w:rPr>
                      <w:rFonts w:ascii="宋体" w:hAnsi="宋体" w:cs="宋体" w:eastAsia="宋体"/>
                      <w:sz w:val="21"/>
                    </w:rPr>
                    <w:t>12</w:t>
                  </w:r>
                  <w:r>
                    <w:rPr>
                      <w:rFonts w:ascii="宋体" w:hAnsi="宋体" w:cs="宋体" w:eastAsia="宋体"/>
                      <w:sz w:val="21"/>
                    </w:rPr>
                    <w:t>/</w:t>
                  </w:r>
                  <w:r>
                    <w:rPr>
                      <w:rFonts w:ascii="宋体" w:hAnsi="宋体" w:cs="宋体" w:eastAsia="宋体"/>
                      <w:sz w:val="21"/>
                    </w:rPr>
                    <w:t>7</w:t>
                  </w:r>
                </w:p>
              </w:tc>
            </w:tr>
            <w:tr>
              <w:tc>
                <w:tcPr>
                  <w:tcW w:type="dxa" w:w="225"/>
                  <w:tcBorders>
                    <w:top w:val="none" w:color="000000" w:sz="4"/>
                    <w:left w:val="singl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21"/>
                    </w:rPr>
                    <w:t>19</w:t>
                  </w:r>
                </w:p>
              </w:tc>
              <w:tc>
                <w:tcPr>
                  <w:tcW w:type="dxa" w:w="765"/>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18"/>
                    </w:rPr>
                    <w:t>导热仪</w:t>
                  </w:r>
                </w:p>
              </w:tc>
              <w:tc>
                <w:tcPr>
                  <w:tcW w:type="dxa" w:w="594"/>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18"/>
                      <w:color w:val="000000"/>
                    </w:rPr>
                    <w:t>LFA 467 HT</w:t>
                  </w:r>
                </w:p>
              </w:tc>
              <w:tc>
                <w:tcPr>
                  <w:tcW w:type="dxa" w:w="508"/>
                  <w:tcBorders>
                    <w:top w:val="none" w:color="000000" w:sz="4"/>
                    <w:left w:val="none" w:color="000000" w:sz="4"/>
                    <w:bottom w:val="dashed" w:color="000000" w:sz="4"/>
                    <w:right w:val="dashed"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德国</w:t>
                  </w:r>
                  <w:r>
                    <w:rPr>
                      <w:rFonts w:ascii="times new roman, times, serif" w:hAnsi="times new roman, times, serif" w:cs="times new roman, times, serif" w:eastAsia="times new roman, times, serif"/>
                      <w:sz w:val="18"/>
                      <w:color w:val="000000"/>
                    </w:rPr>
                    <w:t>NETZSCH</w:t>
                  </w:r>
                  <w:r>
                    <w:rPr>
                      <w:rFonts w:ascii="宋体" w:hAnsi="宋体" w:cs="宋体" w:eastAsia="宋体"/>
                      <w:sz w:val="18"/>
                      <w:color w:val="000000"/>
                    </w:rPr>
                    <w:t>公司</w:t>
                  </w:r>
                </w:p>
              </w:tc>
              <w:tc>
                <w:tcPr>
                  <w:tcW w:type="dxa" w:w="450"/>
                  <w:tcBorders>
                    <w:top w:val="none" w:color="000000" w:sz="4"/>
                    <w:left w:val="none" w:color="000000" w:sz="4"/>
                    <w:bottom w:val="dashed"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2020</w:t>
                  </w:r>
                  <w:r>
                    <w:rPr>
                      <w:rFonts w:ascii="宋体" w:hAnsi="宋体" w:cs="宋体" w:eastAsia="宋体"/>
                      <w:sz w:val="21"/>
                    </w:rPr>
                    <w:t>/</w:t>
                  </w:r>
                  <w:r>
                    <w:rPr>
                      <w:rFonts w:ascii="宋体" w:hAnsi="宋体" w:cs="宋体" w:eastAsia="宋体"/>
                      <w:sz w:val="21"/>
                    </w:rPr>
                    <w:t>12</w:t>
                  </w:r>
                  <w:r>
                    <w:rPr>
                      <w:rFonts w:ascii="宋体" w:hAnsi="宋体" w:cs="宋体" w:eastAsia="宋体"/>
                      <w:sz w:val="21"/>
                    </w:rPr>
                    <w:t>/</w:t>
                  </w:r>
                  <w:r>
                    <w:rPr>
                      <w:rFonts w:ascii="宋体" w:hAnsi="宋体" w:cs="宋体" w:eastAsia="宋体"/>
                      <w:sz w:val="21"/>
                    </w:rPr>
                    <w:t>7</w:t>
                  </w:r>
                </w:p>
              </w:tc>
            </w:tr>
          </w:tbl>
          <w:p>
            <w:pPr>
              <w:pStyle w:val="null3"/>
              <w:spacing w:after="150"/>
              <w:jc w:val="center"/>
            </w:pPr>
            <w:r>
              <w:rPr>
                <w:rFonts w:ascii="宋体" w:hAnsi="宋体" w:cs="宋体" w:eastAsia="宋体"/>
                <w:sz w:val="24"/>
                <w:b/>
              </w:rPr>
              <w:t>服务要求及内容为实质性要求，不允许负偏离，否则按无效投标处理</w:t>
            </w:r>
          </w:p>
        </w:tc>
      </w:tr>
    </w:tbl>
    <w:p>
      <w:pPr>
        <w:pStyle w:val="null3"/>
        <w:outlineLvl w:val="2"/>
      </w:pPr>
      <w:r>
        <w:rPr>
          <w:sz w:val="28"/>
          <w:b/>
        </w:rPr>
        <w:t>3.2.3人员配置要求</w:t>
      </w:r>
    </w:p>
    <w:p>
      <w:pPr>
        <w:pStyle w:val="null3"/>
      </w:pPr>
      <w:r>
        <w:rPr/>
        <w:t>采购包1：</w:t>
      </w:r>
    </w:p>
    <w:p>
      <w:pPr>
        <w:pStyle w:val="null3"/>
      </w:pPr>
      <w:r>
        <w:rPr/>
        <w:t>根据项目情况配置</w:t>
      </w:r>
    </w:p>
    <w:p>
      <w:pPr>
        <w:pStyle w:val="null3"/>
        <w:outlineLvl w:val="2"/>
      </w:pPr>
      <w:r>
        <w:rPr>
          <w:sz w:val="28"/>
          <w:b/>
        </w:rPr>
        <w:t>3.2.4设施设备要求</w:t>
      </w:r>
    </w:p>
    <w:p>
      <w:pPr>
        <w:pStyle w:val="null3"/>
      </w:pPr>
      <w:r>
        <w:rPr/>
        <w:t>采购包1：</w:t>
      </w:r>
    </w:p>
    <w:p>
      <w:pPr>
        <w:pStyle w:val="null3"/>
      </w:pPr>
      <w:r>
        <w:rPr/>
        <w:t>根据项目情况配置</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详见磋商文件及合同条款</w:t>
      </w:r>
    </w:p>
    <w:p>
      <w:pPr>
        <w:pStyle w:val="null3"/>
        <w:outlineLvl w:val="3"/>
      </w:pPr>
      <w:r>
        <w:rPr>
          <w:sz w:val="24"/>
          <w:b/>
        </w:rPr>
        <w:t>3.3.2服务地点</w:t>
      </w:r>
    </w:p>
    <w:p>
      <w:pPr>
        <w:pStyle w:val="null3"/>
      </w:pPr>
      <w:r>
        <w:rPr/>
        <w:t>采购包1：</w:t>
      </w:r>
    </w:p>
    <w:p>
      <w:pPr>
        <w:pStyle w:val="null3"/>
      </w:pPr>
      <w:r>
        <w:rPr/>
        <w:t>陕西科技大学指定地点</w:t>
      </w:r>
    </w:p>
    <w:p>
      <w:pPr>
        <w:pStyle w:val="null3"/>
        <w:outlineLvl w:val="3"/>
      </w:pPr>
      <w:r>
        <w:rPr>
          <w:sz w:val="24"/>
          <w:b/>
        </w:rPr>
        <w:t>3.3.3考核（验收）标准和方法</w:t>
      </w:r>
    </w:p>
    <w:p>
      <w:pPr>
        <w:pStyle w:val="null3"/>
      </w:pPr>
      <w:r>
        <w:rPr/>
        <w:t>采购包1：</w:t>
      </w:r>
    </w:p>
    <w:p>
      <w:pPr>
        <w:pStyle w:val="null3"/>
      </w:pPr>
      <w:r>
        <w:rPr/>
        <w:t>详见磋商文件及合同条款</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详见磋商文件及合同条款</w:t>
      </w:r>
    </w:p>
    <w:p>
      <w:pPr>
        <w:pStyle w:val="null3"/>
        <w:outlineLvl w:val="2"/>
      </w:pPr>
      <w:r>
        <w:rPr>
          <w:sz w:val="28"/>
          <w:b/>
        </w:rPr>
        <w:t>3.4其他要求</w:t>
      </w:r>
    </w:p>
    <w:p>
      <w:pPr>
        <w:pStyle w:val="null3"/>
      </w:pPr>
      <w:r>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收件地址：陕西上德招标有限公司（西安市经开区凤城八路正尚国际金融广场A座7层703（张家堡转盘东南角））；收件人：黄诗末、王涛；联系电话：029-86673953、029-86518381、029-89299829、029-89293231 转8007；注：请发顺丰快递，其他快递此地址无法送达。）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资格要求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提供供应商合法注册的法人或其他组织的营业执照/事业单位法人证书/非企业专业服务机构执业许可证/民办非企业单位登记证书</w:t>
            </w:r>
          </w:p>
        </w:tc>
        <w:tc>
          <w:tcPr>
            <w:tcW w:type="dxa" w:w="3322"/>
          </w:tcPr>
          <w:p>
            <w:pPr>
              <w:pStyle w:val="null3"/>
            </w:pPr>
            <w:r>
              <w:rPr/>
              <w:t>提供供应商合法注册的法人或其他组织的营业执照/事业单位法人证书/非企业专业服务机构执业许可证/民办非企业单位登记证书</w:t>
            </w:r>
          </w:p>
        </w:tc>
        <w:tc>
          <w:tcPr>
            <w:tcW w:type="dxa" w:w="1661"/>
          </w:tcPr>
          <w:p>
            <w:pPr>
              <w:pStyle w:val="null3"/>
            </w:pPr>
            <w:r>
              <w:rPr/>
              <w:t>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t>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提供具有履行本合同所必需的设备和专业技术能力的说明及承诺；（提供书面说明及承诺，加盖供应商公章）</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提供参加政府采购活动前三年内在经营活动中没有重大违法记录的书面声明。（提供书面声明，加盖供应商公章）</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资格要求</w:t>
            </w:r>
          </w:p>
        </w:tc>
      </w:tr>
      <w:tr>
        <w:tc>
          <w:tcPr>
            <w:tcW w:type="dxa" w:w="831"/>
          </w:tcPr>
          <w:p>
            <w:pPr>
              <w:pStyle w:val="null3"/>
            </w:pPr>
            <w:r>
              <w:rPr/>
              <w:t>7</w:t>
            </w:r>
          </w:p>
        </w:tc>
        <w:tc>
          <w:tcPr>
            <w:tcW w:type="dxa" w:w="249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资格要求</w:t>
            </w:r>
          </w:p>
        </w:tc>
      </w:tr>
      <w:tr>
        <w:tc>
          <w:tcPr>
            <w:tcW w:type="dxa" w:w="831"/>
          </w:tcPr>
          <w:p>
            <w:pPr>
              <w:pStyle w:val="null3"/>
            </w:pPr>
            <w:r>
              <w:rPr/>
              <w:t>8</w:t>
            </w:r>
          </w:p>
        </w:tc>
        <w:tc>
          <w:tcPr>
            <w:tcW w:type="dxa" w:w="2492"/>
          </w:tcPr>
          <w:p>
            <w:pPr>
              <w:pStyle w:val="null3"/>
            </w:pPr>
            <w:r>
              <w:rPr/>
              <w:t>磋商保证金交纳凭证或担保函；（磋商保证交纳金凭证为银行凭证及基本账户证明资料，担保函为财政部门认可的政府采购信用担保机构出具）</w:t>
            </w:r>
          </w:p>
        </w:tc>
        <w:tc>
          <w:tcPr>
            <w:tcW w:type="dxa" w:w="3322"/>
          </w:tcPr>
          <w:p>
            <w:pPr>
              <w:pStyle w:val="null3"/>
            </w:pPr>
            <w:r>
              <w:rPr/>
              <w:t>磋商保证金交纳凭证或担保函；（磋商保证交纳金凭证为银行凭证及基本账户证明资料，担保函为财政部门认可的政府采购信用担保机构出具）</w:t>
            </w:r>
          </w:p>
        </w:tc>
        <w:tc>
          <w:tcPr>
            <w:tcW w:type="dxa" w:w="1661"/>
          </w:tcPr>
          <w:p>
            <w:pPr>
              <w:pStyle w:val="null3"/>
            </w:pPr>
            <w:r>
              <w:rPr/>
              <w:t>资格要求</w:t>
            </w:r>
          </w:p>
        </w:tc>
      </w:tr>
      <w:tr>
        <w:tc>
          <w:tcPr>
            <w:tcW w:type="dxa" w:w="831"/>
          </w:tcPr>
          <w:p>
            <w:pPr>
              <w:pStyle w:val="null3"/>
            </w:pPr>
            <w:r>
              <w:rPr/>
              <w:t>9</w:t>
            </w:r>
          </w:p>
        </w:tc>
        <w:tc>
          <w:tcPr>
            <w:tcW w:type="dxa" w:w="249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资格要求</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332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t>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供应商名称与登记领取磋商文件的单位名称是否一致</w:t>
            </w:r>
          </w:p>
        </w:tc>
        <w:tc>
          <w:tcPr>
            <w:tcW w:type="dxa" w:w="3322"/>
          </w:tcPr>
          <w:p>
            <w:pPr>
              <w:pStyle w:val="null3"/>
            </w:pPr>
            <w:r>
              <w:rPr/>
              <w:t>供应商名称与登记领取磋商文件的单位名称是否一致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除明确允许供应商可以自行编写的外，磋商响应文件是否按照磋商文件给定的格式编制</w:t>
            </w:r>
          </w:p>
        </w:tc>
        <w:tc>
          <w:tcPr>
            <w:tcW w:type="dxa" w:w="3322"/>
          </w:tcPr>
          <w:p>
            <w:pPr>
              <w:pStyle w:val="null3"/>
            </w:pPr>
            <w:r>
              <w:rPr/>
              <w:t>除明确允许供应商可以自行编写的外，磋商响应文件是否按照磋商文件给定的格式编制</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4</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5</w:t>
            </w:r>
          </w:p>
        </w:tc>
        <w:tc>
          <w:tcPr>
            <w:tcW w:type="dxa" w:w="2492"/>
          </w:tcPr>
          <w:p>
            <w:pPr>
              <w:pStyle w:val="null3"/>
            </w:pPr>
            <w:r>
              <w:rPr/>
              <w:t>针对同一项目提交两份或多份内容不同的磋商响应文件，未书面声明哪一份是有效的或出现选择性报价的</w:t>
            </w:r>
          </w:p>
        </w:tc>
        <w:tc>
          <w:tcPr>
            <w:tcW w:type="dxa" w:w="3322"/>
          </w:tcPr>
          <w:p>
            <w:pPr>
              <w:pStyle w:val="null3"/>
            </w:pPr>
            <w:r>
              <w:rPr/>
              <w:t>针对同一项目提交两份或多份内容不同的磋商响应文件，未书面声明哪一份是有效的或出现选择性报价的</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标的清单</w:t>
            </w:r>
          </w:p>
        </w:tc>
      </w:tr>
      <w:tr>
        <w:tc>
          <w:tcPr>
            <w:tcW w:type="dxa" w:w="831"/>
          </w:tcPr>
          <w:p>
            <w:pPr>
              <w:pStyle w:val="null3"/>
            </w:pPr>
            <w:r>
              <w:rPr/>
              <w:t>7</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法定代表人授权委托书（格式） 响应函</w:t>
            </w:r>
          </w:p>
        </w:tc>
      </w:tr>
      <w:tr>
        <w:tc>
          <w:tcPr>
            <w:tcW w:type="dxa" w:w="831"/>
          </w:tcPr>
          <w:p>
            <w:pPr>
              <w:pStyle w:val="null3"/>
            </w:pPr>
            <w:r>
              <w:rPr/>
              <w:t>8</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商务条款响应偏离表（格式）</w:t>
            </w:r>
          </w:p>
        </w:tc>
      </w:tr>
      <w:tr>
        <w:tc>
          <w:tcPr>
            <w:tcW w:type="dxa" w:w="831"/>
          </w:tcPr>
          <w:p>
            <w:pPr>
              <w:pStyle w:val="null3"/>
            </w:pPr>
            <w:r>
              <w:rPr/>
              <w:t>9</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服务响应偏离表（格式）</w:t>
            </w:r>
          </w:p>
        </w:tc>
      </w:tr>
      <w:tr>
        <w:tc>
          <w:tcPr>
            <w:tcW w:type="dxa" w:w="831"/>
          </w:tcPr>
          <w:p>
            <w:pPr>
              <w:pStyle w:val="null3"/>
            </w:pPr>
            <w:r>
              <w:rPr/>
              <w:t>10</w:t>
            </w:r>
          </w:p>
        </w:tc>
        <w:tc>
          <w:tcPr>
            <w:tcW w:type="dxa" w:w="2492"/>
          </w:tcPr>
          <w:p>
            <w:pPr>
              <w:pStyle w:val="null3"/>
            </w:pPr>
            <w:r>
              <w:rPr/>
              <w:t>磋商响应文件是否含有采购人不能接受的附加条件</w:t>
            </w:r>
          </w:p>
        </w:tc>
        <w:tc>
          <w:tcPr>
            <w:tcW w:type="dxa" w:w="3322"/>
          </w:tcPr>
          <w:p>
            <w:pPr>
              <w:pStyle w:val="null3"/>
            </w:pPr>
            <w:r>
              <w:rPr/>
              <w:t>磋商响应文件是否含有采购人不能接受的附加条件</w:t>
            </w:r>
          </w:p>
        </w:tc>
        <w:tc>
          <w:tcPr>
            <w:tcW w:type="dxa" w:w="1661"/>
          </w:tcPr>
          <w:p>
            <w:pPr>
              <w:pStyle w:val="null3"/>
            </w:pPr>
            <w:r>
              <w:rPr/>
              <w:t>人员配备 应急方案 服务承诺 中小企业声明函 供应商认为有必要说明的事宜（若有） 残疾人福利性单位声明函 服务方案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服务方案-实施方案</w:t>
            </w:r>
          </w:p>
        </w:tc>
        <w:tc>
          <w:tcPr>
            <w:tcW w:type="dxa" w:w="2492"/>
          </w:tcPr>
          <w:p>
            <w:pPr>
              <w:pStyle w:val="null3"/>
            </w:pPr>
            <w:r>
              <w:rPr/>
              <w:t>对本项目维保要求制定完善、具体、可行、规范化的服务实施方案（包含但不限于设备使用、保养、检测、维修、巡检管理方案等内容），有详细的维保制度、维保计划、操作规程。 ①思路符合本项目实际需求，可操作性强、安全度高能够充分体现采购人的运维需求，计20分； ②内容完整，流程规范，但体系条理不清晰，计15分； ③内容有1项缺项或方案内容总体简单，计10分； ④内容有2项缺项或方案及计划无重点，计5分； ⑤内容缺项3项以上（含）重大缺项，方案混乱，计2分； ⑥方案只有粗略描述、实质性内容少，计1分； ⑦未提供不计分。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服务方案-险种购置</w:t>
            </w:r>
          </w:p>
        </w:tc>
        <w:tc>
          <w:tcPr>
            <w:tcW w:type="dxa" w:w="2492"/>
          </w:tcPr>
          <w:p>
            <w:pPr>
              <w:pStyle w:val="null3"/>
            </w:pPr>
            <w:r>
              <w:rPr/>
              <w:t>供应商为维保仪器购置为期一年的的财产意外险、实验室人身险、机损险，内容包含但不限于漏电短路及其他电气原因、火灾爆炸等造成的设备损失等，均可通过保险进行赔付。提供历史保单或与当地保险公司合作协议，每提供一种险种及一种证明文件计3分，共计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服务方案-维保管理系统网站</w:t>
            </w:r>
          </w:p>
        </w:tc>
        <w:tc>
          <w:tcPr>
            <w:tcW w:type="dxa" w:w="2492"/>
          </w:tcPr>
          <w:p>
            <w:pPr>
              <w:pStyle w:val="null3"/>
            </w:pPr>
            <w:r>
              <w:rPr/>
              <w:t>提供维保管理系统网站方案：包括但不限于记录管理、维修结果等功能，能够实现在维修过程中从报修、维修结果等信息进行全程透明服务，实现客户在线实时监控。 ①内容全面、详细、可行的计8分 ②内容不详细，不全面，缺1-2项的计6分 ③内容或功能缺2项以上，计3分， ④内容或功能缺项3项以上（含），方案混乱，计1分， ④未提供不计分。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服务方案-维保系统客户移动服务端</w:t>
            </w:r>
          </w:p>
        </w:tc>
        <w:tc>
          <w:tcPr>
            <w:tcW w:type="dxa" w:w="2492"/>
          </w:tcPr>
          <w:p>
            <w:pPr>
              <w:pStyle w:val="null3"/>
            </w:pPr>
            <w:r>
              <w:rPr/>
              <w:t>提供维保系统客户移动服务端相关内容，能够提高用户设备管理效率，提供手机服务端，可以实时报修，并有仪器操作使用推送，培训信息推送等一系列功能。 ①内容全面、详细、可行的计8分 ②内容不详细，不全面，缺1-2项的计6分 ③内容或功能缺2项以上，计3分， ④内容或功能缺项3项以上（含），方案混乱，计1分， ④未提供不计分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针对本项目的组织管理机构设置及人员分工安排方案，包括但不限于项目管理人员情况、技术岗人员情况、人员数量、人员资质及从业年限等， ①人员配置数量充足、岗位设置合理、分工明确，计10分； ②人员配置数量充足但分工模糊、岗位设置缺少合理性，计8分； ③上述内容有任意1项欠缺，方案不全面，计6分 ④上述内容有任意2项以上（含）欠缺或整体内容混乱，计3分； ⑤上述内容有3项以上（含）计1分， ⑥未提供本项内容的不计分。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应急方案</w:t>
            </w:r>
          </w:p>
        </w:tc>
        <w:tc>
          <w:tcPr>
            <w:tcW w:type="dxa" w:w="2492"/>
          </w:tcPr>
          <w:p>
            <w:pPr>
              <w:pStyle w:val="null3"/>
            </w:pPr>
            <w:r>
              <w:rPr/>
              <w:t>制定针对本项目的突发事件应急处理方案及措施（包括但不限于系统平台故障应急、移动客户端故障应急、应急小组保障）。 ①内容完整、全面、详细，措施合理具体；计8分； ②内容完整，但条理不清晰、保证措施不具体，计6分； ③上述内容有任意1项欠缺，方案不全面，计3分 ④上述内容有任意2项以上（含）欠缺或整体内容混乱，计1分； ⑤未提供相关内容不计分。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服务承诺</w:t>
            </w:r>
          </w:p>
        </w:tc>
        <w:tc>
          <w:tcPr>
            <w:tcW w:type="dxa" w:w="2492"/>
          </w:tcPr>
          <w:p>
            <w:pPr>
              <w:pStyle w:val="null3"/>
            </w:pPr>
            <w:r>
              <w:rPr/>
              <w:t>提供完整、可行的售后服务及培训方案（包含但不限于日常培训、日常响应、配件更换时限、服务响应速度及应对措施，售后服务团队等），接受采购人对服务的考核、监督及管理，并对服务质量加以改进，确保服务工作的优质高效，并提供针对本项目的安全责任承诺书。 ①服务承诺完善详细、措施具体、全面合理，计7分； ②服务承诺内容完整但条理不清晰、措施内容不详细，计5分； ③服务承诺重点不明确、无保障措施、无安全责任承诺书，计2分； ④服务承诺只有框架无实质性内容、无可行性，计1分； ⑤未提供相关内容的不计分。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1.提供供应商2021年1月1日至今同类仪器维保业绩，每提供一份业绩计1分，满分5分。（响应文件中提供合同复印件加盖用户公章） 2.提供供应商2021年1月1日至今同类项目仪器维保理赔业绩，每提供一份维保理赔案例计1分，满分5分。（响应文件中提供保险理赔相关佐证材料，包括向保险公司报案的记录、理赔维修合同和保险公司理赔入账凭证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磋商报价得分=(磋商基准价／磋商报价)×价格权值（即20%）×100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详见附件：法定代表人授权委托书（格式）</w:t>
      </w:r>
    </w:p>
    <w:p>
      <w:pPr>
        <w:pStyle w:val="null3"/>
        <w:ind w:firstLine="960"/>
      </w:pPr>
      <w:r>
        <w:rPr/>
        <w:t>详见附件：服务响应偏离表（格式）</w:t>
      </w:r>
    </w:p>
    <w:p>
      <w:pPr>
        <w:pStyle w:val="null3"/>
        <w:ind w:firstLine="960"/>
      </w:pPr>
      <w:r>
        <w:rPr/>
        <w:t>详见附件：商务条款响应偏离表（格式）</w:t>
      </w:r>
    </w:p>
    <w:p>
      <w:pPr>
        <w:pStyle w:val="null3"/>
        <w:ind w:firstLine="960"/>
      </w:pPr>
      <w:r>
        <w:rPr/>
        <w:t>详见附件：服务方案</w:t>
      </w:r>
    </w:p>
    <w:p>
      <w:pPr>
        <w:pStyle w:val="null3"/>
        <w:ind w:firstLine="960"/>
      </w:pPr>
      <w:r>
        <w:rPr/>
        <w:t>详见附件：人员配备</w:t>
      </w:r>
    </w:p>
    <w:p>
      <w:pPr>
        <w:pStyle w:val="null3"/>
        <w:ind w:firstLine="960"/>
      </w:pPr>
      <w:r>
        <w:rPr/>
        <w:t>详见附件：应急方案</w:t>
      </w:r>
    </w:p>
    <w:p>
      <w:pPr>
        <w:pStyle w:val="null3"/>
        <w:ind w:firstLine="960"/>
      </w:pPr>
      <w:r>
        <w:rPr/>
        <w:t>详见附件：服务承诺</w:t>
      </w:r>
    </w:p>
    <w:p>
      <w:pPr>
        <w:pStyle w:val="null3"/>
        <w:ind w:firstLine="960"/>
      </w:pPr>
      <w:r>
        <w:rPr/>
        <w:t>详见附件：业绩</w:t>
      </w:r>
    </w:p>
    <w:p>
      <w:pPr>
        <w:pStyle w:val="null3"/>
        <w:ind w:firstLine="960"/>
      </w:pPr>
      <w:r>
        <w:rPr/>
        <w:t>详见附件：《拒绝政府采购领域商业贿赂承诺书》（格式）</w:t>
      </w:r>
    </w:p>
    <w:p>
      <w:pPr>
        <w:pStyle w:val="null3"/>
        <w:ind w:firstLine="960"/>
      </w:pPr>
      <w:r>
        <w:rPr/>
        <w:t>详见附件：供应商认为有必要说明的事宜（若有）</w:t>
      </w:r>
    </w:p>
    <w:p>
      <w:pPr>
        <w:pStyle w:val="null3"/>
        <w:ind w:firstLine="960"/>
      </w:pPr>
      <w:r>
        <w:rPr/>
        <w:t>详见附件：资格要求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