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两校区校内建筑（骊山校园1-13号学生公寓电箱迁移）消防隐患整改项目</w:t>
      </w:r>
    </w:p>
    <w:p>
      <w:pPr>
        <w:pStyle w:val="null3"/>
        <w:jc w:val="center"/>
        <w:outlineLvl w:val="2"/>
      </w:pPr>
      <w:r>
        <w:rPr>
          <w:sz w:val="28"/>
          <w:b/>
        </w:rPr>
        <w:t>采购项目编号：</w:t>
      </w:r>
      <w:r>
        <w:rPr>
          <w:sz w:val="28"/>
          <w:b/>
        </w:rPr>
        <w:t>RH采字【20241009】号</w:t>
      </w:r>
      <w:r>
        <w:br/>
      </w:r>
      <w:r>
        <w:br/>
      </w:r>
      <w:r>
        <w:br/>
      </w:r>
    </w:p>
    <w:p>
      <w:pPr>
        <w:pStyle w:val="null3"/>
        <w:jc w:val="center"/>
        <w:outlineLvl w:val="2"/>
      </w:pPr>
      <w:r>
        <w:rPr>
          <w:sz w:val="28"/>
          <w:b/>
        </w:rPr>
        <w:t>西安科技大学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2024年10月25日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瑞恒项目管理有限公司</w:t>
      </w:r>
      <w:r>
        <w:rPr/>
        <w:t>（以下简称“代理机构”）受</w:t>
      </w:r>
      <w:r>
        <w:rPr/>
        <w:t>西安科技大学</w:t>
      </w:r>
      <w:r>
        <w:rPr/>
        <w:t>委托，拟对</w:t>
      </w:r>
      <w:r>
        <w:rPr/>
        <w:t>两校区校内建筑（骊山校园1-13号学生公寓电箱迁移）消防隐患整改项目</w:t>
      </w:r>
      <w:r>
        <w:rPr/>
        <w:t>采用竞争性磋商采购方式进行采购，兹邀请供应商参加本项目的竞争性磋商。</w:t>
      </w:r>
    </w:p>
    <w:p>
      <w:pPr>
        <w:pStyle w:val="null3"/>
        <w:outlineLvl w:val="2"/>
      </w:pPr>
      <w:r>
        <w:rPr>
          <w:sz w:val="28"/>
          <w:b/>
        </w:rPr>
        <w:t>一、采购项目编号：</w:t>
      </w:r>
      <w:r>
        <w:rPr>
          <w:sz w:val="28"/>
          <w:b/>
        </w:rPr>
        <w:t>RH采字【20241009】号</w:t>
      </w:r>
    </w:p>
    <w:p>
      <w:pPr>
        <w:pStyle w:val="null3"/>
        <w:outlineLvl w:val="2"/>
      </w:pPr>
      <w:r>
        <w:rPr>
          <w:sz w:val="28"/>
          <w:b/>
        </w:rPr>
        <w:t>二、采购项目名称：</w:t>
      </w:r>
      <w:r>
        <w:rPr>
          <w:sz w:val="28"/>
          <w:b/>
        </w:rPr>
        <w:t>两校区校内建筑（骊山校园1-13号学生公寓电箱迁移）消防隐患整改项目</w:t>
      </w:r>
    </w:p>
    <w:p>
      <w:pPr>
        <w:pStyle w:val="null3"/>
        <w:outlineLvl w:val="2"/>
      </w:pPr>
      <w:r>
        <w:rPr>
          <w:sz w:val="28"/>
          <w:b/>
        </w:rPr>
        <w:t>三、磋商项目简介</w:t>
      </w:r>
    </w:p>
    <w:p>
      <w:pPr>
        <w:pStyle w:val="null3"/>
        <w:ind w:firstLine="480"/>
      </w:pPr>
      <w:r>
        <w:rPr/>
        <w:t>西安科技大学两校区校内建筑（骊山校园1-13号学生公寓电箱迁移）消防隐患整改项目，在骊山校园1#-13#公寓楼电气配电线路重新布置，主要为1#-13#公寓楼楼梯间内、疏散走道内设置配电箱全部迁移至设备专用房间内；全部按照设计要求进行迁移，在每栋楼一层、五层分别设置一间集中配电房（具体房间以现场实际为准），集中管理。具体内容详见图纸及工程量清单（见附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采购包1（两校区校内建筑（骊山校园1-13号学生公寓电箱迁移）消防隐患整改项目）：属于专门面向中小企业采购。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1、具有独立承担民事责任的能力：具有独立承担民事责任能力的法人、其他组织或自然人，提供合法有效的统一社会信用代码营业执照等证明材料（事业单位提供法人证书，自然人提供身份证）。</w:t>
      </w:r>
    </w:p>
    <w:p>
      <w:pPr>
        <w:pStyle w:val="null3"/>
      </w:pPr>
      <w:r>
        <w:rPr/>
        <w:t>2、具有良好的商业信誉和健全的财务会计制度：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p>
      <w:pPr>
        <w:pStyle w:val="null3"/>
      </w:pPr>
      <w:r>
        <w:rPr/>
        <w:t>3、有依法缴纳税收的良好记录：法人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t>4、有依法缴纳社会保障资金的良好记录：提供响应文件递交截止时间前一年内任意一个月已缴纳的社会保障资金的凭据（社会保障资金缴存单据或社保机构开具的社会保险参保缴费情况证明）；依法不需要缴纳社会保障资金的供应商应提供相关文件证明。</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法定代表人授权书（附法定代表人、被授权人身份证复印件）及被授权人响应文件递交截止时间前一年内任意一个月的社会保障资金（养老保险或医疗保险）的缴纳证明，或法定代表人直接参加磋商响应的，提供法定代表人身份证明及身份证复印件。</w:t>
      </w:r>
    </w:p>
    <w:p>
      <w:pPr>
        <w:pStyle w:val="null3"/>
      </w:pPr>
      <w:r>
        <w:rPr/>
        <w:t>8、未被“信用中国”网站（www.creditchina.gov.cn）列入失信被执行人或重大税收违法失信主体名单，未被财政部门在中国政府采购网（www.ccgp.gov.cn）政府采购严重违法失信行为记录名单中禁止参加政府采购活动：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9、供应商企业资质：具备建设行政主管部门颁发的机电工程施工总承包三级以上（含三级）资质证书或建筑机电安装工程专业承包三级以上（含三级）资质证书，并具备有效的安全生产许可证。</w:t>
      </w:r>
    </w:p>
    <w:p>
      <w:pPr>
        <w:pStyle w:val="null3"/>
      </w:pPr>
      <w:r>
        <w:rPr/>
        <w:t>10、拟派项目负责人资质和专业要求：拟派项目经理须具备机电工程专业二级以上（含二级）注册建造师执业资格证（在本单位注册）及有效的安全生产考核合格证（建安B证），未担任其它在建工程的项目经理（提供承诺）。</w:t>
      </w:r>
    </w:p>
    <w:p>
      <w:pPr>
        <w:pStyle w:val="null3"/>
      </w:pPr>
      <w:r>
        <w:rPr/>
        <w:t>11、外省进陕企业要求：外省进陕企业提供陕西省住房和城乡建设厅官网企业库外省进陕企业信息首页截图。</w:t>
      </w:r>
    </w:p>
    <w:p>
      <w:pPr>
        <w:pStyle w:val="null3"/>
      </w:pPr>
      <w:r>
        <w:rPr/>
        <w:t>12、供应商建设诚信平台信誉：供应商未在项目所在地及以上各级建设诚信平台被列为投标受限制的行为人（提供承诺）。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西安科技大学</w:t>
      </w:r>
    </w:p>
    <w:p>
      <w:pPr>
        <w:pStyle w:val="null3"/>
      </w:pPr>
      <w:r>
        <w:rPr/>
        <w:t xml:space="preserve"> 地址： </w:t>
      </w:r>
      <w:r>
        <w:rPr/>
        <w:t>西安市雁塔路58号</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029-83858191</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采购包1：1,647,182.00元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说明：供应商成交后凭成交通知书向采购人缴纳成交金额的5%作为履约保证金，待整体工程验收合格后凭验收单和缴款收据，予以无息退还扣款剩余后的履约保证金。</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依据西安科技大学委托代理协议,采购代理服务费参照国家计委颁发的《招标代理服务收费管理暂行办法》（计价格[2002]1980号）和国家发展改革委员会办公厅颁发的《关于招标代理服务收费有关问题的通知》（发改办价格[2003]857号）的有关规定下浮22.5%收取。中标人在领取中标通知书前，须向采购代理机构一次性支付招标代理服务费。 本项目类型：货物 户名：瑞恒项目管理有限公司 开户行：工行西安城南科技支行 账号：3700024819200044620</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踏勘时间：2024-11-02 09:30:00</w:t>
            </w:r>
          </w:p>
          <w:p>
            <w:pPr>
              <w:pStyle w:val="null3"/>
              <w:ind w:firstLine="975"/>
            </w:pPr>
            <w:r>
              <w:rPr/>
              <w:t>踏勘地点：西安科技大学临潼校区骊山校园综合楼门前</w:t>
            </w:r>
          </w:p>
          <w:p>
            <w:pPr>
              <w:pStyle w:val="null3"/>
              <w:ind w:firstLine="975"/>
            </w:pPr>
            <w:r>
              <w:rPr/>
              <w:t>联系人：张老师</w:t>
            </w:r>
          </w:p>
          <w:p>
            <w:pPr>
              <w:pStyle w:val="null3"/>
              <w:ind w:firstLine="975"/>
            </w:pPr>
            <w:r>
              <w:rPr/>
              <w:t>联系电话号码：15291695210</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西安科技大学</w:t>
      </w:r>
      <w:r>
        <w:rPr/>
        <w:t>和</w:t>
      </w:r>
      <w:r>
        <w:rPr/>
        <w:t>瑞恒项目管理有限公司</w:t>
      </w:r>
      <w:r>
        <w:rPr/>
        <w:t>享有。对磋商文件中供应商参加本次政府采购活动应当具备的条件，磋商项目技术、服务、商务及其他要求，评审细则及标准由</w:t>
      </w:r>
      <w:r>
        <w:rPr/>
        <w:t>西安科技大学</w:t>
      </w:r>
      <w:r>
        <w:rPr/>
        <w:t>负责解释。除上述磋商文件内容，其他内容由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瑞恒项目管理有限公司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（1）磋商文件、响应文件、澄清表（函）； （2）合同及附件文本； （3）国家相应的标准、规范。</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瑞恒项目管理有限公司</w:t>
      </w:r>
      <w:r>
        <w:rPr/>
        <w:t xml:space="preserve"> 负责答复；供应商对采购过程的询问、质疑由</w:t>
      </w:r>
      <w:r>
        <w:rPr/>
        <w:t>瑞恒项目管理有限公司</w:t>
      </w:r>
      <w:r>
        <w:rPr/>
        <w:t xml:space="preserve"> 负责答复；供应商对采购结果的询问、质疑由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联系人：石雨鑫、张丰利、刘菲</w:t>
      </w:r>
    </w:p>
    <w:p>
      <w:pPr>
        <w:pStyle w:val="null3"/>
      </w:pPr>
      <w:r>
        <w:rPr/>
        <w:t>联系电话：15091632950</w:t>
      </w:r>
    </w:p>
    <w:p>
      <w:pPr>
        <w:pStyle w:val="null3"/>
      </w:pPr>
      <w:r>
        <w:rPr/>
        <w:t>地址：陕西省西安市曲江新区雁翔路3269号旺座曲江D座30层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1,647,182.00</w:t>
      </w:r>
    </w:p>
    <w:p>
      <w:pPr>
        <w:pStyle w:val="null3"/>
      </w:pPr>
      <w:r>
        <w:rPr/>
        <w:t>采购包最高限价（元）: 1,647,182.00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两校区校内建筑（骊山校园1-13号学生公寓电箱迁移）消防隐患整改</w:t>
            </w:r>
          </w:p>
        </w:tc>
        <w:tc>
          <w:tcPr>
            <w:tcW w:type="dxa" w:w="1384"/>
          </w:tcPr>
          <w:p>
            <w:pPr>
              <w:pStyle w:val="null3"/>
              <w:jc w:val="right"/>
            </w:pPr>
            <w:r>
              <w:rPr/>
              <w:t>1.00</w:t>
            </w:r>
          </w:p>
        </w:tc>
        <w:tc>
          <w:tcPr>
            <w:tcW w:type="dxa" w:w="1384"/>
          </w:tcPr>
          <w:p>
            <w:pPr>
              <w:pStyle w:val="null3"/>
              <w:jc w:val="right"/>
            </w:pPr>
            <w:r>
              <w:rPr/>
              <w:t>1,647,182.00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标的名称：两校区校内建筑（骊山校园1-13号学生公寓电箱迁移）消防隐患整改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0"/>
                <w:b/>
              </w:rPr>
              <w:t>项目概况</w:t>
            </w:r>
            <w:r>
              <w:rPr>
                <w:rFonts w:ascii="宋体" w:hAnsi="宋体" w:cs="宋体" w:eastAsia="宋体"/>
                <w:sz w:val="20"/>
                <w:b/>
              </w:rPr>
              <w:t>：</w:t>
            </w:r>
            <w:r>
              <w:rPr>
                <w:rFonts w:ascii="宋体" w:hAnsi="宋体" w:cs="宋体" w:eastAsia="宋体"/>
                <w:sz w:val="20"/>
              </w:rPr>
              <w:t xml:space="preserve"> </w:t>
            </w:r>
            <w:r>
              <w:rPr>
                <w:rFonts w:ascii="宋体" w:hAnsi="宋体" w:cs="宋体" w:eastAsia="宋体"/>
                <w:sz w:val="20"/>
              </w:rPr>
              <w:t>西安科技大学两校区校内建筑（骊山校园</w:t>
            </w:r>
            <w:r>
              <w:rPr>
                <w:rFonts w:ascii="宋体" w:hAnsi="宋体" w:cs="宋体" w:eastAsia="宋体"/>
                <w:sz w:val="20"/>
              </w:rPr>
              <w:t>1-13号学生公寓电箱迁移）消防隐患整改项目，在骊山校园1#-13#公寓楼电气配电线路重新布置，主要为1#-13#公寓楼楼梯间内、疏散走道内设置配电箱全部迁移至设备专用房间内；全部按照设计要求进行迁移，在每栋楼一层、五层分别设置一间集中配电房（具体房间以现场实际为准），集中管理。具体内容详见图纸及工程量清单（见附件）。</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0"/>
                <w:b/>
              </w:rPr>
              <w:t>招标范围：</w:t>
            </w:r>
            <w:r>
              <w:rPr>
                <w:rFonts w:ascii="宋体" w:hAnsi="宋体" w:cs="宋体" w:eastAsia="宋体"/>
                <w:sz w:val="20"/>
              </w:rPr>
              <w:t>西安科技大学临潼校区骊山校园公寓楼</w:t>
            </w:r>
            <w:r>
              <w:rPr>
                <w:rFonts w:ascii="宋体" w:hAnsi="宋体" w:cs="宋体" w:eastAsia="宋体"/>
                <w:sz w:val="20"/>
              </w:rPr>
              <w:t>1#-13#楼电气配电线路重新布置，满足采购人的正常用电及通过消防、住建等上级相关部门验收。</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宋体" w:hAnsi="宋体" w:cs="宋体" w:eastAsia="宋体"/>
                <w:sz w:val="20"/>
              </w:rPr>
              <w:t>工期：</w:t>
            </w:r>
            <w:r>
              <w:rPr>
                <w:rFonts w:ascii="宋体" w:hAnsi="宋体" w:cs="宋体" w:eastAsia="宋体"/>
                <w:sz w:val="20"/>
              </w:rPr>
              <w:t>接到进场通知之日施工时间</w:t>
            </w:r>
            <w:r>
              <w:rPr>
                <w:rFonts w:ascii="宋体" w:hAnsi="宋体" w:cs="宋体" w:eastAsia="宋体"/>
                <w:sz w:val="20"/>
              </w:rPr>
              <w:t>15天</w:t>
            </w:r>
          </w:p>
          <w:p>
            <w:pPr>
              <w:pStyle w:val="null3"/>
              <w:jc w:val="both"/>
            </w:pPr>
            <w:r>
              <w:rPr>
                <w:rFonts w:ascii="宋体" w:hAnsi="宋体" w:cs="宋体" w:eastAsia="宋体"/>
                <w:sz w:val="21"/>
              </w:rPr>
              <w:t>工期要求：接到进场通知之日起</w:t>
            </w:r>
            <w:r>
              <w:rPr>
                <w:rFonts w:ascii="times new roman, times, serif" w:hAnsi="times new roman, times, serif" w:cs="times new roman, times, serif" w:eastAsia="times new roman, times, serif"/>
                <w:sz w:val="21"/>
              </w:rPr>
              <w:t>15</w:t>
            </w:r>
            <w:r>
              <w:rPr>
                <w:rFonts w:ascii="宋体" w:hAnsi="宋体" w:cs="宋体" w:eastAsia="宋体"/>
                <w:sz w:val="21"/>
              </w:rPr>
              <w:t>日历天。每延误一天工期采购人扣除履约保证金</w:t>
            </w:r>
            <w:r>
              <w:rPr>
                <w:rFonts w:ascii="times new roman, times, serif" w:hAnsi="times new roman, times, serif" w:cs="times new roman, times, serif" w:eastAsia="times new roman, times, serif"/>
                <w:sz w:val="21"/>
              </w:rPr>
              <w:t>1</w:t>
            </w:r>
            <w:r>
              <w:rPr>
                <w:rFonts w:ascii="宋体" w:hAnsi="宋体" w:cs="宋体" w:eastAsia="宋体"/>
                <w:sz w:val="21"/>
              </w:rPr>
              <w:t>万元，直至扣完。待整体工程验收合格后凭验收单和缴款收据，予以无息退还扣款剩余后的履约保证金。</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0"/>
              </w:rPr>
              <w:t>项目地点：</w:t>
            </w:r>
            <w:r>
              <w:rPr>
                <w:rFonts w:ascii="宋体" w:hAnsi="宋体" w:cs="宋体" w:eastAsia="宋体"/>
                <w:sz w:val="20"/>
              </w:rPr>
              <w:t>采购人指定地点</w:t>
            </w:r>
            <w:r>
              <w:rPr>
                <w:rFonts w:ascii="宋体" w:hAnsi="宋体" w:cs="宋体" w:eastAsia="宋体"/>
                <w:sz w:val="20"/>
              </w:rPr>
              <w:t>。</w:t>
            </w:r>
          </w:p>
        </w:tc>
      </w:tr>
      <w:tr>
        <w:tc>
          <w:tcPr>
            <w:tcW w:type="dxa" w:w="2769"/>
          </w:tcPr>
          <w:p>
            <w:pPr>
              <w:pStyle w:val="null3"/>
            </w:pPr>
            <w:r>
              <w:rPr/>
              <w:t>★</w:t>
            </w:r>
          </w:p>
        </w:tc>
        <w:tc>
          <w:tcPr>
            <w:tcW w:type="dxa" w:w="2769"/>
          </w:tcPr>
          <w:p>
            <w:pPr>
              <w:pStyle w:val="null3"/>
            </w:pPr>
            <w:r>
              <w:rPr/>
              <w:t>5</w:t>
            </w:r>
          </w:p>
        </w:tc>
        <w:tc>
          <w:tcPr>
            <w:tcW w:type="dxa" w:w="2769"/>
          </w:tcPr>
          <w:p>
            <w:pPr>
              <w:pStyle w:val="null3"/>
              <w:jc w:val="both"/>
            </w:pPr>
            <w:r>
              <w:rPr>
                <w:rFonts w:ascii="宋体" w:hAnsi="宋体" w:cs="宋体" w:eastAsia="宋体"/>
                <w:sz w:val="20"/>
              </w:rPr>
              <w:t>质量要求：符合国家现行相关施工验收规范标准合格等级，符合消防相关法规及消防行政管理相关文件要求。材料进场前</w:t>
            </w:r>
            <w:r>
              <w:rPr>
                <w:rFonts w:ascii="宋体" w:hAnsi="宋体" w:cs="宋体" w:eastAsia="宋体"/>
                <w:sz w:val="20"/>
              </w:rPr>
              <w:t>供应商</w:t>
            </w:r>
            <w:r>
              <w:rPr>
                <w:rFonts w:ascii="宋体" w:hAnsi="宋体" w:cs="宋体" w:eastAsia="宋体"/>
                <w:sz w:val="20"/>
              </w:rPr>
              <w:t>出具厂家及第三方检测机构合规报告，</w:t>
            </w:r>
            <w:r>
              <w:rPr>
                <w:rFonts w:ascii="宋体" w:hAnsi="宋体" w:cs="宋体" w:eastAsia="宋体"/>
                <w:sz w:val="20"/>
              </w:rPr>
              <w:t>采购人</w:t>
            </w:r>
            <w:r>
              <w:rPr>
                <w:rFonts w:ascii="宋体" w:hAnsi="宋体" w:cs="宋体" w:eastAsia="宋体"/>
                <w:sz w:val="20"/>
              </w:rPr>
              <w:t>有权抽检并委托第三方检测机构进行检测，满足本项目的技术要求，方可进场；如若出现材料不符合技术标准要求，则视为施工方违约，并承担本项目的所有损失及责任。项目竣工并稳定运行一段时间后，政府消防、住建等相关部门出具的验收报告中的验收结论作为此项工作是否合格的唯一结论。</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宋体" w:hAnsi="宋体" w:cs="宋体" w:eastAsia="宋体"/>
                <w:sz w:val="20"/>
              </w:rPr>
              <w:t>磋商报价要求：</w:t>
            </w:r>
          </w:p>
          <w:p>
            <w:pPr>
              <w:pStyle w:val="null3"/>
              <w:jc w:val="left"/>
            </w:pPr>
            <w:r>
              <w:rPr>
                <w:rFonts w:ascii="宋体" w:hAnsi="宋体" w:cs="宋体" w:eastAsia="宋体"/>
                <w:sz w:val="20"/>
              </w:rPr>
              <w:t>1.</w:t>
            </w:r>
            <w:r>
              <w:rPr>
                <w:rFonts w:ascii="宋体" w:hAnsi="宋体" w:cs="宋体" w:eastAsia="宋体"/>
                <w:sz w:val="20"/>
              </w:rPr>
              <w:t>本项目为固定总价招标。供应商可根据采购人提供的工程量清单内容结合自行踏勘情况内容对工程量清单进行完善，本项目为总价合同，即交钥匙工程，供应商所填报的费用应是完成本项目所涵盖的施工范围内的所有内容。如因供应商原因导致报价漏项、缺项的，视为已包含在磋商报价中，采购人不再另行支付任何费用，合同总价款不因任何原因调整。</w:t>
            </w:r>
          </w:p>
          <w:p>
            <w:pPr>
              <w:pStyle w:val="null3"/>
              <w:jc w:val="left"/>
            </w:pPr>
            <w:r>
              <w:rPr>
                <w:rFonts w:ascii="宋体" w:hAnsi="宋体" w:cs="宋体" w:eastAsia="宋体"/>
                <w:sz w:val="20"/>
              </w:rPr>
              <w:t>2.</w:t>
            </w:r>
            <w:r>
              <w:rPr>
                <w:rFonts w:ascii="宋体" w:hAnsi="宋体" w:cs="宋体" w:eastAsia="宋体"/>
                <w:sz w:val="20"/>
              </w:rPr>
              <w:t>供应商的磋商总报价应综合考虑磋商文件中提出的各项费用支出。如施工、设备材料采购供应、设备操作人员和维护人员的培训、消防验收手续办理、试运行、竣工资料的汇总移交等全部费用，同时供应商应充分考虑材料价格、工期定额、资金拨付、政策性调整等未知风险因素，项目实施过程中因承包人原因未能全面理解验收标准及发包人要求等情况引起的本项目的漏项、缺项或变更，采购人视为费用已包含在磋商报价中，不再另行增加费用。</w:t>
            </w:r>
          </w:p>
          <w:p>
            <w:pPr>
              <w:pStyle w:val="null3"/>
              <w:jc w:val="left"/>
            </w:pPr>
            <w:r>
              <w:rPr>
                <w:rFonts w:ascii="宋体" w:hAnsi="宋体" w:cs="宋体" w:eastAsia="宋体"/>
                <w:sz w:val="20"/>
              </w:rPr>
              <w:t>3.</w:t>
            </w:r>
            <w:r>
              <w:rPr>
                <w:rFonts w:ascii="宋体" w:hAnsi="宋体" w:cs="宋体" w:eastAsia="宋体"/>
                <w:sz w:val="20"/>
              </w:rPr>
              <w:t>供应商充分考虑定额人工费调价、材料价格波动、工期定额、资金拨付、</w:t>
            </w:r>
            <w:r>
              <w:rPr>
                <w:rFonts w:ascii="宋体" w:hAnsi="宋体" w:cs="宋体" w:eastAsia="宋体"/>
                <w:sz w:val="20"/>
              </w:rPr>
              <w:t>政策性调整、采购需求未能全部罗列验收合格标准中的细节问题等全部未知风险因素</w:t>
            </w:r>
            <w:r>
              <w:rPr>
                <w:rFonts w:ascii="宋体" w:hAnsi="宋体" w:cs="宋体" w:eastAsia="宋体"/>
                <w:sz w:val="20"/>
              </w:rPr>
              <w:t>，在项目实施过程中不再因为上述任何因素调整价格。</w:t>
            </w:r>
          </w:p>
          <w:p>
            <w:pPr>
              <w:pStyle w:val="null3"/>
              <w:jc w:val="both"/>
            </w:pPr>
            <w:r>
              <w:rPr>
                <w:rFonts w:ascii="宋体" w:hAnsi="宋体" w:cs="宋体" w:eastAsia="宋体"/>
                <w:sz w:val="20"/>
              </w:rPr>
              <w:t>4.</w:t>
            </w:r>
            <w:r>
              <w:rPr>
                <w:rFonts w:ascii="宋体" w:hAnsi="宋体" w:cs="宋体" w:eastAsia="宋体"/>
                <w:sz w:val="20"/>
              </w:rPr>
              <w:t>每个供应商每次报价对本工程只允许有一个报价，采购人不接受有任何选</w:t>
            </w:r>
            <w:r>
              <w:rPr>
                <w:rFonts w:ascii="宋体" w:hAnsi="宋体" w:cs="宋体" w:eastAsia="宋体"/>
                <w:sz w:val="20"/>
              </w:rPr>
              <w:t>择的报价。供应商应提交与磋商文件包括发包人要求相符的磋商报价。</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rFonts w:ascii="宋体" w:hAnsi="宋体" w:cs="宋体" w:eastAsia="宋体"/>
                <w:sz w:val="20"/>
              </w:rPr>
              <w:t>中标</w:t>
            </w:r>
            <w:r>
              <w:rPr>
                <w:rFonts w:ascii="宋体" w:hAnsi="宋体" w:cs="宋体" w:eastAsia="宋体"/>
                <w:sz w:val="20"/>
              </w:rPr>
              <w:t>/成交供应商是否需要缴纳履约保证金：是</w:t>
            </w:r>
          </w:p>
          <w:p>
            <w:pPr>
              <w:pStyle w:val="null3"/>
            </w:pPr>
            <w:r>
              <w:rPr>
                <w:rFonts w:ascii="宋体" w:hAnsi="宋体" w:cs="宋体" w:eastAsia="宋体"/>
                <w:sz w:val="20"/>
              </w:rPr>
              <w:t>履约保证金缴纳比例：</w:t>
            </w:r>
            <w:r>
              <w:rPr>
                <w:rFonts w:ascii="宋体" w:hAnsi="宋体" w:cs="宋体" w:eastAsia="宋体"/>
                <w:sz w:val="20"/>
              </w:rPr>
              <w:t>5.0%</w:t>
            </w:r>
          </w:p>
          <w:p>
            <w:pPr>
              <w:pStyle w:val="null3"/>
            </w:pPr>
            <w:r>
              <w:rPr>
                <w:rFonts w:ascii="宋体" w:hAnsi="宋体" w:cs="宋体" w:eastAsia="宋体"/>
                <w:sz w:val="20"/>
              </w:rPr>
              <w:t>缴纳方式：银行转账，支票</w:t>
            </w:r>
            <w:r>
              <w:rPr>
                <w:rFonts w:ascii="宋体" w:hAnsi="宋体" w:cs="宋体" w:eastAsia="宋体"/>
                <w:sz w:val="20"/>
              </w:rPr>
              <w:t>/汇票/本票，保函/保险</w:t>
            </w:r>
          </w:p>
          <w:p>
            <w:pPr>
              <w:pStyle w:val="null3"/>
              <w:jc w:val="both"/>
            </w:pPr>
            <w:r>
              <w:rPr>
                <w:rFonts w:ascii="宋体" w:hAnsi="宋体" w:cs="宋体" w:eastAsia="宋体"/>
                <w:sz w:val="20"/>
              </w:rPr>
              <w:t>缴纳说明：供应商成交后凭成交通知书向采购人缴纳成交金额的</w:t>
            </w:r>
            <w:r>
              <w:rPr>
                <w:rFonts w:ascii="宋体" w:hAnsi="宋体" w:cs="宋体" w:eastAsia="宋体"/>
                <w:sz w:val="20"/>
              </w:rPr>
              <w:t>5%作为履约保证金，</w:t>
            </w:r>
            <w:r>
              <w:rPr>
                <w:rFonts w:ascii="宋体" w:hAnsi="宋体" w:cs="宋体" w:eastAsia="宋体"/>
                <w:sz w:val="20"/>
              </w:rPr>
              <w:t>待整体工程验收合格后凭验收单和缴款收据，予以无息退还扣款剩余后的履约保证金</w:t>
            </w:r>
            <w:r>
              <w:rPr>
                <w:rFonts w:ascii="宋体" w:hAnsi="宋体" w:cs="宋体" w:eastAsia="宋体"/>
                <w:sz w:val="20"/>
              </w:rPr>
              <w:t>。</w:t>
            </w:r>
          </w:p>
        </w:tc>
      </w:tr>
      <w:tr>
        <w:tc>
          <w:tcPr>
            <w:tcW w:type="dxa" w:w="2769"/>
          </w:tcPr>
          <w:p>
            <w:pPr>
              <w:pStyle w:val="null3"/>
            </w:pPr>
            <w:r>
              <w:rPr/>
              <w:t>★</w:t>
            </w:r>
          </w:p>
        </w:tc>
        <w:tc>
          <w:tcPr>
            <w:tcW w:type="dxa" w:w="2769"/>
          </w:tcPr>
          <w:p>
            <w:pPr>
              <w:pStyle w:val="null3"/>
            </w:pPr>
            <w:r>
              <w:rPr/>
              <w:t>8</w:t>
            </w:r>
          </w:p>
        </w:tc>
        <w:tc>
          <w:tcPr>
            <w:tcW w:type="dxa" w:w="2769"/>
          </w:tcPr>
          <w:p>
            <w:pPr>
              <w:pStyle w:val="null3"/>
            </w:pPr>
            <w:r>
              <w:rPr>
                <w:rFonts w:ascii="宋体" w:hAnsi="宋体" w:cs="宋体" w:eastAsia="宋体"/>
                <w:sz w:val="20"/>
                <w:b/>
              </w:rPr>
              <w:t>1.</w:t>
            </w:r>
            <w:r>
              <w:rPr>
                <w:rFonts w:ascii="宋体" w:hAnsi="宋体" w:cs="宋体" w:eastAsia="宋体"/>
                <w:sz w:val="20"/>
                <w:b/>
              </w:rPr>
              <w:t>结算单位：</w:t>
            </w:r>
            <w:r>
              <w:rPr>
                <w:rFonts w:ascii="宋体" w:hAnsi="宋体" w:cs="宋体" w:eastAsia="宋体"/>
                <w:sz w:val="20"/>
              </w:rPr>
              <w:t>采购人结算，在付款前必须开具全额增值税专用发票给采购人。</w:t>
            </w:r>
          </w:p>
          <w:p>
            <w:pPr>
              <w:pStyle w:val="null3"/>
              <w:jc w:val="both"/>
            </w:pPr>
            <w:r>
              <w:rPr>
                <w:rFonts w:ascii="宋体" w:hAnsi="宋体" w:cs="宋体" w:eastAsia="宋体"/>
                <w:sz w:val="20"/>
                <w:b/>
              </w:rPr>
              <w:t>2.</w:t>
            </w:r>
            <w:r>
              <w:rPr>
                <w:rFonts w:ascii="宋体" w:hAnsi="宋体" w:cs="宋体" w:eastAsia="宋体"/>
                <w:sz w:val="20"/>
                <w:b/>
              </w:rPr>
              <w:t>付款方式：</w:t>
            </w:r>
            <w:r>
              <w:rPr>
                <w:rFonts w:ascii="宋体" w:hAnsi="宋体" w:cs="宋体" w:eastAsia="宋体"/>
                <w:sz w:val="20"/>
              </w:rPr>
              <w:t>合同签订材料进场后支付合同价的</w:t>
            </w:r>
            <w:r>
              <w:rPr>
                <w:rFonts w:ascii="宋体" w:hAnsi="宋体" w:cs="宋体" w:eastAsia="宋体"/>
                <w:sz w:val="20"/>
              </w:rPr>
              <w:t>40%作为预付款；工程验收合格（采购人及政府消防、住建等相关部门验收）并完成项目审计后支付至审定价的97%；剩余3%作为质量保证金，项目质保期结束无质量问题30天内无息付清。如遇学校公共假期，付款时间根据具体情况推后。</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rFonts w:ascii="宋体" w:hAnsi="宋体" w:cs="宋体" w:eastAsia="宋体"/>
                <w:sz w:val="20"/>
                <w:b/>
              </w:rPr>
              <w:t>质保期及质保保修要求：</w:t>
            </w:r>
          </w:p>
          <w:p>
            <w:pPr>
              <w:pStyle w:val="null3"/>
            </w:pPr>
            <w:r>
              <w:rPr>
                <w:rFonts w:ascii="宋体" w:hAnsi="宋体" w:cs="宋体" w:eastAsia="宋体"/>
                <w:sz w:val="20"/>
              </w:rPr>
              <w:t>1.</w:t>
            </w:r>
            <w:r>
              <w:rPr>
                <w:rFonts w:ascii="宋体" w:hAnsi="宋体" w:cs="宋体" w:eastAsia="宋体"/>
                <w:sz w:val="20"/>
              </w:rPr>
              <w:t>质保期</w:t>
            </w:r>
            <w:r>
              <w:rPr>
                <w:rFonts w:ascii="宋体" w:hAnsi="宋体" w:cs="宋体" w:eastAsia="宋体"/>
                <w:sz w:val="20"/>
              </w:rPr>
              <w:t>2年；</w:t>
            </w:r>
          </w:p>
          <w:p>
            <w:pPr>
              <w:pStyle w:val="null3"/>
              <w:jc w:val="both"/>
            </w:pPr>
            <w:r>
              <w:rPr>
                <w:rFonts w:ascii="宋体" w:hAnsi="宋体" w:cs="宋体" w:eastAsia="宋体"/>
                <w:sz w:val="20"/>
              </w:rPr>
              <w:t>2.</w:t>
            </w:r>
            <w:r>
              <w:rPr>
                <w:rFonts w:ascii="宋体" w:hAnsi="宋体" w:cs="宋体" w:eastAsia="宋体"/>
                <w:sz w:val="20"/>
              </w:rPr>
              <w:t>质保期保修要求：属于保修范围和内容的项目，承包人应在接到维修通知后，</w:t>
            </w:r>
            <w:r>
              <w:rPr>
                <w:rFonts w:ascii="宋体" w:hAnsi="宋体" w:cs="宋体" w:eastAsia="宋体"/>
                <w:sz w:val="20"/>
              </w:rPr>
              <w:t>1天内派人维修。发生紧急抢修事故（如上水管跑水、爆裂，供电设施漏、断电等），承包人应在接到事故通知后1小时内到达事故现场并于4小时内完成应急维修。</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宋体" w:hAnsi="宋体" w:cs="宋体" w:eastAsia="宋体"/>
                <w:sz w:val="20"/>
                <w:b/>
              </w:rPr>
              <w:t>验收交付标准和方法：</w:t>
            </w:r>
          </w:p>
          <w:p>
            <w:pPr>
              <w:pStyle w:val="null3"/>
              <w:jc w:val="both"/>
            </w:pPr>
            <w:r>
              <w:rPr>
                <w:rFonts w:ascii="宋体" w:hAnsi="宋体" w:cs="宋体" w:eastAsia="宋体"/>
                <w:sz w:val="20"/>
              </w:rPr>
              <w:t>1.符合国家现行相关施工验收规范标准合格等级，符合消防相关法规及消防行政管理相关文件要求。</w:t>
            </w:r>
          </w:p>
          <w:p>
            <w:pPr>
              <w:pStyle w:val="null3"/>
              <w:jc w:val="both"/>
            </w:pPr>
            <w:r>
              <w:rPr>
                <w:rFonts w:ascii="宋体" w:hAnsi="宋体" w:cs="宋体" w:eastAsia="宋体"/>
                <w:sz w:val="20"/>
              </w:rPr>
              <w:t>2.材料进场前</w:t>
            </w:r>
            <w:r>
              <w:rPr>
                <w:rFonts w:ascii="宋体" w:hAnsi="宋体" w:cs="宋体" w:eastAsia="宋体"/>
                <w:sz w:val="20"/>
              </w:rPr>
              <w:t>供应商</w:t>
            </w:r>
            <w:r>
              <w:rPr>
                <w:rFonts w:ascii="宋体" w:hAnsi="宋体" w:cs="宋体" w:eastAsia="宋体"/>
                <w:sz w:val="20"/>
              </w:rPr>
              <w:t>出具厂家及第三方检测机构合规报告，</w:t>
            </w:r>
            <w:r>
              <w:rPr>
                <w:rFonts w:ascii="宋体" w:hAnsi="宋体" w:cs="宋体" w:eastAsia="宋体"/>
                <w:sz w:val="20"/>
              </w:rPr>
              <w:t>采购人</w:t>
            </w:r>
            <w:r>
              <w:rPr>
                <w:rFonts w:ascii="宋体" w:hAnsi="宋体" w:cs="宋体" w:eastAsia="宋体"/>
                <w:sz w:val="20"/>
              </w:rPr>
              <w:t>有权抽检并委托第三方检测机构进行检测，满足本项目的技术要求，方可进场；如若出现材料不符合技术标准要求，则视为施工方违约，并承担本项目的所有损失及责任。项目竣工并稳定运行一段时间后，政府消防、住建等相关部门出具的验收报告中的验收结论作为此项工作是否合格的唯一结论。</w:t>
            </w:r>
          </w:p>
        </w:tc>
      </w:tr>
      <w:tr>
        <w:tc>
          <w:tcPr>
            <w:tcW w:type="dxa" w:w="2769"/>
          </w:tcPr>
          <w:p>
            <w:pPr>
              <w:pStyle w:val="null3"/>
            </w:pPr>
            <w:r>
              <w:rPr/>
              <w:t>★</w:t>
            </w:r>
          </w:p>
        </w:tc>
        <w:tc>
          <w:tcPr>
            <w:tcW w:type="dxa" w:w="2769"/>
          </w:tcPr>
          <w:p>
            <w:pPr>
              <w:pStyle w:val="null3"/>
            </w:pPr>
            <w:r>
              <w:rPr/>
              <w:t>11</w:t>
            </w:r>
          </w:p>
        </w:tc>
        <w:tc>
          <w:tcPr>
            <w:tcW w:type="dxa" w:w="2769"/>
          </w:tcPr>
          <w:p>
            <w:pPr>
              <w:pStyle w:val="null3"/>
              <w:jc w:val="both"/>
            </w:pPr>
            <w:r>
              <w:rPr>
                <w:rFonts w:ascii="宋体" w:hAnsi="宋体" w:cs="宋体" w:eastAsia="宋体"/>
                <w:sz w:val="20"/>
                <w:b/>
              </w:rPr>
              <w:t>其他</w:t>
            </w:r>
            <w:r>
              <w:rPr>
                <w:rFonts w:ascii="宋体" w:hAnsi="宋体" w:cs="宋体" w:eastAsia="宋体"/>
                <w:sz w:val="20"/>
                <w:b/>
              </w:rPr>
              <w:t>要求：</w:t>
            </w:r>
          </w:p>
          <w:p>
            <w:pPr>
              <w:pStyle w:val="null3"/>
              <w:jc w:val="both"/>
            </w:pPr>
            <w:r>
              <w:rPr>
                <w:rFonts w:ascii="calibri" w:hAnsi="calibri" w:cs="calibri" w:eastAsia="calibri"/>
                <w:sz w:val="20"/>
              </w:rPr>
              <w:t>1</w:t>
            </w:r>
            <w:r>
              <w:rPr>
                <w:rFonts w:ascii="宋体" w:hAnsi="宋体" w:cs="宋体" w:eastAsia="宋体"/>
                <w:sz w:val="20"/>
              </w:rPr>
              <w:t>、成交供应商须保护好施工现场内外的环境及卫生，施工材料及垃圾须集中堆放、清理。</w:t>
            </w:r>
          </w:p>
          <w:p>
            <w:pPr>
              <w:pStyle w:val="null3"/>
              <w:jc w:val="both"/>
            </w:pPr>
            <w:r>
              <w:rPr>
                <w:rFonts w:ascii="calibri" w:hAnsi="calibri" w:cs="calibri" w:eastAsia="calibri"/>
                <w:sz w:val="20"/>
              </w:rPr>
              <w:t>2</w:t>
            </w:r>
            <w:r>
              <w:rPr>
                <w:rFonts w:ascii="宋体" w:hAnsi="宋体" w:cs="宋体" w:eastAsia="宋体"/>
                <w:sz w:val="20"/>
              </w:rPr>
              <w:t>、成交供应商须管理好进入采购人单位内的施工人员，保证施工现场作业人员的安全，杜绝一切安全事故的发生。</w:t>
            </w:r>
          </w:p>
          <w:p>
            <w:pPr>
              <w:pStyle w:val="null3"/>
              <w:jc w:val="both"/>
            </w:pPr>
            <w:r>
              <w:rPr>
                <w:rFonts w:ascii="calibri" w:hAnsi="calibri" w:cs="calibri" w:eastAsia="calibri"/>
                <w:sz w:val="20"/>
              </w:rPr>
              <w:t>3</w:t>
            </w:r>
            <w:r>
              <w:rPr>
                <w:rFonts w:ascii="宋体" w:hAnsi="宋体" w:cs="宋体" w:eastAsia="宋体"/>
                <w:sz w:val="20"/>
              </w:rPr>
              <w:t>、成交供应商须保证在施工过程中不影响采购人的日常工作，由于施工期间的不规范行为造成的一切安全问题，由成交供应商承担全部责任。</w:t>
            </w:r>
          </w:p>
          <w:p>
            <w:pPr>
              <w:pStyle w:val="null3"/>
              <w:jc w:val="both"/>
            </w:pPr>
            <w:r>
              <w:rPr>
                <w:rFonts w:ascii="calibri" w:hAnsi="calibri" w:cs="calibri" w:eastAsia="calibri"/>
                <w:sz w:val="20"/>
              </w:rPr>
              <w:t>4</w:t>
            </w:r>
            <w:r>
              <w:rPr>
                <w:rFonts w:ascii="宋体" w:hAnsi="宋体" w:cs="宋体" w:eastAsia="宋体"/>
                <w:sz w:val="20"/>
              </w:rPr>
              <w:t>、成交供应商须负责施工现场周边环境的施工进出道路处理及周边人际关系的处理和协调，杜绝阻工事件的发生，由此产生的费用一概由成交供应商负责。</w:t>
            </w:r>
          </w:p>
          <w:p>
            <w:pPr>
              <w:pStyle w:val="null3"/>
              <w:jc w:val="both"/>
            </w:pPr>
            <w:r>
              <w:rPr>
                <w:rFonts w:ascii="calibri" w:hAnsi="calibri" w:cs="calibri" w:eastAsia="calibri"/>
                <w:sz w:val="20"/>
              </w:rPr>
              <w:t>5</w:t>
            </w:r>
            <w:r>
              <w:rPr>
                <w:rFonts w:ascii="宋体" w:hAnsi="宋体" w:cs="宋体" w:eastAsia="宋体"/>
                <w:sz w:val="20"/>
              </w:rPr>
              <w:t>、本工程所用材料、设备全部由成交供应商负责采购，不得利旧，工程用材料必须符合设计要求、国家现行材料技术规范和标准以及采购人对有关材料的要求，且应有产品合格证、出厂证明书、合法质监部门检验合格证及检测报告，并经采购人现场代表确认合格后，方可用于本工程。</w:t>
            </w:r>
          </w:p>
          <w:p>
            <w:pPr>
              <w:pStyle w:val="null3"/>
              <w:jc w:val="both"/>
            </w:pPr>
            <w:r>
              <w:rPr>
                <w:rFonts w:ascii="calibri" w:hAnsi="calibri" w:cs="calibri" w:eastAsia="calibri"/>
                <w:sz w:val="20"/>
              </w:rPr>
              <w:t>6</w:t>
            </w:r>
            <w:r>
              <w:rPr>
                <w:rFonts w:ascii="宋体" w:hAnsi="宋体" w:cs="宋体" w:eastAsia="宋体"/>
                <w:sz w:val="20"/>
              </w:rPr>
              <w:t>、由采购人组织专家验收，本项目的验收以采购人及相关主管部门的验收结果为准。因验收而必须提供的检测以及因此产生的费用由成交供应商负责，供应商最终报价应包含以上费用。</w:t>
            </w:r>
          </w:p>
          <w:p>
            <w:pPr>
              <w:pStyle w:val="null3"/>
              <w:jc w:val="both"/>
            </w:pPr>
            <w:r>
              <w:rPr>
                <w:rFonts w:ascii="calibri" w:hAnsi="calibri" w:cs="calibri" w:eastAsia="calibri"/>
                <w:sz w:val="20"/>
              </w:rPr>
              <w:t>7</w:t>
            </w:r>
            <w:r>
              <w:rPr>
                <w:rFonts w:ascii="宋体" w:hAnsi="宋体" w:cs="宋体" w:eastAsia="宋体"/>
                <w:sz w:val="20"/>
              </w:rPr>
              <w:t>、根据设计文件的要求。本工程项目的材料、设备、施工须达到现行中华人民共和国以及省、自治区、直辖市或行业的工程建设标准、规范的要求。</w:t>
            </w:r>
          </w:p>
          <w:p>
            <w:pPr>
              <w:pStyle w:val="null3"/>
              <w:jc w:val="both"/>
            </w:pPr>
            <w:r>
              <w:rPr>
                <w:rFonts w:ascii="times new roman, times, serif" w:hAnsi="times new roman, times, serif" w:cs="times new roman, times, serif" w:eastAsia="times new roman, times, serif"/>
                <w:sz w:val="20"/>
              </w:rPr>
              <w:t>8</w:t>
            </w:r>
            <w:r>
              <w:rPr>
                <w:rFonts w:ascii="宋体" w:hAnsi="宋体" w:cs="宋体" w:eastAsia="宋体"/>
                <w:sz w:val="20"/>
              </w:rPr>
              <w:t>、施工时以</w:t>
            </w:r>
            <w:r>
              <w:rPr>
                <w:rFonts w:ascii="宋体" w:hAnsi="宋体" w:cs="宋体" w:eastAsia="宋体"/>
                <w:sz w:val="20"/>
              </w:rPr>
              <w:t>采购人</w:t>
            </w:r>
            <w:r>
              <w:rPr>
                <w:rFonts w:ascii="宋体" w:hAnsi="宋体" w:cs="宋体" w:eastAsia="宋体"/>
                <w:sz w:val="20"/>
              </w:rPr>
              <w:t>最终实际提供空置房间为准，最终报价包含所有费用，请充分考虑其中不确定因素。</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1.符合国家现行相关施工验收规范标准合格等级，符合消防相关法规及消防行政管理相关文件要求。 2.材料进场前供应商出具厂家及第三方检测机构合规报告，采购人有权抽检并委托第三方检测机构进行检测，满足本项目的技术要求，方可进场；如若出现材料不符合技术标准要求，则视为施工方违约，并承担本项目的所有损失及责任。项目竣工并稳定运行一段时间后，政府消防、住建等相关部门出具的验收报告中的验收结论作为此项工作是否合格的唯一结论。</w:t>
      </w:r>
    </w:p>
    <w:p>
      <w:pPr>
        <w:pStyle w:val="null3"/>
        <w:ind w:firstLine="480"/>
      </w:pPr>
      <w:r>
        <w:rPr/>
        <w:t>三、针对本项目的其他技术服务要求：</w:t>
      </w:r>
    </w:p>
    <w:p>
      <w:pPr>
        <w:pStyle w:val="null3"/>
      </w:pPr>
      <w:r>
        <w:rPr/>
        <w:t>1、成交供应商须保护好施工现场内外的环境及卫生，施工材料及垃圾须集中堆放、清理。 2、成交供应商须管理好进入采购人单位内的施工人员，保证施工现场作业人员的安全，杜绝一切安全事故的发生。 3、成交供应商须保证在施工过程中不影响采购人的日常工作，由于施工期间的不规范行为造成的一切安全问题，由成交供应商承担全部责任。 4、成交供应商须负责施工现场周边环境的施工进出道路处理及周边人际关系的处理和协调，杜绝阻工事件的发生，由此产生的费用一概由成交供应商负责。 5、本工程所用材料、设备全部由成交供应商负责采购，不得利旧，工程用材料必须符合设计要求、国家现行材料技术规范和标准以及采购人对有关材料的要求，且应有产品合格证、出厂证明书、合法质监部门检验合格证及检测报告，并经采购人现场代表确认合格后，方可用于本工程。 6、由采购人组织专家验收，本项目的验收以采购人及相关主管部门的验收结果为准。因验收而必须提供的检测以及因此产生的费用由成交供应商负责，供应商最终报价应包含以上费用。 7、根据设计文件的要求。本工程项目的材料、设备、施工须达到现行中华人民共和国以及省、自治区、直辖市或行业的工程建设标准、规范的要求。 8、施工时以采购人最终实际提供空置房间为准，最终报价包含所有费用，请充分考虑其中不确定因素。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1、为顺利推进政府采购电子化交易平台应用 工作，供应商需要在线提交所有通过电子化交易平台实施的政府采购项目的响应文件，同时，线下提交纸质响应文件正本壹份、副本贰份。2、纸质响应文件正、副本分别胶装，标明供应商名称密封递交，递交截止时间同在线递交电子响应文件截止时间一致，递交地址：陕西省西安市曲江新区雁翔路3269号旺座曲江D座30层（纸质响应文件可邮寄，邮件签收时间应在递交电子响应文件截止时间之前，邮寄地址：陕西省西安市曲江新区雁翔路3269号旺座曲江D座30层，联系人：王工，联系电 话：15091632950）。3、若电子响应文件与纸质响应文件不一致的，以电子响应文件为准。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经审计的2023年度供应商的财务报告（包含审计报告和审计报告中所涉及的财务报表和报表附注），②可提供2023年度供应商完整的全套财务报表，③可提供截至响应文件递交截止日六个月内内银行出具的资信证明，④供应商注册时间截至响应文件递交截止日不足一年的，也可提供在工商管理部门备案的公司章程。｝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具有独立承担民事责任能力的法人、其他组织或自然人，提供合法有效的统一社会信用代码营业执照等证明材料（事业单位提供法人证书，自然人提供身份证）。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的财务报告（成立时间至响应文件递交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法人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法定代表人授权书（附法定代表人、被授权人身份证复印件）及被授权人响应文件递交截止时间前一年内任意一个月的社会保障资金（养老保险或医疗保险）的缴纳证明，或法定代表人直接参加磋商响应的，提供法定代表人身份证明及身份证复印件。</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未被“信用中国”网站（www.creditchina.gov.cn）列入失信被执行人或重大税收违法失信主体名单，未被财政部门在中国政府采购网（www.ccgp.gov.cn）政府采购严重违法失信行为记录名单中禁止参加政府采购活动</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供应商企业资质</w:t>
            </w:r>
          </w:p>
        </w:tc>
        <w:tc>
          <w:tcPr>
            <w:tcW w:type="dxa" w:w="3322"/>
          </w:tcPr>
          <w:p>
            <w:pPr>
              <w:pStyle w:val="null3"/>
            </w:pPr>
            <w:r>
              <w:rPr/>
              <w:t>具备建设行政主管部门颁发的机电工程施工总承包三级以上（含三级）资质证书或建筑机电安装工程专业承包三级以上（含三级）资质证书，并具备有效的安全生产许可证。</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拟派项目负责人资质和专业要求</w:t>
            </w:r>
          </w:p>
        </w:tc>
        <w:tc>
          <w:tcPr>
            <w:tcW w:type="dxa" w:w="3322"/>
          </w:tcPr>
          <w:p>
            <w:pPr>
              <w:pStyle w:val="null3"/>
            </w:pPr>
            <w:r>
              <w:rPr/>
              <w:t>拟派项目经理须具备机电工程专业二级以上（含二级）注册建造师执业资格证（在本单位注册）及有效的安全生产考核合格证（建安B证），未担任其它在建工程的项目经理（提供承诺）。</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外省进陕企业要求</w:t>
            </w:r>
          </w:p>
        </w:tc>
        <w:tc>
          <w:tcPr>
            <w:tcW w:type="dxa" w:w="3322"/>
          </w:tcPr>
          <w:p>
            <w:pPr>
              <w:pStyle w:val="null3"/>
            </w:pPr>
            <w:r>
              <w:rPr/>
              <w:t>外省进陕企业提供陕西省住房和城乡建设厅官网企业库外省进陕企业信息首页截图。</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供应商建设诚信平台信誉</w:t>
            </w:r>
          </w:p>
        </w:tc>
        <w:tc>
          <w:tcPr>
            <w:tcW w:type="dxa" w:w="3322"/>
          </w:tcPr>
          <w:p>
            <w:pPr>
              <w:pStyle w:val="null3"/>
            </w:pPr>
            <w:r>
              <w:rPr/>
              <w:t>供应商未在项目所在地及以上各级建设诚信平台被列为投标受限制的行为人（提供承诺）。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 称与营业执照不一致（不合格）</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响应文件按磋商文件要求的数量、计量单位、报价货币及签字盖章</w:t>
            </w:r>
          </w:p>
        </w:tc>
        <w:tc>
          <w:tcPr>
            <w:tcW w:type="dxa" w:w="3322"/>
          </w:tcPr>
          <w:p>
            <w:pPr>
              <w:pStyle w:val="null3"/>
            </w:pPr>
            <w:r>
              <w:rPr/>
              <w:t>响应文件按磋商文件要求的计量单位、报价货 币及签字盖章（合格）响应文件未按磋商文件 要求的计量单位、报价货币及签字盖章（不合 格）</w:t>
            </w:r>
          </w:p>
        </w:tc>
        <w:tc>
          <w:tcPr>
            <w:tcW w:type="dxa" w:w="1661"/>
          </w:tcPr>
          <w:p>
            <w:pPr>
              <w:pStyle w:val="null3"/>
            </w:pPr>
            <w:r>
              <w:rPr/>
              <w:t>已标价工程量清单 报价函 响应函</w:t>
            </w:r>
          </w:p>
        </w:tc>
      </w:tr>
      <w:tr>
        <w:tc>
          <w:tcPr>
            <w:tcW w:type="dxa" w:w="831"/>
          </w:tcPr>
          <w:p>
            <w:pPr>
              <w:pStyle w:val="null3"/>
            </w:pPr>
            <w:r>
              <w:rPr/>
              <w:t>4</w:t>
            </w:r>
          </w:p>
        </w:tc>
        <w:tc>
          <w:tcPr>
            <w:tcW w:type="dxa" w:w="2492"/>
          </w:tcPr>
          <w:p>
            <w:pPr>
              <w:pStyle w:val="null3"/>
            </w:pPr>
            <w:r>
              <w:rPr/>
              <w:t>响应文件的有效期达到磋商文件要求</w:t>
            </w:r>
          </w:p>
        </w:tc>
        <w:tc>
          <w:tcPr>
            <w:tcW w:type="dxa" w:w="3322"/>
          </w:tcPr>
          <w:p>
            <w:pPr>
              <w:pStyle w:val="null3"/>
            </w:pPr>
            <w:r>
              <w:rPr/>
              <w:t>响应有效期达到磋商文件要求（合格）响应有效期未达到磋商文件要求（不合格）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符合法律、法规和磋商文件中规定的其他实质性要求</w:t>
            </w:r>
          </w:p>
        </w:tc>
        <w:tc>
          <w:tcPr>
            <w:tcW w:type="dxa" w:w="3322"/>
          </w:tcPr>
          <w:p>
            <w:pPr>
              <w:pStyle w:val="null3"/>
            </w:pPr>
            <w:r>
              <w:rPr/>
              <w:t>符合法律、法规和磋商文件中规定的其他实质性要求（合格）不符合法律、法规和磋商文件中规定的其他实质性要求（不合格）</w:t>
            </w:r>
          </w:p>
        </w:tc>
        <w:tc>
          <w:tcPr>
            <w:tcW w:type="dxa" w:w="1661"/>
          </w:tcPr>
          <w:p>
            <w:pPr>
              <w:pStyle w:val="null3"/>
            </w:pPr>
            <w:r>
              <w:rPr/>
              <w:t>响应文件封面 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详细评审50.0000分</w:t>
            </w:r>
          </w:p>
          <w:p>
            <w:pPr>
              <w:pStyle w:val="null3"/>
            </w:pPr>
            <w:r>
              <w:rPr/>
              <w:t>报价得分50.0000分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施工方案及技术措施</w:t>
            </w:r>
          </w:p>
        </w:tc>
        <w:tc>
          <w:tcPr>
            <w:tcW w:type="dxa" w:w="2492"/>
          </w:tcPr>
          <w:p>
            <w:pPr>
              <w:pStyle w:val="null3"/>
            </w:pPr>
            <w:r>
              <w:rPr/>
              <w:t>一、评审内容：供应商针对本项目，提供施工方案及技术措施，包括但不限于对施工过程中可能出现的施工技术重点、难点进行全面分析，以及供应商施工完成后须满足采购人用电需求，且不得影响采购人正常用电。 二、评审标准：1、完整性：方案须全面，对评审内容中的各项要求有详细描述； 2、可实施性：切合本项目实际情况，实施步骤清晰、合理； 3、针对性：方案能够紧扣项目实际情况，内容科学合理。 三、赋分标准：每完全满足一个评审标准得3分；基本满足评审标准，稍有欠缺得2分；简单粗略得1分；未提供不得分，满分9分。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综合评分明细表技术方案</w:t>
            </w:r>
          </w:p>
          <w:p>
            <w:pPr>
              <w:pStyle w:val="null3"/>
            </w:pPr>
            <w:r>
              <w:rPr/>
              <w:t>强制优先采购产品承诺函</w:t>
            </w:r>
          </w:p>
        </w:tc>
      </w:tr>
      <w:tr>
        <w:tc>
          <w:tcPr>
            <w:tcW w:type="dxa" w:w="831"/>
            <w:vMerge/>
          </w:tcPr>
          <w:p/>
        </w:tc>
        <w:tc>
          <w:tcPr>
            <w:tcW w:type="dxa" w:w="1661"/>
          </w:tcPr>
          <w:p>
            <w:pPr>
              <w:pStyle w:val="null3"/>
            </w:pPr>
            <w:r>
              <w:rPr/>
              <w:t>质量管理体系与措施</w:t>
            </w:r>
          </w:p>
        </w:tc>
        <w:tc>
          <w:tcPr>
            <w:tcW w:type="dxa" w:w="2492"/>
          </w:tcPr>
          <w:p>
            <w:pPr>
              <w:pStyle w:val="null3"/>
            </w:pPr>
            <w:r>
              <w:rPr/>
              <w:t>一、评审内容：供应商针对本项目，提供质量管理体系与措施。 二、评审标准：1、完整性：方案须全面，对评审内容中的各项要求有详细描述； 2、可实施性：切合本项目实际情况，实施步骤清晰、合理； 3、针对性：方案能够紧扣项目实际情况，内容科学合理。 三、赋分标准：每完全满足一个评审标准得2分；基本满足评审标准，稍有欠缺得1.5分；简单粗略得1分；未提供不得分，满分6分。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综合评分明细表技术方案</w:t>
            </w:r>
          </w:p>
        </w:tc>
      </w:tr>
      <w:tr>
        <w:tc>
          <w:tcPr>
            <w:tcW w:type="dxa" w:w="831"/>
            <w:vMerge/>
          </w:tcPr>
          <w:p/>
        </w:tc>
        <w:tc>
          <w:tcPr>
            <w:tcW w:type="dxa" w:w="1661"/>
          </w:tcPr>
          <w:p>
            <w:pPr>
              <w:pStyle w:val="null3"/>
            </w:pPr>
            <w:r>
              <w:rPr/>
              <w:t>安全管理体系与措施</w:t>
            </w:r>
          </w:p>
        </w:tc>
        <w:tc>
          <w:tcPr>
            <w:tcW w:type="dxa" w:w="2492"/>
          </w:tcPr>
          <w:p>
            <w:pPr>
              <w:pStyle w:val="null3"/>
            </w:pPr>
            <w:r>
              <w:rPr/>
              <w:t>一、评审内容：供应商针对本项目，提供安全管理体系与措施。 二、评审标准：1、完整性：方案须全面，对评审内容中的各项要求有详细描述； 2、可实施性：切合本项目实际情况，实施步骤清晰、合理； 3、针对性：方案能够紧扣项目实际情况，内容科学合理。 三、赋分标准：每完全满足一个评审标准得2分；基本满足评审标准，稍有欠缺得1.5分；简单粗略得1分；未提供不得分，满分6分。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综合评分明细表技术方案</w:t>
            </w:r>
          </w:p>
        </w:tc>
      </w:tr>
      <w:tr>
        <w:tc>
          <w:tcPr>
            <w:tcW w:type="dxa" w:w="831"/>
            <w:vMerge/>
          </w:tcPr>
          <w:p/>
        </w:tc>
        <w:tc>
          <w:tcPr>
            <w:tcW w:type="dxa" w:w="1661"/>
          </w:tcPr>
          <w:p>
            <w:pPr>
              <w:pStyle w:val="null3"/>
            </w:pPr>
            <w:r>
              <w:rPr/>
              <w:t>工期保证管理体系及措施</w:t>
            </w:r>
          </w:p>
        </w:tc>
        <w:tc>
          <w:tcPr>
            <w:tcW w:type="dxa" w:w="2492"/>
          </w:tcPr>
          <w:p>
            <w:pPr>
              <w:pStyle w:val="null3"/>
            </w:pPr>
            <w:r>
              <w:rPr/>
              <w:t>一、评审内容：供应商针对本项目，提供工期保证管理体系及措施，包括但不限于完善的工期保证体系，并按工程的特点制定出有效、可行的工期保证措施，承诺确保正常通电。 二、评审标准：1、完整性：方案须全面，对评审内容中的各项要求有详细描述； 2、可实施性：切合本项目实际情况，实施步骤清晰、合理； 3、针对性：方案能够紧扣项目实际情况，内容科学合理。 三、赋分标准：每完全满足一个评审标准得2分；基本满足评审标准，稍有欠缺得1.5分；简单粗略得1分；未提供不得分，满分6分。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综合评分明细表技术方案</w:t>
            </w:r>
          </w:p>
        </w:tc>
      </w:tr>
      <w:tr>
        <w:tc>
          <w:tcPr>
            <w:tcW w:type="dxa" w:w="831"/>
            <w:vMerge/>
          </w:tcPr>
          <w:p/>
        </w:tc>
        <w:tc>
          <w:tcPr>
            <w:tcW w:type="dxa" w:w="1661"/>
          </w:tcPr>
          <w:p>
            <w:pPr>
              <w:pStyle w:val="null3"/>
            </w:pPr>
            <w:r>
              <w:rPr/>
              <w:t>文明施工、消防、环境保护（包括降噪、除尘等）及建筑垃圾清运的管理体系及措施</w:t>
            </w:r>
          </w:p>
        </w:tc>
        <w:tc>
          <w:tcPr>
            <w:tcW w:type="dxa" w:w="2492"/>
          </w:tcPr>
          <w:p>
            <w:pPr>
              <w:pStyle w:val="null3"/>
            </w:pPr>
            <w:r>
              <w:rPr/>
              <w:t>一、评审内容：供应商针对本项目，提供文明施工、消防、环境保护（包括降噪、除尘等）及建筑垃圾清运的管理体系及措施。 二、评审标准：1、完整性：方案须全面，对评审内容中的各项要求有详细描述； 2、可实施性：切合本项目实际情况，实施步骤清晰、合理； 3、针对性：方案能够紧扣项目实际情况，内容科学合理。 三、赋分标准：每完全满足一个评审标准得1.5分；基本满足评审标准，稍有欠缺得1分；简单粗略得0.5分；未提供不得分，满分4.5分。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综合评分明细表技术方案</w:t>
            </w:r>
          </w:p>
        </w:tc>
      </w:tr>
      <w:tr>
        <w:tc>
          <w:tcPr>
            <w:tcW w:type="dxa" w:w="831"/>
            <w:vMerge/>
          </w:tcPr>
          <w:p/>
        </w:tc>
        <w:tc>
          <w:tcPr>
            <w:tcW w:type="dxa" w:w="1661"/>
          </w:tcPr>
          <w:p>
            <w:pPr>
              <w:pStyle w:val="null3"/>
            </w:pPr>
            <w:r>
              <w:rPr/>
              <w:t>项目管理机构组成</w:t>
            </w:r>
          </w:p>
        </w:tc>
        <w:tc>
          <w:tcPr>
            <w:tcW w:type="dxa" w:w="2492"/>
          </w:tcPr>
          <w:p>
            <w:pPr>
              <w:pStyle w:val="null3"/>
            </w:pPr>
            <w:r>
              <w:rPr/>
              <w:t>一、评审内容：供应商针对本项目，提供项目管理机构组成，包括但不限于项目管理班子配备、人员经验、具备类似施工组织经验，工程技术人员等配备满足施工要求。 二、评审标准：1、完整性：方案须全面，对评审内容中的各项要求有详细描述； 2、可实施性：切合本项目实际情况，实施步骤清晰、合理； 3、针对性：方案能够紧扣项目实际情况，内容科学合理。 三、赋分标准：每完全满足一个评审标准得1.5分；基本满足评审标准，稍有欠缺得1分；简单粗略得0.5分；未提供不得分，满分4.5分。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综合评分明细表技术方案</w:t>
            </w:r>
          </w:p>
        </w:tc>
      </w:tr>
      <w:tr>
        <w:tc>
          <w:tcPr>
            <w:tcW w:type="dxa" w:w="831"/>
            <w:vMerge/>
          </w:tcPr>
          <w:p/>
        </w:tc>
        <w:tc>
          <w:tcPr>
            <w:tcW w:type="dxa" w:w="1661"/>
          </w:tcPr>
          <w:p>
            <w:pPr>
              <w:pStyle w:val="null3"/>
            </w:pPr>
            <w:r>
              <w:rPr/>
              <w:t>施工机械配备</w:t>
            </w:r>
          </w:p>
        </w:tc>
        <w:tc>
          <w:tcPr>
            <w:tcW w:type="dxa" w:w="2492"/>
          </w:tcPr>
          <w:p>
            <w:pPr>
              <w:pStyle w:val="null3"/>
            </w:pPr>
            <w:r>
              <w:rPr/>
              <w:t>一、评审内容：供应商针对本项目，提供施工机械配备，包括但不限于拟投入施工机械配备完善程度、所有主材是否符合要求。 二、评审标准：1、完整性：方案须全面，对评审内容中的各项要求有详细描述； 2、可实施性：切合本项目实际情况，实施步骤清晰、合理； 3、针对性：方案能够紧扣项目实际情况，内容科学合理。 三、赋分标准：每完全满足一个评审标准得1.5分；基本满足评审标准，稍有欠缺得1分；简单粗略得0.5分；未提供不得分，满分4.5分。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综合评分明细表技术方案</w:t>
            </w:r>
          </w:p>
        </w:tc>
      </w:tr>
      <w:tr>
        <w:tc>
          <w:tcPr>
            <w:tcW w:type="dxa" w:w="831"/>
            <w:vMerge/>
          </w:tcPr>
          <w:p/>
        </w:tc>
        <w:tc>
          <w:tcPr>
            <w:tcW w:type="dxa" w:w="1661"/>
          </w:tcPr>
          <w:p>
            <w:pPr>
              <w:pStyle w:val="null3"/>
            </w:pPr>
            <w:r>
              <w:rPr/>
              <w:t>工程质量及质保期</w:t>
            </w:r>
          </w:p>
        </w:tc>
        <w:tc>
          <w:tcPr>
            <w:tcW w:type="dxa" w:w="2492"/>
          </w:tcPr>
          <w:p>
            <w:pPr>
              <w:pStyle w:val="null3"/>
            </w:pPr>
            <w:r>
              <w:rPr/>
              <w:t>供应商对项目工程质量做出服务承诺，特别是现场维护的承诺，自行承诺工程完工后（至少2年的工程质量维护）包括维护次数、维修费用、人员配备、服务措施等具体事项，承诺在工程质保期2年的基础上，每增加一年得1分，满分3分。 注：响应文件需附加盖供应商公章的承诺函。</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综合评分明细表技术方案</w:t>
            </w:r>
          </w:p>
        </w:tc>
      </w:tr>
      <w:tr>
        <w:tc>
          <w:tcPr>
            <w:tcW w:type="dxa" w:w="831"/>
            <w:vMerge/>
          </w:tcPr>
          <w:p/>
        </w:tc>
        <w:tc>
          <w:tcPr>
            <w:tcW w:type="dxa" w:w="1661"/>
          </w:tcPr>
          <w:p>
            <w:pPr>
              <w:pStyle w:val="null3"/>
            </w:pPr>
            <w:r>
              <w:rPr/>
              <w:t>项目经理</w:t>
            </w:r>
          </w:p>
        </w:tc>
        <w:tc>
          <w:tcPr>
            <w:tcW w:type="dxa" w:w="2492"/>
          </w:tcPr>
          <w:p>
            <w:pPr>
              <w:pStyle w:val="null3"/>
            </w:pPr>
            <w:r>
              <w:rPr/>
              <w:t>供应商拟派项目经理同时具备劳动合同及本单位为其缴纳的从2023年1月1日起至今内任意连续三个月或以上社保证明，符合要求者得1.5分，不符合要求者不得分</w:t>
            </w:r>
          </w:p>
        </w:tc>
        <w:tc>
          <w:tcPr>
            <w:tcW w:type="dxa" w:w="831"/>
          </w:tcPr>
          <w:p>
            <w:pPr>
              <w:pStyle w:val="null3"/>
              <w:jc w:val="right"/>
            </w:pPr>
            <w:r>
              <w:rPr/>
              <w:t>1.5000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主要人员简历表</w:t>
            </w:r>
          </w:p>
          <w:p>
            <w:pPr>
              <w:pStyle w:val="null3"/>
            </w:pPr>
            <w:r>
              <w:rPr/>
              <w:t>综合评分明细表技术方案</w:t>
            </w:r>
          </w:p>
        </w:tc>
      </w:tr>
      <w:tr>
        <w:tc>
          <w:tcPr>
            <w:tcW w:type="dxa" w:w="831"/>
            <w:vMerge/>
          </w:tcPr>
          <w:p/>
        </w:tc>
        <w:tc>
          <w:tcPr>
            <w:tcW w:type="dxa" w:w="1661"/>
          </w:tcPr>
          <w:p>
            <w:pPr>
              <w:pStyle w:val="null3"/>
            </w:pPr>
            <w:r>
              <w:rPr/>
              <w:t>企业业绩</w:t>
            </w:r>
          </w:p>
        </w:tc>
        <w:tc>
          <w:tcPr>
            <w:tcW w:type="dxa" w:w="2492"/>
          </w:tcPr>
          <w:p>
            <w:pPr>
              <w:pStyle w:val="null3"/>
            </w:pPr>
            <w:r>
              <w:rPr/>
              <w:t>自2021年1月1日至响应文件递交截止时间（以合同签订时间为准），供应商每提供一项已完工的类似项目业绩得1分，本项最多得5分。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p>
            <w:pPr>
              <w:pStyle w:val="null3"/>
            </w:pPr>
            <w:r>
              <w:rPr/>
              <w:t>综合评分明细表技术方案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磋商响应总报价采用低价优先法计算，即满足磋商文件要求且最终磋商响应总报价最低的报价为评审基准价，其价格分为满分50分。磋商响应总报价得分=（评审基准价/最终磋商响应总报价）×50</w:t>
            </w:r>
          </w:p>
        </w:tc>
        <w:tc>
          <w:tcPr>
            <w:tcW w:type="dxa" w:w="831"/>
          </w:tcPr>
          <w:p>
            <w:pPr>
              <w:pStyle w:val="null3"/>
              <w:jc w:val="right"/>
            </w:pPr>
            <w:r>
              <w:rPr/>
              <w:t>50.0000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详见附件：综合评分明细表技术方案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