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汉江“黄金水道”航运治污降碳一体化方案研究</w:t>
      </w:r>
    </w:p>
    <w:p>
      <w:pPr>
        <w:pStyle w:val="null3"/>
        <w:jc w:val="center"/>
        <w:outlineLvl w:val="2"/>
      </w:pPr>
      <w:r>
        <w:rPr>
          <w:sz w:val="28"/>
          <w:b/>
        </w:rPr>
        <w:t>采购项目编号：</w:t>
      </w:r>
      <w:r>
        <w:rPr>
          <w:sz w:val="28"/>
          <w:b/>
        </w:rPr>
        <w:t>HHZB-ZC-2024-0106</w:t>
      </w:r>
      <w:r>
        <w:br/>
      </w:r>
      <w:r>
        <w:br/>
      </w:r>
      <w:r>
        <w:br/>
      </w:r>
    </w:p>
    <w:p>
      <w:pPr>
        <w:pStyle w:val="null3"/>
        <w:jc w:val="center"/>
        <w:outlineLvl w:val="2"/>
      </w:pPr>
      <w:r>
        <w:rPr>
          <w:sz w:val="28"/>
          <w:b/>
        </w:rPr>
        <w:t>陕西省交通运输厅机关</w:t>
      </w:r>
    </w:p>
    <w:p>
      <w:pPr>
        <w:pStyle w:val="null3"/>
        <w:jc w:val="center"/>
        <w:outlineLvl w:val="2"/>
      </w:pPr>
      <w:r>
        <w:rPr>
          <w:sz w:val="28"/>
          <w:b/>
        </w:rPr>
        <w:t>陕西徽宏招标有限公司</w:t>
      </w:r>
      <w:r>
        <w:rPr>
          <w:sz w:val="28"/>
          <w:b/>
        </w:rPr>
        <w:t>共同编制</w:t>
      </w:r>
    </w:p>
    <w:p>
      <w:pPr>
        <w:pStyle w:val="null3"/>
        <w:jc w:val="center"/>
        <w:outlineLvl w:val="2"/>
      </w:pPr>
      <w:r>
        <w:rPr>
          <w:sz w:val="28"/>
          <w:b/>
        </w:rPr>
        <w:t>2024年11月01日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陕西徽宏招标有限公司</w:t>
      </w:r>
      <w:r>
        <w:rPr/>
        <w:t>（以下简称“代理机构”）受</w:t>
      </w:r>
      <w:r>
        <w:rPr/>
        <w:t>陕西省交通运输厅机关</w:t>
      </w:r>
      <w:r>
        <w:rPr/>
        <w:t>委托，拟对</w:t>
      </w:r>
      <w:r>
        <w:rPr/>
        <w:t>汉江“黄金水道”航运治污降碳一体化方案研究</w:t>
      </w:r>
      <w:r>
        <w:rPr/>
        <w:t>采用竞争性磋商采购方式进行采购，兹邀请供应商参加本项目的竞争性磋商。</w:t>
      </w:r>
    </w:p>
    <w:p>
      <w:pPr>
        <w:pStyle w:val="null3"/>
        <w:outlineLvl w:val="2"/>
      </w:pPr>
      <w:r>
        <w:rPr>
          <w:sz w:val="28"/>
          <w:b/>
        </w:rPr>
        <w:t>一、项目编号：</w:t>
      </w:r>
      <w:r>
        <w:rPr>
          <w:sz w:val="28"/>
          <w:b/>
        </w:rPr>
        <w:t>HHZB-ZC-2024-0106</w:t>
      </w:r>
    </w:p>
    <w:p>
      <w:pPr>
        <w:pStyle w:val="null3"/>
        <w:outlineLvl w:val="2"/>
      </w:pPr>
      <w:r>
        <w:rPr>
          <w:sz w:val="28"/>
          <w:b/>
        </w:rPr>
        <w:t>二、项目名称：</w:t>
      </w:r>
      <w:r>
        <w:rPr>
          <w:sz w:val="28"/>
          <w:b/>
        </w:rPr>
        <w:t>汉江“黄金水道”航运治污降碳一体化方案研究</w:t>
      </w:r>
    </w:p>
    <w:p>
      <w:pPr>
        <w:pStyle w:val="null3"/>
        <w:outlineLvl w:val="2"/>
      </w:pPr>
      <w:r>
        <w:rPr>
          <w:sz w:val="28"/>
          <w:b/>
        </w:rPr>
        <w:t>三、磋商项目简介</w:t>
      </w:r>
    </w:p>
    <w:p>
      <w:pPr>
        <w:pStyle w:val="null3"/>
        <w:ind w:firstLine="480"/>
      </w:pPr>
      <w:r>
        <w:rPr/>
        <w:t>汉江“黄金水道”航运治污降碳一体化方案研究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t>2、法定代表人授权委托书：法定代表人授权书（附法定代表人、被授权人 身份证复印件）；法定代表人直接参加招标， 须提供法定代表人身份证明及身份证复印件。</w:t>
      </w:r>
    </w:p>
    <w:p>
      <w:pPr>
        <w:pStyle w:val="null3"/>
      </w:pPr>
      <w:r>
        <w:rPr/>
        <w:t>3、财务状况报告：提供2022年或2023年的财务审计报告（至少包括资产负债表和利润表，成立时间至提交磋商响应文件截止时间不足一年的可提供成立后任意时段的资产负债表），或其基本存款账户开户银行出具的资信证明及基本存款账户开户许可证，或信用担保机构出具的投标担保函，（以上三种形式的资料提供任何一种即可）</w:t>
      </w:r>
    </w:p>
    <w:p>
      <w:pPr>
        <w:pStyle w:val="null3"/>
      </w:pPr>
      <w:r>
        <w:rPr/>
        <w:t>4、社会保障资金缴纳证明和税收缴纳证明：提供开标前六个月内任意时段已缴存的社会保障资金缴存单据或社保机构开具的社会保险参保缴费情况证明；依法不需要缴纳社会保障资金的应提供相关文件证明；提供开标前六个月内任意时段已缴纳的完税凭证或税务机关开具的完税证明（任意税种）；依法免税的应提供相关文件证明，零纳税的提供申报表</w:t>
      </w:r>
    </w:p>
    <w:p>
      <w:pPr>
        <w:pStyle w:val="null3"/>
      </w:pPr>
      <w:r>
        <w:rPr/>
        <w:t>5、具有履行合同所必需的设备和专业技术能力：提供了可充分满足履行合同所需设备和专业技术能力的证明材料或承诺</w:t>
      </w:r>
    </w:p>
    <w:p>
      <w:pPr>
        <w:pStyle w:val="null3"/>
      </w:pPr>
      <w:r>
        <w:rPr/>
        <w:t>6、参加政府采购活动前三年内，在经营活动中没有重大违法记录： 提供了有效的参加政府采购活动前3年内在经营活动中没有重大违法记录的书面声明</w:t>
      </w:r>
    </w:p>
    <w:p>
      <w:pPr>
        <w:pStyle w:val="null3"/>
      </w:pPr>
      <w:r>
        <w:rPr/>
        <w:t>7、“信用中国”网站和中国政府采购网（www.ccgp.gov.cn）查询记录：未被“信用中国”网站（www.creditchina.gov.cn）中列入失信被执行人和/或重大税收违法案件当事人名单的供应商、未被中国政府采购网（www.ccgp.gov.cn）列入政府采购严重违法失信行为记录名单中被财政部门禁止参加政府采购活动的供应商（处罚决定规定的时间和地域范围内）</w:t>
      </w:r>
    </w:p>
    <w:p>
      <w:pPr>
        <w:pStyle w:val="null3"/>
      </w:pPr>
      <w:r>
        <w:rPr/>
        <w:t>8、联合体声明：本项目接受联合体（联合体成员不能超过2家） 磋商，联合体成员不得作为独立供应商或加入 本项目其他联合体参加本项目磋商。 联合体应 递交一份联合体协议书，该协议书须明确联合 体各成员对本项目项下的全部责任和义务承担 连带法律责任。该协议书须有各成员的法定代 表人或授权代表签字并加盖公章，并明确约定 联合体主办方和联合体成员计划承担的份额和 分工责任的说明。 联合体各成员还须共同提交 一份由各成员的法定代表人或授权代表签字的 授权书，授权联合体主办方代表各成员在本项 目招标投标过程中，及合同执行过程中（如联 合体被授予合同）以联合体的名义并代表联合 体进行澄清、签署文件和处理一切与此事有关 的全部事务。同时，与采购人之间的来往信函 将通过联合体主办方传递。</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陕西省交通运输厅机关</w:t>
      </w:r>
    </w:p>
    <w:p>
      <w:pPr>
        <w:pStyle w:val="null3"/>
      </w:pPr>
      <w:r>
        <w:rPr/>
        <w:t xml:space="preserve"> 地址： </w:t>
      </w:r>
      <w:r>
        <w:rPr/>
        <w:t>陕西省西安市雁塔区唐延路6号</w:t>
      </w:r>
    </w:p>
    <w:p>
      <w:pPr>
        <w:pStyle w:val="null3"/>
      </w:pPr>
      <w:r>
        <w:rPr/>
        <w:t xml:space="preserve"> 邮编： </w:t>
      </w:r>
      <w:r>
        <w:rPr/>
        <w:t>710065</w:t>
      </w:r>
    </w:p>
    <w:p>
      <w:pPr>
        <w:pStyle w:val="null3"/>
      </w:pPr>
      <w:r>
        <w:rPr/>
        <w:t xml:space="preserve"> 联系人： </w:t>
      </w:r>
      <w:r>
        <w:rPr/>
        <w:t>陕西省交通运输厅机关经办</w:t>
      </w:r>
    </w:p>
    <w:p>
      <w:pPr>
        <w:pStyle w:val="null3"/>
      </w:pPr>
      <w:r>
        <w:rPr/>
        <w:t xml:space="preserve"> 联系电话： </w:t>
      </w:r>
      <w:r>
        <w:rPr/>
        <w:t>88869070</w:t>
      </w:r>
    </w:p>
    <w:p>
      <w:pPr>
        <w:pStyle w:val="null3"/>
        <w:outlineLvl w:val="3"/>
      </w:pPr>
      <w:r>
        <w:rPr>
          <w:sz w:val="24"/>
          <w:b/>
        </w:rPr>
        <w:t>代理机构：</w:t>
      </w:r>
      <w:r>
        <w:rPr>
          <w:sz w:val="24"/>
          <w:b/>
        </w:rPr>
        <w:t>陕西徽宏招标有限公司</w:t>
      </w:r>
    </w:p>
    <w:p>
      <w:pPr>
        <w:pStyle w:val="null3"/>
      </w:pPr>
      <w:r>
        <w:rPr/>
        <w:t xml:space="preserve"> 地址： </w:t>
      </w:r>
      <w:r>
        <w:rPr/>
        <w:t>陕西省西安市雁塔区二环南路东段22号凯森盛世一号A座1403室</w:t>
      </w:r>
    </w:p>
    <w:p>
      <w:pPr>
        <w:pStyle w:val="null3"/>
      </w:pPr>
      <w:r>
        <w:rPr/>
        <w:t xml:space="preserve"> 邮编： </w:t>
      </w:r>
      <w:r>
        <w:rPr/>
        <w:t>710061</w:t>
      </w:r>
    </w:p>
    <w:p>
      <w:pPr>
        <w:pStyle w:val="null3"/>
      </w:pPr>
      <w:r>
        <w:rPr/>
        <w:t xml:space="preserve"> 联系人： </w:t>
      </w:r>
      <w:r>
        <w:rPr/>
        <w:t>杜工</w:t>
      </w:r>
    </w:p>
    <w:p>
      <w:pPr>
        <w:pStyle w:val="null3"/>
      </w:pPr>
      <w:r>
        <w:rPr/>
        <w:t xml:space="preserve"> 联系电话： </w:t>
      </w:r>
      <w:r>
        <w:rPr/>
        <w:t>029-82569376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说明：履约保证金的金额：5%签约合同价，有效期至项目验收合格。 履约保证金的形式：可采取银行转账或履约担保方式提交。 履约保证金的退还：履约保证金待乙方履行完毕全部合同义务，并经甲方履约验收合格，无任何纠纷后无息退还。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代理服务费收费标准：代理服务费收费标准：代理服务费收费标准：7125.00元（柒仟壹佰贰拾伍元整） 成交供应商 在领取成交通知书前，须向采购代理机构支付成交服务费。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陕西省交通运输厅机关</w:t>
      </w:r>
      <w:r>
        <w:rPr/>
        <w:t>和</w:t>
      </w:r>
      <w:r>
        <w:rPr/>
        <w:t>陕西徽宏招标有限公司</w:t>
      </w:r>
      <w:r>
        <w:rPr/>
        <w:t>享有。对磋商文件中供应商参加本次政府采购活动应当具备的条件，磋商项目技术、服务、商务及其他要求，评审细则及标准由</w:t>
      </w:r>
      <w:r>
        <w:rPr/>
        <w:t>陕西省交通运输厅机关</w:t>
      </w:r>
      <w:r>
        <w:rPr/>
        <w:t>负责解释。除上述磋商文件内容，其他内容由</w:t>
      </w:r>
      <w:r>
        <w:rPr/>
        <w:t>陕西徽宏招标有限公司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陕西省交通运输厅机关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陕西徽宏招标有限公司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陕西徽宏招标有限公司</w:t>
      </w:r>
      <w:r>
        <w:rPr/>
        <w:t xml:space="preserve"> 负责答复；供应商对除采购需求外的采购文件的询问、质疑由</w:t>
      </w:r>
      <w:r>
        <w:rPr/>
        <w:t>陕西徽宏招标有限公司</w:t>
      </w:r>
      <w:r>
        <w:rPr/>
        <w:t xml:space="preserve"> 负责答复；供应商对采购过程、采购结果的询问、质疑由 </w:t>
      </w:r>
      <w:r>
        <w:rPr/>
        <w:t>陕西徽宏招标有限公司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联系人：杜工</w:t>
      </w:r>
    </w:p>
    <w:p>
      <w:pPr>
        <w:pStyle w:val="null3"/>
      </w:pPr>
      <w:r>
        <w:rPr/>
        <w:t>联系电话：029-82569376</w:t>
      </w:r>
    </w:p>
    <w:p>
      <w:pPr>
        <w:pStyle w:val="null3"/>
      </w:pPr>
      <w:r>
        <w:rPr/>
        <w:t>地址：陕西省西安市雁塔区二环南路东段22号凯森盛世一号A座1403室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汉江“黄金水道”航运治污降碳一体化方案研究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汉江“黄金水道”航运治污降碳一体化方案研究</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交通运输业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标的名称：汉江“黄金水道”航运治污降碳一体化方案研究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一、项目名称</w:t>
            </w:r>
          </w:p>
          <w:p>
            <w:pPr>
              <w:pStyle w:val="null3"/>
            </w:pPr>
            <w:r>
              <w:rPr>
                <w:rFonts w:ascii="宋体" w:hAnsi="宋体" w:cs="宋体" w:eastAsia="宋体"/>
              </w:rPr>
              <w:t>汉江</w:t>
            </w:r>
            <w:r>
              <w:rPr>
                <w:rFonts w:ascii="calibri" w:hAnsi="calibri" w:cs="calibri" w:eastAsia="calibri"/>
              </w:rPr>
              <w:t>"</w:t>
            </w:r>
            <w:r>
              <w:rPr>
                <w:rFonts w:ascii="宋体" w:hAnsi="宋体" w:cs="宋体" w:eastAsia="宋体"/>
              </w:rPr>
              <w:t>黄金水道</w:t>
            </w:r>
            <w:r>
              <w:rPr>
                <w:rFonts w:ascii="calibri" w:hAnsi="calibri" w:cs="calibri" w:eastAsia="calibri"/>
              </w:rPr>
              <w:t>"</w:t>
            </w:r>
            <w:r>
              <w:rPr>
                <w:rFonts w:ascii="宋体" w:hAnsi="宋体" w:cs="宋体" w:eastAsia="宋体"/>
              </w:rPr>
              <w:t>航运治污降碳一体化方案研究项目</w:t>
            </w:r>
          </w:p>
          <w:p>
            <w:pPr>
              <w:pStyle w:val="null3"/>
            </w:pPr>
            <w:r>
              <w:rPr>
                <w:rFonts w:ascii="宋体" w:hAnsi="宋体" w:cs="宋体" w:eastAsia="宋体"/>
              </w:rPr>
              <w:t>二、项目概要</w:t>
            </w:r>
          </w:p>
          <w:p>
            <w:pPr>
              <w:pStyle w:val="null3"/>
            </w:pPr>
            <w:r>
              <w:rPr>
                <w:rFonts w:ascii="宋体" w:hAnsi="宋体" w:cs="宋体" w:eastAsia="宋体"/>
              </w:rPr>
              <w:t>水运具有运能大、成本低、能耗小、污染少、排放低等优势，在公水联运、水铁联运、江海联运、运输结构调整、运输节能降碳中具有举足轻重的地位，水运一直是我国综合交通运输中重要组成部分。汉江是我省实现通江达海的唯一水上运输通道，是陕南快速融入长江经济带的交通动脉。随着我省汉江各级航电枢纽建成，从汉中到白河已经形成库区深水等级航道，水运未来发展空间很大，汉江</w:t>
            </w:r>
            <w:r>
              <w:rPr>
                <w:rFonts w:ascii="宋体" w:hAnsi="宋体" w:cs="宋体" w:eastAsia="宋体"/>
              </w:rPr>
              <w:t>“黄金水道”航运优势会逐渐凸显。</w:t>
            </w:r>
          </w:p>
          <w:p>
            <w:pPr>
              <w:pStyle w:val="null3"/>
            </w:pPr>
            <w:r>
              <w:rPr>
                <w:rFonts w:ascii="宋体" w:hAnsi="宋体" w:cs="宋体" w:eastAsia="宋体"/>
              </w:rPr>
              <w:t>在</w:t>
            </w:r>
            <w:r>
              <w:rPr>
                <w:rFonts w:ascii="宋体" w:hAnsi="宋体" w:cs="宋体" w:eastAsia="宋体"/>
              </w:rPr>
              <w:t>“双碳”背景下，汉江“黄金水道”航运是我省运输结构调整、节能降耗、降碳增效重要发力点。同时汉江又是我国南水北调的中线水源区，肩负“一泓清水永续北上”重大环保责任。为提升汉江沿线港口船舶治污能力，确保航运水环境安全，助力全省交通运输行业碳达峰、碳中和工作，大力推进汉江航运绿色发展，因此，在汉江水运迎来“提档升级”的黄金时期，汉江航运污染防治显得越发重要和紧迫。</w:t>
            </w:r>
          </w:p>
          <w:p>
            <w:pPr>
              <w:pStyle w:val="null3"/>
            </w:pPr>
            <w:r>
              <w:rPr>
                <w:rFonts w:ascii="宋体" w:hAnsi="宋体" w:cs="宋体" w:eastAsia="宋体"/>
              </w:rPr>
              <w:t>三、服务内容及要求</w:t>
            </w:r>
          </w:p>
          <w:p>
            <w:pPr>
              <w:pStyle w:val="null3"/>
            </w:pPr>
            <w:r>
              <w:rPr>
                <w:rFonts w:ascii="calibri" w:hAnsi="calibri" w:cs="calibri" w:eastAsia="calibri"/>
              </w:rPr>
              <w:t>1.</w:t>
            </w:r>
            <w:r>
              <w:rPr>
                <w:rFonts w:ascii="宋体" w:hAnsi="宋体" w:cs="宋体" w:eastAsia="宋体"/>
              </w:rPr>
              <w:t>针对以下研究内容开展研究工作：</w:t>
            </w:r>
          </w:p>
          <w:p>
            <w:pPr>
              <w:pStyle w:val="null3"/>
            </w:pPr>
            <w:r>
              <w:rPr>
                <w:rFonts w:ascii="宋体" w:hAnsi="宋体" w:cs="宋体" w:eastAsia="宋体"/>
              </w:rPr>
              <w:t>对陕西省汉江航运环保现状进行分析，评估汉江航运用能现状并开展碳排放核算，从政策和技术等方面提出汉江航运减碳路径。结合我省汉江航运特点，提出污水、扬尘、噪声、固废等污染综合防治对策。</w:t>
            </w:r>
          </w:p>
          <w:p>
            <w:pPr>
              <w:pStyle w:val="null3"/>
            </w:pPr>
            <w:r>
              <w:rPr>
                <w:rFonts w:ascii="calibri" w:hAnsi="calibri" w:cs="calibri" w:eastAsia="calibri"/>
              </w:rPr>
              <w:t>2.</w:t>
            </w:r>
            <w:r>
              <w:rPr>
                <w:rFonts w:ascii="宋体" w:hAnsi="宋体" w:cs="宋体" w:eastAsia="宋体"/>
              </w:rPr>
              <w:t>研究成果应包括汉江航运节能降碳行动方案</w:t>
            </w:r>
            <w:r>
              <w:rPr>
                <w:rFonts w:ascii="calibri" w:hAnsi="calibri" w:cs="calibri" w:eastAsia="calibri"/>
              </w:rPr>
              <w:t>1</w:t>
            </w:r>
            <w:r>
              <w:rPr>
                <w:rFonts w:ascii="宋体" w:hAnsi="宋体" w:cs="宋体" w:eastAsia="宋体"/>
              </w:rPr>
              <w:t>份、研究报告</w:t>
            </w:r>
            <w:r>
              <w:rPr>
                <w:rFonts w:ascii="calibri" w:hAnsi="calibri" w:cs="calibri" w:eastAsia="calibri"/>
              </w:rPr>
              <w:t>1</w:t>
            </w:r>
            <w:r>
              <w:rPr>
                <w:rFonts w:ascii="宋体" w:hAnsi="宋体" w:cs="宋体" w:eastAsia="宋体"/>
              </w:rPr>
              <w:t>份、论文</w:t>
            </w:r>
            <w:r>
              <w:rPr>
                <w:rFonts w:ascii="calibri" w:hAnsi="calibri" w:cs="calibri" w:eastAsia="calibri"/>
              </w:rPr>
              <w:t>2</w:t>
            </w:r>
            <w:r>
              <w:rPr>
                <w:rFonts w:ascii="宋体" w:hAnsi="宋体" w:cs="宋体" w:eastAsia="宋体"/>
              </w:rPr>
              <w:t>篇。</w:t>
            </w:r>
          </w:p>
          <w:p>
            <w:pPr>
              <w:pStyle w:val="null3"/>
            </w:pPr>
            <w:r>
              <w:rPr>
                <w:rFonts w:ascii="calibri" w:hAnsi="calibri" w:cs="calibri" w:eastAsia="calibri"/>
              </w:rPr>
              <w:t>3.</w:t>
            </w:r>
            <w:r>
              <w:rPr>
                <w:rFonts w:ascii="宋体" w:hAnsi="宋体" w:cs="宋体" w:eastAsia="宋体"/>
              </w:rPr>
              <w:t>课题研究工作要符合本项目的实际要求，围绕研究要点，提出有深度有质量的研究报告。</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课题研究成果要注重理论与实际相结合，具有创新性、前瞻性、可操作性。</w:t>
            </w:r>
          </w:p>
        </w:tc>
      </w:tr>
    </w:tbl>
    <w:p>
      <w:pPr>
        <w:pStyle w:val="null3"/>
        <w:outlineLvl w:val="2"/>
      </w:pPr>
      <w:r>
        <w:rPr>
          <w:sz w:val="28"/>
          <w:b/>
        </w:rPr>
        <w:t>3.2.3人员配置要求</w:t>
      </w:r>
    </w:p>
    <w:p>
      <w:pPr>
        <w:pStyle w:val="null3"/>
      </w:pPr>
      <w:r>
        <w:rPr/>
        <w:t>采购包1：</w:t>
      </w:r>
    </w:p>
    <w:p>
      <w:pPr>
        <w:pStyle w:val="null3"/>
      </w:pPr>
      <w:r>
        <w:rPr/>
        <w:t>满足采购人需求</w:t>
      </w:r>
    </w:p>
    <w:p>
      <w:pPr>
        <w:pStyle w:val="null3"/>
        <w:outlineLvl w:val="2"/>
      </w:pPr>
      <w:r>
        <w:rPr>
          <w:sz w:val="28"/>
          <w:b/>
        </w:rPr>
        <w:t>3.2.4设施设备要求</w:t>
      </w:r>
    </w:p>
    <w:p>
      <w:pPr>
        <w:pStyle w:val="null3"/>
      </w:pPr>
      <w:r>
        <w:rPr/>
        <w:t>采购包1：</w:t>
      </w:r>
    </w:p>
    <w:p>
      <w:pPr>
        <w:pStyle w:val="null3"/>
      </w:pPr>
      <w:r>
        <w:rPr/>
        <w:t>满足采购人需求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自合同签订之日2年</w:t>
      </w:r>
    </w:p>
    <w:p>
      <w:pPr>
        <w:pStyle w:val="null3"/>
        <w:outlineLvl w:val="3"/>
      </w:pPr>
      <w:r>
        <w:rPr>
          <w:sz w:val="24"/>
          <w:b/>
        </w:rPr>
        <w:t>3.3.2服务地点</w:t>
      </w:r>
    </w:p>
    <w:p>
      <w:pPr>
        <w:pStyle w:val="null3"/>
      </w:pPr>
      <w:r>
        <w:rPr/>
        <w:t>采购包1：</w:t>
      </w:r>
    </w:p>
    <w:p>
      <w:pPr>
        <w:pStyle w:val="null3"/>
      </w:pPr>
      <w:r>
        <w:rPr/>
        <w:t>采购单位指定地点</w:t>
      </w:r>
    </w:p>
    <w:p>
      <w:pPr>
        <w:pStyle w:val="null3"/>
        <w:outlineLvl w:val="3"/>
      </w:pPr>
      <w:r>
        <w:rPr>
          <w:sz w:val="24"/>
          <w:b/>
        </w:rPr>
        <w:t>3.3.3考核（验收）标准和方法</w:t>
      </w:r>
    </w:p>
    <w:p>
      <w:pPr>
        <w:pStyle w:val="null3"/>
      </w:pPr>
      <w:r>
        <w:rPr/>
        <w:t>采购包1：</w:t>
      </w:r>
    </w:p>
    <w:p>
      <w:pPr>
        <w:pStyle w:val="null3"/>
      </w:pPr>
      <w:r>
        <w:rPr/>
        <w:t>满足采购人要求，并达到合格标准，详见采购合同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合同签订生效</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法定代表人授权书（附法定代表人、被授权人 身份证复印件）；法定代表人直接参加招标， 须提供法定代表人身份证明及身份证复印件。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或2023年的财务审计报告（至少包括资产负债表和利润表，成立时间至提交磋商响应文件截止时间不足一年的可提供成立后任意时段的资产负债表），或其基本存款账户开户银行出具的资信证明及基本存款账户开户许可证，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社会保障资金缴纳证明和税收缴纳证明</w:t>
            </w:r>
          </w:p>
        </w:tc>
        <w:tc>
          <w:tcPr>
            <w:tcW w:type="dxa" w:w="3322"/>
          </w:tcPr>
          <w:p>
            <w:pPr>
              <w:pStyle w:val="null3"/>
            </w:pPr>
            <w:r>
              <w:rPr/>
              <w:t>提供开标前六个月内任意时段已缴存的社会保障资金缴存单据或社保机构开具的社会保险参保缴费情况证明；依法不需要缴纳社会保障资金的应提供相关文件证明；提供开标前六个月内任意时段已缴纳的完税凭证或税务机关开具的完税证明（任意税种）；依法免税的应提供相关文件证明，零纳税的提供申报表</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提供了可充分满足履行合同所需设备和专业技术能力的证明材料或承诺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 xml:space="preserve"> 提供了有效的参加政府采购活动前3年内在经营活动中没有重大违法记录的书面声明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“信用中国”网站和中国政府采购网（www.ccgp.gov.cn）查询记录</w:t>
            </w:r>
          </w:p>
        </w:tc>
        <w:tc>
          <w:tcPr>
            <w:tcW w:type="dxa" w:w="3322"/>
          </w:tcPr>
          <w:p>
            <w:pPr>
              <w:pStyle w:val="null3"/>
            </w:pPr>
            <w:r>
              <w:rPr/>
              <w:t>未被“信用中国”网站（www.creditchina.gov.cn）中列入失信被执行人和/或重大税收违法案件当事人名单的供应商、未被中国政府采购网（www.ccgp.gov.cn）列入政府采购严重违法失信行为记录名单中被财政部门禁止参加政府采购活动的供应商（处罚决定规定的时间和地域范围内）</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联合体声明</w:t>
            </w:r>
          </w:p>
        </w:tc>
        <w:tc>
          <w:tcPr>
            <w:tcW w:type="dxa" w:w="3322"/>
          </w:tcPr>
          <w:p>
            <w:pPr>
              <w:pStyle w:val="null3"/>
            </w:pPr>
            <w:r>
              <w:rPr/>
              <w:t>本项目接受联合体（联合体成员不能超过2家） 磋商，联合体成员不得作为独立供应商或加入 本项目其他联合体参加本项目磋商。 联合体应 递交一份联合体协议书，该协议书须明确联合 体各成员对本项目项下的全部责任和义务承担 连带法律责任。该协议书须有各成员的法定代 表人或授权代表签字并加盖公章，并明确约定 联合体主办方和联合体成员计划承担的份额和 分工责任的说明。 联合体各成员还须共同提交 一份由各成员的法定代表人或授权代表签字的 授权书，授权联合体主办方代表各成员在本项 目招标投标过程中，及合同执行过程中（如联 合体被授予合同）以联合体的名义并代表联合 体进行澄清、签署文件和处理一切与此事有关 的全部事务。同时，与采购人之间的来往信函 将通过联合体主办方传递。</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项目总体分析</w:t>
            </w:r>
          </w:p>
        </w:tc>
        <w:tc>
          <w:tcPr>
            <w:tcW w:type="dxa" w:w="2492"/>
          </w:tcPr>
          <w:p>
            <w:pPr>
              <w:pStyle w:val="null3"/>
            </w:pPr>
            <w:r>
              <w:rPr/>
              <w:t>根据供应商提供的项目总体分析（包括但不限于项目背景及意义、研究内容及范围、项目的组织协调、重点难点分析及成果要求等）进行综合评审： 1.对本项目的背景及意义、研究内容及范围理解非常透彻，对项目的组织协调、重点难点及成果要求有具体分析及具体应对措施，得20分； 2.对本项目的背景及意义、研究内容及范围有较好的理解，对项目的组织协调、重点难点及成果要求有较好的分析及应对措施，得15分； 3.对本项目的背景及意义、研究内容及范围理解较差，对项目的组织协调、重点难点及成果要求的分析较差，应对措施较差，得8分； 4.未提供或其他情况不得分。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整体方案</w:t>
            </w:r>
          </w:p>
        </w:tc>
        <w:tc>
          <w:tcPr>
            <w:tcW w:type="dxa" w:w="2492"/>
          </w:tcPr>
          <w:p>
            <w:pPr>
              <w:pStyle w:val="null3"/>
            </w:pPr>
            <w:r>
              <w:rPr/>
              <w:t>根据供应商针对本项目制定的技术研究方案进行综合评审： 1.技术研究方案详细完善、针对性强、可行性高，依据的行业技术规范与标准及数据资料严谨、合理、准确，分析合理可行，针对性强、可行性高，完全满足项目采购要求的，得15分； 2.技术研究方案较详细完善、针对性较强、可行性较高，依据的行业技术规范与标准及数据资料严谨、合理、准确，分析较合理可行，针对性较强、可行性较高，满足项目采购要求的，得10分； 3.技术研究方案不够详细完善，针对性、可行性较差，依据的行业技术规范与标准及数据资料不够严谨、合理、准确，分析不够合理可行，针对性、可行性较差，部分满足项目采购要求的，得5分； 4.未提供或其他情况不得分。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研究质量保证措施</w:t>
            </w:r>
          </w:p>
        </w:tc>
        <w:tc>
          <w:tcPr>
            <w:tcW w:type="dxa" w:w="2492"/>
          </w:tcPr>
          <w:p>
            <w:pPr>
              <w:pStyle w:val="null3"/>
            </w:pPr>
            <w:r>
              <w:rPr/>
              <w:t>根据供应商针对本项目制定的研究质量保证措施或方案进行综合评审： 1. 研究质量保证措施内容详尽、完善、有针对性，完全满足要求的，得10分； 2. 研究质量保证措施比较详尽、完善、比较有针对性，能够满足要求的，得6分； 3. 研究质量保证措施内容较差，合理性、可行性较差，不能满足要求的，得3分； 4.未提供或其他情况不得分。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项目负责人及技术负责人</w:t>
            </w:r>
          </w:p>
        </w:tc>
        <w:tc>
          <w:tcPr>
            <w:tcW w:type="dxa" w:w="2492"/>
          </w:tcPr>
          <w:p>
            <w:pPr>
              <w:pStyle w:val="null3"/>
            </w:pPr>
            <w:r>
              <w:rPr/>
              <w:t>供应商拟派项目项目负责人和技术负责人情况： 1.供应商拟派项目负责人具有正高级或教授级高级职称证书的，得7分。 2.供应商拟派技术负责人具有副高级或高级（或以上）职称证书的，得3分。 以上累计最高得10分。 注：需提供项目负责人和技术负责人的职称证及近六个月内任意1个月本单位为其缴纳的社保证明或劳动合同复印件，否则不得分。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项目团队人员</w:t>
            </w:r>
          </w:p>
        </w:tc>
        <w:tc>
          <w:tcPr>
            <w:tcW w:type="dxa" w:w="2492"/>
          </w:tcPr>
          <w:p>
            <w:pPr>
              <w:pStyle w:val="null3"/>
            </w:pPr>
            <w:r>
              <w:rPr/>
              <w:t>供应商拟派项目团队人员情况（不包括项目负责人和技术负责人）： 1.具有副高级或高级（或以上）职称证书的，每提供一人得1分，具有中级职称证书的，每提供一人得0.5分，本项累计最高得10分； 2.具有相关专业证书的，每提供一人得1分，本项累计最高得5分； 3.其他情况不得分。 以上累计最高得15分。 注：需提供相关人员职称证、资格证或注册证或学历证或学位证相关证书及近六个月内任意1个月本单位为其缴纳的社保证明或劳动合同复印件，否则不得分。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同类业绩</w:t>
            </w:r>
          </w:p>
        </w:tc>
        <w:tc>
          <w:tcPr>
            <w:tcW w:type="dxa" w:w="2492"/>
          </w:tcPr>
          <w:p>
            <w:pPr>
              <w:pStyle w:val="null3"/>
            </w:pPr>
            <w:r>
              <w:rPr/>
              <w:t>依据响应文件提供的供应商自2014年1月1日以来相关科研项目证明材料（以合同复印件为准），每提供一份有效业绩得2分，本项最高得10分；团队中有相关知识产权的论文、著作或成果应用证明，每提供一份有效业绩得2分，本项最高得10分；提供相关证明文件复印件加盖公章。</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评标基准价：满足招标文件要求且投标价格最低的投标报价为评标基准价，其价格分为10分。 其他投标人的价格分统一按照下列公式计算（小数点后保留两位）： 投标报价得分=(评标基准价／投标报价)×10 备注： 1.评分计算保留2位小数，第3位小数四舍五入。 2.评标委员会对满足招标文件实质性要求的投标文件，按照本章规定的评分标准进行打分，并按得分由高到低顺序推荐中标候选人，或根据招标人授权直接确定中标人，但投标报价低于其成本的除外。综合评分相等时，以投标报价低的优先；投标报价也相等的，按技术指标优劣排序。评审得分且最后报价且技术指标得分均相同的，成交候选供应商并列。3.投标报价不完整的，不进入评标基准价的计算，本项得0分。 4.报价超过采购预算或最高限价的，按无效响应处理。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r>
        <w:tc>
          <w:tcPr>
            <w:tcW w:type="dxa" w:w="831"/>
          </w:tcPr>
          <w:p>
            <w:pPr>
              <w:pStyle w:val="null3"/>
            </w:pPr>
            <w:r>
              <w:rPr/>
              <w:t>2</w:t>
            </w:r>
          </w:p>
        </w:tc>
        <w:tc>
          <w:tcPr>
            <w:tcW w:type="dxa" w:w="1661"/>
          </w:tcPr>
          <w:p>
            <w:pPr>
              <w:pStyle w:val="null3"/>
            </w:pPr>
            <w:r>
              <w:rPr/>
              <w:t>小型、微型企业，监狱企业，残疾人福利性单位</w:t>
            </w:r>
          </w:p>
        </w:tc>
        <w:tc>
          <w:tcPr>
            <w:tcW w:type="dxa" w:w="1661"/>
          </w:tcPr>
          <w:p>
            <w:pPr>
              <w:pStyle w:val="null3"/>
            </w:pPr>
            <w:r>
              <w:rPr/>
              <w:t>联合协议或者分包意向协议约定小型、微型企业的合同份额占到合同总金额30%以上</w:t>
            </w:r>
          </w:p>
        </w:tc>
        <w:tc>
          <w:tcPr>
            <w:tcW w:type="dxa" w:w="831"/>
          </w:tcPr>
          <w:p>
            <w:pPr>
              <w:pStyle w:val="null3"/>
              <w:jc w:val="right"/>
            </w:pPr>
            <w:r>
              <w:rPr/>
              <w:t>6.0000%</w:t>
            </w:r>
          </w:p>
        </w:tc>
        <w:tc>
          <w:tcPr>
            <w:tcW w:type="dxa" w:w="1661"/>
          </w:tcPr>
          <w:p>
            <w:pPr>
              <w:pStyle w:val="null3"/>
            </w:pPr>
            <w:r>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