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中华美服饰文化中心建设工程（中国传统服饰文化体验中心建设工程）</w:t>
      </w:r>
    </w:p>
    <w:p>
      <w:pPr>
        <w:pStyle w:val="null3"/>
        <w:jc w:val="center"/>
        <w:outlineLvl w:val="2"/>
      </w:pPr>
      <w:r>
        <w:rPr>
          <w:sz w:val="28"/>
          <w:b/>
        </w:rPr>
        <w:t>采购项目编号：</w:t>
      </w:r>
      <w:r>
        <w:rPr>
          <w:sz w:val="28"/>
          <w:b/>
        </w:rPr>
        <w:t>ZMZB2024GCDX-353</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2024年10月07日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西安工程大学</w:t>
      </w:r>
      <w:r>
        <w:rPr/>
        <w:t>委托，拟对</w:t>
      </w:r>
      <w:r>
        <w:rPr/>
        <w:t>中华美服饰文化中心建设工程（中国传统服饰文化体验中心建设工程）</w:t>
      </w:r>
      <w:r>
        <w:rPr/>
        <w:t>采用竞争性磋商采购方式进行采购，兹邀请供应商参加本项目的竞争性磋商。</w:t>
      </w:r>
    </w:p>
    <w:p>
      <w:pPr>
        <w:pStyle w:val="null3"/>
        <w:outlineLvl w:val="2"/>
      </w:pPr>
      <w:r>
        <w:rPr>
          <w:sz w:val="28"/>
          <w:b/>
        </w:rPr>
        <w:t>一、采购项目编号：</w:t>
      </w:r>
      <w:r>
        <w:rPr>
          <w:sz w:val="28"/>
          <w:b/>
        </w:rPr>
        <w:t>ZMZB2024GCDX-353</w:t>
      </w:r>
    </w:p>
    <w:p>
      <w:pPr>
        <w:pStyle w:val="null3"/>
        <w:outlineLvl w:val="2"/>
      </w:pPr>
      <w:r>
        <w:rPr>
          <w:sz w:val="28"/>
          <w:b/>
        </w:rPr>
        <w:t>二、采购项目名称：</w:t>
      </w:r>
      <w:r>
        <w:rPr>
          <w:sz w:val="28"/>
          <w:b/>
        </w:rPr>
        <w:t>中华美服饰文化中心建设工程（中国传统服饰文化体验中心建设工程）</w:t>
      </w:r>
    </w:p>
    <w:p>
      <w:pPr>
        <w:pStyle w:val="null3"/>
        <w:outlineLvl w:val="2"/>
      </w:pPr>
      <w:r>
        <w:rPr>
          <w:sz w:val="28"/>
          <w:b/>
        </w:rPr>
        <w:t>三、磋商项目简介</w:t>
      </w:r>
    </w:p>
    <w:p>
      <w:pPr>
        <w:pStyle w:val="null3"/>
        <w:ind w:firstLine="480"/>
      </w:pPr>
      <w:r>
        <w:rPr/>
        <w:t>中华美服饰文化中心建设工程（中国传统服饰文化体验中心建设工程）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采购包1（中华美服饰文化中心建设工程（中国传统服饰文化体验中心建设工程））：属于专门面向中小企业采购。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t>3、具有履行合同所必需的设备和专业技术能力的书面声明：具有履行合同所必需的设备和专业技术能力的书面声明</w:t>
      </w:r>
    </w:p>
    <w:p>
      <w:pPr>
        <w:pStyle w:val="null3"/>
      </w:pPr>
      <w:r>
        <w:rPr/>
        <w:t>4、税收缴纳证明：提供2024年1月（含1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5、社会保障资金缴纳证明：提供2024年1月（含1月）以后至少一个月的社会保障资金缴存单据或社保机构开具的社会保险参保缴费情况证明。依法不需要缴纳社会保障资金的供应商应提供相关文件证明</w:t>
      </w:r>
    </w:p>
    <w:p>
      <w:pPr>
        <w:pStyle w:val="null3"/>
      </w:pPr>
      <w:r>
        <w:rPr/>
        <w:t>6、没有重大违法记录的书面声明：参加政府采购活动前3年内在经营活动中没有重大违法记录的书面声明</w:t>
      </w:r>
    </w:p>
    <w:p>
      <w:pPr>
        <w:pStyle w:val="null3"/>
      </w:pPr>
      <w:r>
        <w:rPr/>
        <w:t>7、法定代表人授权书：非法定代表人参加投标的，须提供法定代表人委托授权书及被授权人身份证，法定代表人参加投标时,只须提供法定代表人身份证</w:t>
      </w:r>
    </w:p>
    <w:p>
      <w:pPr>
        <w:pStyle w:val="null3"/>
      </w:pPr>
      <w:r>
        <w:rPr/>
        <w:t>8、施工资质：具备建筑工程施工总承包三级及以上或建筑装修装饰工程专业承包二级及以上资质，有效期内的安全生产许可证</w:t>
      </w:r>
    </w:p>
    <w:p>
      <w:pPr>
        <w:pStyle w:val="null3"/>
      </w:pPr>
      <w:r>
        <w:rPr/>
        <w:t>9、外地企业备案：外地企业提供在“陕西省建筑市场监管与诚信信息一体化平台”上登记的基本信息界面截图</w:t>
      </w:r>
    </w:p>
    <w:p>
      <w:pPr>
        <w:pStyle w:val="null3"/>
      </w:pPr>
      <w:r>
        <w:rPr/>
        <w:t>10、项目经理：拟投入的项目经理须提供在本单位注册的建筑工程专业贰级（含贰级）以上注册建造师证书及有效的安全生产考核合格证，且未担任其他在建工程项目的项目经理（提供无在建工程的承诺函）</w:t>
      </w:r>
    </w:p>
    <w:p>
      <w:pPr>
        <w:pStyle w:val="null3"/>
      </w:pPr>
      <w:r>
        <w:rPr/>
        <w:t>11、本项目为专门面向中小企业采购项目：供应商应出具中小企业声明函</w:t>
      </w:r>
    </w:p>
    <w:p>
      <w:pPr>
        <w:pStyle w:val="null3"/>
      </w:pPr>
      <w:r>
        <w:rPr/>
        <w:t>12、非联合体投标：提供非联合体投标声明函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81369287</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 xml:space="preserve"> 董菊莉 马魏臣</w:t>
      </w:r>
    </w:p>
    <w:p>
      <w:pPr>
        <w:pStyle w:val="null3"/>
      </w:pPr>
      <w:r>
        <w:rPr/>
        <w:t xml:space="preserve"> 联系电话： </w:t>
      </w:r>
      <w:r>
        <w:rPr/>
        <w:t xml:space="preserve"> 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采购包1：1,460,600.54元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采购包1保证金金额：28,000.00元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西安工程大学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按照招标文件、投标文件及合同约定执行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联系电话：177 7896 6062</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1,460,600.54</w:t>
      </w:r>
    </w:p>
    <w:p>
      <w:pPr>
        <w:pStyle w:val="null3"/>
      </w:pPr>
      <w:r>
        <w:rPr/>
        <w:t>采购包最高限价（元）: 1,460,600.54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修缮</w:t>
            </w:r>
          </w:p>
        </w:tc>
        <w:tc>
          <w:tcPr>
            <w:tcW w:type="dxa" w:w="1384"/>
          </w:tcPr>
          <w:p>
            <w:pPr>
              <w:pStyle w:val="null3"/>
              <w:jc w:val="right"/>
            </w:pPr>
            <w:r>
              <w:rPr/>
              <w:t>1.00</w:t>
            </w:r>
          </w:p>
        </w:tc>
        <w:tc>
          <w:tcPr>
            <w:tcW w:type="dxa" w:w="1384"/>
          </w:tcPr>
          <w:p>
            <w:pPr>
              <w:pStyle w:val="null3"/>
              <w:jc w:val="right"/>
            </w:pPr>
            <w:r>
              <w:rPr/>
              <w:t>1,460,600.54</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项目概况</w:t>
            </w:r>
            <w:r>
              <w:rPr>
                <w:rFonts w:ascii="宋体" w:hAnsi="宋体" w:cs="宋体" w:eastAsia="宋体"/>
              </w:rPr>
              <w:t>:</w:t>
            </w:r>
          </w:p>
          <w:p>
            <w:pPr>
              <w:pStyle w:val="null3"/>
              <w:jc w:val="both"/>
            </w:pPr>
            <w:r>
              <w:rPr>
                <w:rFonts w:ascii="宋体" w:hAnsi="宋体" w:cs="宋体" w:eastAsia="宋体"/>
                <w:sz w:val="21"/>
              </w:rPr>
              <w:t>根据学校发展规划，拟对金花校区科二楼一层门面房进行中华美服饰文化中心建设工作。科二楼一层门面房位于西门北侧，正门面向东二环，总面积约为</w:t>
            </w:r>
            <w:r>
              <w:rPr>
                <w:rFonts w:ascii="宋体" w:hAnsi="宋体" w:cs="宋体" w:eastAsia="宋体"/>
                <w:sz w:val="21"/>
              </w:rPr>
              <w:t>784.57m</w:t>
            </w:r>
            <w:r>
              <w:rPr>
                <w:rFonts w:ascii="宋体" w:hAnsi="宋体" w:cs="宋体" w:eastAsia="宋体"/>
                <w:sz w:val="21"/>
                <w:vertAlign w:val="superscript"/>
              </w:rPr>
              <w:t>2</w:t>
            </w:r>
            <w:r>
              <w:rPr>
                <w:rFonts w:ascii="宋体" w:hAnsi="宋体" w:cs="宋体" w:eastAsia="宋体"/>
                <w:sz w:val="21"/>
              </w:rPr>
              <w:t>。</w:t>
            </w:r>
            <w:r>
              <w:rPr>
                <w:rFonts w:ascii="宋体" w:hAnsi="宋体" w:cs="宋体" w:eastAsia="宋体"/>
                <w:sz w:val="21"/>
              </w:rPr>
              <w:t>目前，该区域内物品已腾挪，原装饰已拆除，具备施工条件。这次建设将通过装饰装修工程、电子展示设备、电气设备安装工程、给排水工程四个分项工程的改造，更好的展现学校人才培养的亮点和成效。</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项目采购范围包括：装饰装修部分：门头及室外、序厅、秦汉唐、新中式、摄影棚、时尚创新、卫生间及后门厅；电子展示设备部分：</w:t>
            </w:r>
            <w:r>
              <w:rPr>
                <w:rFonts w:ascii="calibri" w:hAnsi="calibri" w:cs="calibri" w:eastAsia="calibri"/>
                <w:sz w:val="21"/>
              </w:rPr>
              <w:t>LED</w:t>
            </w:r>
            <w:r>
              <w:rPr>
                <w:rFonts w:ascii="宋体" w:hAnsi="宋体" w:cs="宋体" w:eastAsia="宋体"/>
                <w:sz w:val="21"/>
              </w:rPr>
              <w:t>屏、设备和中控；电气设备安装部分：强弱电及给排水工程。主要内容有全玻幕墙、门头墙面铝圆柱格栅、铝方柱格栅、门头铝单板幕墙、铝单板幕墙、铝单板挑檐造型、镂空雕刻铝板屏风、铸铝隐形金属门、铝板雕刻深浮雕金属门、金属发光字、双面槽铝方通造型、轻钢龙骨石膏板隔墙、天棚吊顶、异形弧形玻璃面地台、地砖铺贴、抹灰面油漆、吊挂绢画饰面、悬挑窗帘盒、造型标题展板、实木装饰门、金属折叠门、质感涂料地面、装饰板墙面、卫生间蹲位隔断、</w:t>
            </w:r>
            <w:r>
              <w:rPr>
                <w:rFonts w:ascii="calibri" w:hAnsi="calibri" w:cs="calibri" w:eastAsia="calibri"/>
                <w:sz w:val="21"/>
              </w:rPr>
              <w:t>LED</w:t>
            </w:r>
            <w:r>
              <w:rPr>
                <w:rFonts w:ascii="宋体" w:hAnsi="宋体" w:cs="宋体" w:eastAsia="宋体"/>
                <w:sz w:val="21"/>
              </w:rPr>
              <w:t>显示屏、后台服务器、视频处理器、定制显示屏钢架结构、功率放大器、触摸一体机及支架、电源时序器、中控程序等；电气配线配管及装饰灯、磁吸轨道、给排水。</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rPr>
              <w:t>工程内容、数量及技术要求</w:t>
            </w:r>
            <w:r>
              <w:rPr>
                <w:rFonts w:ascii="宋体" w:hAnsi="宋体" w:cs="宋体" w:eastAsia="宋体"/>
                <w:b/>
              </w:rPr>
              <w:t>:</w:t>
            </w:r>
          </w:p>
          <w:p>
            <w:pPr>
              <w:pStyle w:val="null3"/>
            </w:pPr>
            <w:r>
              <w:rPr>
                <w:rFonts w:ascii="宋体" w:hAnsi="宋体" w:cs="宋体" w:eastAsia="宋体"/>
              </w:rPr>
              <w:t>工程内容有全玻幕墙、门头墙面铝圆柱格栅、铝方柱格栅、门头铝单板幕墙、铝单板幕墙、铝单板挑檐造型、镂空雕刻铝板屏风、铸铝隐形金属门、铝板雕刻深浮雕金属门、金属发光字、双面槽铝方通造型、轻钢龙骨石膏板隔墙、天棚吊顶、异形弧形玻璃面地台、地砖铺贴、抹灰面油漆、吊挂绢画饰面、悬挑窗帘盒、造型标题展板、实木装饰门、金属折叠门、质感涂料地面、装饰板墙面、卫生间蹲位隔断、</w:t>
            </w:r>
            <w:r>
              <w:rPr>
                <w:rFonts w:ascii="calibri" w:hAnsi="calibri" w:cs="calibri" w:eastAsia="calibri"/>
              </w:rPr>
              <w:t>LED</w:t>
            </w:r>
            <w:r>
              <w:rPr>
                <w:rFonts w:ascii="宋体" w:hAnsi="宋体" w:cs="宋体" w:eastAsia="宋体"/>
              </w:rPr>
              <w:t>显示屏、后台服务器、视频处理器、定制显示屏钢架结构、功率放大器、触摸一体机及支架、电源时序器、中控程序等；电气配线配管及装饰灯、磁吸轨道、给排水。</w:t>
            </w:r>
          </w:p>
          <w:p>
            <w:pPr>
              <w:pStyle w:val="null3"/>
              <w:jc w:val="both"/>
            </w:pPr>
            <w:r>
              <w:rPr>
                <w:rFonts w:ascii="宋体" w:hAnsi="宋体" w:cs="宋体" w:eastAsia="宋体"/>
                <w:sz w:val="21"/>
              </w:rPr>
              <w:t>注：具体工程内容以设计图纸及工程量清单为准。</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其他要求：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）、招标工程量为暂定量，最终按照实际施工量据实结算。</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）、因施工产生的建筑垃圾及清运均包含在综合单价内，不再另行计费。</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）、所有分项工程施工工艺需由投标单位根据行业规范及现场实际情况科学组价，与施工相关的一切费用均包含在相关综合单价中，不再另行计费。</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该工程中所用材料必须符合国家、行业标准，且均须采用国内知名品牌，投标单位在投标文件须注明品牌并随附相关产品检测报告。所有原材料进场前须由中标方提供样品，校方及监理方考察认质，认定样品质量后封存，大批量材料进场时比对查验，上述常规因素投标单位组价时须一并考虑。</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）、本项目因门头及室外施工若需到相应行政管理机构办理审批、备案等手续的，由施工单位负责，由此发生的一切费用概由施工单位承担。</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）、本项目内容包括二次深化设计，由此产生的一切费用均由施工单位承担。</w:t>
            </w:r>
          </w:p>
          <w:p>
            <w:pPr>
              <w:pStyle w:val="null3"/>
              <w:jc w:val="both"/>
            </w:pPr>
            <w:r>
              <w:rPr>
                <w:rFonts w:ascii="宋体" w:hAnsi="宋体" w:cs="宋体" w:eastAsia="宋体"/>
              </w:rPr>
              <w:t>（</w:t>
            </w:r>
            <w:r>
              <w:rPr>
                <w:rFonts w:ascii="calibri" w:hAnsi="calibri" w:cs="calibri" w:eastAsia="calibri"/>
              </w:rPr>
              <w:t>7</w:t>
            </w:r>
            <w:r>
              <w:rPr>
                <w:rFonts w:ascii="宋体" w:hAnsi="宋体" w:cs="宋体" w:eastAsia="宋体"/>
              </w:rPr>
              <w:t>）、本工程严格执行施工工期，每无故拖延一天，按照合同价的</w:t>
            </w:r>
            <w:r>
              <w:rPr>
                <w:rFonts w:ascii="calibri" w:hAnsi="calibri" w:cs="calibri" w:eastAsia="calibri"/>
              </w:rPr>
              <w:t>1%</w:t>
            </w:r>
            <w:r>
              <w:rPr>
                <w:rFonts w:ascii="宋体" w:hAnsi="宋体" w:cs="宋体" w:eastAsia="宋体"/>
              </w:rPr>
              <w:t>按天累计从工程款项中一次性扣除。</w:t>
            </w:r>
          </w:p>
          <w:p>
            <w:pPr>
              <w:pStyle w:val="null3"/>
              <w:jc w:val="both"/>
            </w:pPr>
            <w:r>
              <w:rPr>
                <w:rFonts w:ascii="宋体" w:hAnsi="宋体" w:cs="宋体" w:eastAsia="宋体"/>
              </w:rPr>
              <w:t>（</w:t>
            </w:r>
            <w:r>
              <w:rPr>
                <w:rFonts w:ascii="calibri" w:hAnsi="calibri" w:cs="calibri" w:eastAsia="calibri"/>
              </w:rPr>
              <w:t>8</w:t>
            </w:r>
            <w:r>
              <w:rPr>
                <w:rFonts w:ascii="宋体" w:hAnsi="宋体" w:cs="宋体" w:eastAsia="宋体"/>
              </w:rPr>
              <w:t>）、工程施工结算阶段，承包人应据实申报结算资料及组价，经审计后审减率超出</w:t>
            </w:r>
            <w:r>
              <w:rPr>
                <w:rFonts w:ascii="calibri" w:hAnsi="calibri" w:cs="calibri" w:eastAsia="calibri"/>
              </w:rPr>
              <w:t>10%</w:t>
            </w:r>
            <w:r>
              <w:rPr>
                <w:rFonts w:ascii="宋体" w:hAnsi="宋体" w:cs="宋体" w:eastAsia="宋体"/>
              </w:rPr>
              <w:t>（含</w:t>
            </w:r>
            <w:r>
              <w:rPr>
                <w:rFonts w:ascii="calibri" w:hAnsi="calibri" w:cs="calibri" w:eastAsia="calibri"/>
              </w:rPr>
              <w:t>10%</w:t>
            </w:r>
            <w:r>
              <w:rPr>
                <w:rFonts w:ascii="宋体" w:hAnsi="宋体" w:cs="宋体" w:eastAsia="宋体"/>
              </w:rPr>
              <w:t>）时，发生的审计成果费由承包人承担。</w:t>
            </w:r>
          </w:p>
          <w:p>
            <w:pPr>
              <w:pStyle w:val="null3"/>
              <w:jc w:val="both"/>
            </w:pPr>
            <w:r>
              <w:rPr>
                <w:rFonts w:ascii="宋体" w:hAnsi="宋体" w:cs="宋体" w:eastAsia="宋体"/>
              </w:rPr>
              <w:t>（</w:t>
            </w:r>
            <w:r>
              <w:rPr>
                <w:rFonts w:ascii="calibri" w:hAnsi="calibri" w:cs="calibri" w:eastAsia="calibri"/>
              </w:rPr>
              <w:t>9</w:t>
            </w:r>
            <w:r>
              <w:rPr>
                <w:rFonts w:ascii="宋体" w:hAnsi="宋体" w:cs="宋体" w:eastAsia="宋体"/>
              </w:rPr>
              <w:t>）、本工程所发生的水电费按工程审定造价的</w:t>
            </w:r>
            <w:r>
              <w:rPr>
                <w:rFonts w:ascii="calibri" w:hAnsi="calibri" w:cs="calibri" w:eastAsia="calibri"/>
              </w:rPr>
              <w:t>5‰</w:t>
            </w:r>
            <w:r>
              <w:rPr>
                <w:rFonts w:ascii="宋体" w:hAnsi="宋体" w:cs="宋体" w:eastAsia="宋体"/>
              </w:rPr>
              <w:t>（其中电费为</w:t>
            </w:r>
            <w:r>
              <w:rPr>
                <w:rFonts w:ascii="calibri" w:hAnsi="calibri" w:cs="calibri" w:eastAsia="calibri"/>
              </w:rPr>
              <w:t>3‰</w:t>
            </w:r>
            <w:r>
              <w:rPr>
                <w:rFonts w:ascii="宋体" w:hAnsi="宋体" w:cs="宋体" w:eastAsia="宋体"/>
              </w:rPr>
              <w:t>，水费为</w:t>
            </w:r>
            <w:r>
              <w:rPr>
                <w:rFonts w:ascii="calibri" w:hAnsi="calibri" w:cs="calibri" w:eastAsia="calibri"/>
              </w:rPr>
              <w:t>2‰</w:t>
            </w:r>
            <w:r>
              <w:rPr>
                <w:rFonts w:ascii="宋体" w:hAnsi="宋体" w:cs="宋体" w:eastAsia="宋体"/>
              </w:rPr>
              <w:t>）从工程款项中一次性扣除。</w:t>
            </w:r>
          </w:p>
          <w:p>
            <w:pPr>
              <w:pStyle w:val="null3"/>
              <w:jc w:val="both"/>
            </w:pPr>
            <w:r>
              <w:rPr>
                <w:rFonts w:ascii="宋体" w:hAnsi="宋体" w:cs="宋体" w:eastAsia="宋体"/>
                <w:sz w:val="21"/>
              </w:rPr>
              <w:t>（</w:t>
            </w:r>
            <w:r>
              <w:rPr>
                <w:rFonts w:ascii="calibri" w:hAnsi="calibri" w:cs="calibri" w:eastAsia="calibri"/>
                <w:sz w:val="21"/>
              </w:rPr>
              <w:t>10</w:t>
            </w:r>
            <w:r>
              <w:rPr>
                <w:rFonts w:ascii="宋体" w:hAnsi="宋体" w:cs="宋体" w:eastAsia="宋体"/>
                <w:sz w:val="21"/>
              </w:rPr>
              <w:t>）、参考品牌不是指定品牌，其目的是为了方便供应商直观和准确地把握相应材料的技术标准，不具指定或唯一的意思表示，供应商应当参考所列品牌的材料，提供档次、质量或相当于或高于这些品牌的产品。</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rPr>
              <w:t>主要材料规格型号及技术参数要求</w:t>
            </w:r>
          </w:p>
          <w:tbl>
            <w:tblPr>
              <w:tblInd w:type="dxa" w:w="90"/>
              <w:tblBorders>
                <w:top w:val="none" w:color="000000" w:sz="4"/>
                <w:left w:val="none" w:color="000000" w:sz="4"/>
                <w:bottom w:val="none" w:color="000000" w:sz="4"/>
                <w:right w:val="none" w:color="000000" w:sz="4"/>
                <w:insideH w:val="none"/>
                <w:insideV w:val="none"/>
              </w:tblBorders>
            </w:tblPr>
            <w:tblGrid>
              <w:gridCol w:w="261"/>
              <w:gridCol w:w="596"/>
              <w:gridCol w:w="634"/>
              <w:gridCol w:w="511"/>
              <w:gridCol w:w="538"/>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序号</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材料（设备）名称</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规格、型号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主要技术参数、性能指标及配置要求</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单位</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镜面不锈钢板</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(6k)</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铝单板</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2.5mm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铝扣板</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600× 600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专用双面槽方通</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100*100*2.0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双面嵌装灯带</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铝圆管立柱</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100*2.0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雕花方管立柱</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100*100*2.0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雕刻铝板屏风</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各种镀锌方管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kg</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各种镀锌铁件</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kg</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各种型钢</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t</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轻钢龙骨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75× 40mm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轻钢龙骨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75× 50mm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乳胶漆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kg</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石膏板</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9.5mm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陶瓷地面砖</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600*1200mm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卫生间隔断</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18mm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艺术薄板造型制作</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60厚造型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丙烯酸涂料</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kg</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灯光控制器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发光字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160*160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金属字发光字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650*600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铝合金平开门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60断桥</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铝型材折叠门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5600*3400mm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20*40铝型材，双面1.0厚灰色不锈钢内夹铝蜂窝</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网线</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双绞线阻燃六类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线性灯槽</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AL1配电箱</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600*800*200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AL2配电箱</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600*800*200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LED灯带</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8W4000K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磁吸射灯</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25W3500K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显指</w:t>
                  </w:r>
                  <w:r>
                    <w:rPr>
                      <w:rFonts w:ascii="仿宋" w:hAnsi="仿宋" w:cs="仿宋" w:eastAsia="仿宋"/>
                      <w:sz w:val="24"/>
                      <w:color w:val="000000"/>
                    </w:rPr>
                    <w:t>95以上</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吊装射灯</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15W4000K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暗装射灯</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12W4000K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磁吸格栅灯</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12W4000K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五孔插座</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普通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照明开关</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普通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只</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磁吸轨道</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配套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中控机柜</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600*800*2050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常规</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功率放大器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额定功率</w:t>
                  </w:r>
                  <w:r>
                    <w:rPr>
                      <w:rFonts w:ascii="仿宋" w:hAnsi="仿宋" w:cs="仿宋" w:eastAsia="仿宋"/>
                      <w:sz w:val="24"/>
                      <w:color w:val="000000"/>
                    </w:rPr>
                    <w:t>1KHz，频率响应（</w:t>
                  </w:r>
                  <w:r>
                    <w:br/>
                  </w:r>
                  <w:r>
                    <w:rPr>
                      <w:rFonts w:ascii="仿宋" w:hAnsi="仿宋" w:cs="仿宋" w:eastAsia="仿宋"/>
                      <w:sz w:val="24"/>
                      <w:color w:val="000000"/>
                    </w:rPr>
                    <w:t>1W）: 20Hz-20kHz，+1/-1dB</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后台服务器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w:t>
                  </w:r>
                  <w:r>
                    <w:rPr>
                      <w:rFonts w:ascii="calibri" w:hAnsi="calibri" w:cs="calibri" w:eastAsia="calibri"/>
                      <w:sz w:val="24"/>
                    </w:rPr>
                    <w:t>I5-12500</w:t>
                  </w:r>
                  <w:r>
                    <w:rPr>
                      <w:rFonts w:ascii="仿宋" w:hAnsi="仿宋" w:cs="仿宋" w:eastAsia="仿宋"/>
                      <w:sz w:val="24"/>
                    </w:rPr>
                    <w:t>）</w:t>
                  </w:r>
                  <w:r>
                    <w:rPr>
                      <w:rFonts w:ascii="calibri" w:hAnsi="calibri" w:cs="calibri" w:eastAsia="calibri"/>
                      <w:sz w:val="24"/>
                    </w:rPr>
                    <w:t>8+256SSD+1T</w:t>
                  </w:r>
                  <w:r>
                    <w:rPr>
                      <w:rFonts w:ascii="仿宋" w:hAnsi="仿宋" w:cs="仿宋" w:eastAsia="仿宋"/>
                      <w:sz w:val="24"/>
                    </w:rPr>
                    <w:t>机械，</w:t>
                  </w:r>
                  <w:r>
                    <w:rPr>
                      <w:rFonts w:ascii="calibri" w:hAnsi="calibri" w:cs="calibri" w:eastAsia="calibri"/>
                      <w:sz w:val="24"/>
                    </w:rPr>
                    <w:t>300W</w:t>
                  </w:r>
                  <w:r>
                    <w:rPr>
                      <w:rFonts w:ascii="仿宋" w:hAnsi="仿宋" w:cs="仿宋" w:eastAsia="仿宋"/>
                      <w:sz w:val="24"/>
                    </w:rPr>
                    <w:t>电源，</w:t>
                  </w:r>
                  <w:r>
                    <w:rPr>
                      <w:rFonts w:ascii="calibri" w:hAnsi="calibri" w:cs="calibri" w:eastAsia="calibri"/>
                      <w:sz w:val="24"/>
                    </w:rPr>
                    <w:t>Win11</w:t>
                  </w:r>
                  <w:r>
                    <w:rPr>
                      <w:rFonts w:ascii="仿宋" w:hAnsi="仿宋" w:cs="仿宋" w:eastAsia="仿宋"/>
                      <w:sz w:val="24"/>
                    </w:rPr>
                    <w:t>系统</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交换机</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24口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千兆企业级</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路由器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千兆级，企业版</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视频处理器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带载能力可达</w:t>
                  </w:r>
                  <w:r>
                    <w:rPr>
                      <w:rFonts w:ascii="仿宋" w:hAnsi="仿宋" w:cs="仿宋" w:eastAsia="仿宋"/>
                      <w:sz w:val="24"/>
                      <w:color w:val="000000"/>
                    </w:rPr>
                    <w:t>650万像素，最大1920*1080@60Hz输入分辨率，输入：2×HDMI1.4、1×DVI、1×VGA、1×CVBS、1路U盘；输出：4路千兆网口，1路独立音频输入1路独立音频输出，支持HDMI和DP音频解析输出，支持USB接口控制及级联、RS232串口协议控制、红外遥控器控制（选配）</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手持终端</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10.3寸，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内存</w:t>
                  </w:r>
                  <w:r>
                    <w:rPr>
                      <w:rFonts w:ascii="仿宋" w:hAnsi="仿宋" w:cs="仿宋" w:eastAsia="仿宋"/>
                      <w:sz w:val="24"/>
                      <w:color w:val="000000"/>
                    </w:rPr>
                    <w:t>8G，硬盘128G，</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无线</w:t>
                  </w:r>
                  <w:r>
                    <w:rPr>
                      <w:rFonts w:ascii="仿宋" w:hAnsi="仿宋" w:cs="仿宋" w:eastAsia="仿宋"/>
                      <w:sz w:val="24"/>
                      <w:color w:val="000000"/>
                    </w:rPr>
                    <w:t>AP</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常规</w:t>
                  </w:r>
                  <w:r>
                    <w:rPr>
                      <w:rFonts w:ascii="仿宋" w:hAnsi="仿宋" w:cs="仿宋" w:eastAsia="仿宋"/>
                      <w:sz w:val="24"/>
                      <w:color w:val="000000"/>
                    </w:rPr>
                    <w:t>,支持2.4GHz和5GHz双频MU-MIMO，支持1024QAM 调制，支持 OFDMA技术，支持空间复用技术，支持目标唤醒时间，2.4GHz射频速率可达0.575Gbps，5GHz频段速率可达2.4Gbps，整机速率达2.975Gbps</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个</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吸顶扬声器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吸顶扬声器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50W</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液晶显示屏</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21.5寸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台式显示器</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LED显示单元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1.点间距：2.0mm 2.扫描方式：1/40扫描  3.驱动方式：恒流驱动4.模组分辨率：160×80 点 5.模组尺寸：320mm×160mm×17mm</w:t>
                  </w:r>
                  <w:r>
                    <w:br/>
                  </w:r>
                  <w:r>
                    <w:rPr>
                      <w:rFonts w:ascii="仿宋" w:hAnsi="仿宋" w:cs="仿宋" w:eastAsia="仿宋"/>
                      <w:sz w:val="24"/>
                      <w:color w:val="000000"/>
                    </w:rPr>
                    <w:t>6.LED 封装方式：SMD15表贴三合一 7.水平视角（H）：170 °5 °8.垂直视角（V）：170 °±5 °像素组成：1R1G1B9.模组重量：460g±5g  10.模组类型：灯驱合一11.模组工作电压：4.2V-5V 12.模组平均功率：12W</w:t>
                  </w:r>
                  <w:r>
                    <w:br/>
                  </w:r>
                  <w:r>
                    <w:rPr>
                      <w:rFonts w:ascii="仿宋" w:hAnsi="仿宋" w:cs="仿宋" w:eastAsia="仿宋"/>
                      <w:sz w:val="24"/>
                      <w:color w:val="000000"/>
                    </w:rPr>
                    <w:t>13.模组最大功率：24W 14.白平衡亮度：≥500cd/m215.色温：3000-21000K 16.功率：平均功率：235W/m2；最大功率：469W/m217.亮度均匀性：≥98.5%色度均匀性：±0.002Cx，Cy 之内18.像素密度（点/平方米）：25000019.供电方式：AC200-240V,50/60Hz</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触摸一体机</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86</w:t>
                  </w:r>
                  <w:r>
                    <w:rPr>
                      <w:rFonts w:ascii="仿宋" w:hAnsi="仿宋" w:cs="仿宋" w:eastAsia="仿宋"/>
                      <w:sz w:val="24"/>
                    </w:rPr>
                    <w:t>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最大显示尺寸</w:t>
                  </w:r>
                  <w:r>
                    <w:rPr>
                      <w:rFonts w:ascii="calibri" w:hAnsi="calibri" w:cs="calibri" w:eastAsia="calibri"/>
                      <w:sz w:val="24"/>
                    </w:rPr>
                    <w:t xml:space="preserve"> 1895.04</w:t>
                  </w:r>
                  <w:r>
                    <w:rPr>
                      <w:rFonts w:ascii="仿宋" w:hAnsi="仿宋" w:cs="仿宋" w:eastAsia="仿宋"/>
                      <w:sz w:val="24"/>
                    </w:rPr>
                    <w:t>（</w:t>
                  </w:r>
                  <w:r>
                    <w:rPr>
                      <w:rFonts w:ascii="calibri" w:hAnsi="calibri" w:cs="calibri" w:eastAsia="calibri"/>
                      <w:sz w:val="24"/>
                    </w:rPr>
                    <w:t>H</w:t>
                  </w:r>
                  <w:r>
                    <w:rPr>
                      <w:rFonts w:ascii="仿宋" w:hAnsi="仿宋" w:cs="仿宋" w:eastAsia="仿宋"/>
                      <w:sz w:val="24"/>
                    </w:rPr>
                    <w:t>）</w:t>
                  </w:r>
                  <w:r>
                    <w:rPr>
                      <w:rFonts w:ascii="calibri" w:hAnsi="calibri" w:cs="calibri" w:eastAsia="calibri"/>
                      <w:sz w:val="24"/>
                    </w:rPr>
                    <w:t>×1065.96</w:t>
                  </w:r>
                  <w:r>
                    <w:rPr>
                      <w:rFonts w:ascii="仿宋" w:hAnsi="仿宋" w:cs="仿宋" w:eastAsia="仿宋"/>
                      <w:sz w:val="24"/>
                    </w:rPr>
                    <w:t>（</w:t>
                  </w:r>
                  <w:r>
                    <w:rPr>
                      <w:rFonts w:ascii="calibri" w:hAnsi="calibri" w:cs="calibri" w:eastAsia="calibri"/>
                      <w:sz w:val="24"/>
                    </w:rPr>
                    <w:t>V</w:t>
                  </w:r>
                  <w:r>
                    <w:rPr>
                      <w:rFonts w:ascii="仿宋" w:hAnsi="仿宋" w:cs="仿宋" w:eastAsia="仿宋"/>
                      <w:sz w:val="24"/>
                    </w:rPr>
                    <w:t>）</w:t>
                  </w:r>
                  <w:r>
                    <w:rPr>
                      <w:rFonts w:ascii="calibri" w:hAnsi="calibri" w:cs="calibri" w:eastAsia="calibri"/>
                      <w:sz w:val="24"/>
                    </w:rPr>
                    <w:t>mm</w:t>
                  </w:r>
                </w:p>
                <w:p>
                  <w:pPr>
                    <w:pStyle w:val="null3"/>
                    <w:jc w:val="center"/>
                  </w:pPr>
                  <w:r>
                    <w:rPr>
                      <w:rFonts w:ascii="仿宋" w:hAnsi="仿宋" w:cs="仿宋" w:eastAsia="仿宋"/>
                      <w:sz w:val="24"/>
                    </w:rPr>
                    <w:t>分辨率</w:t>
                  </w:r>
                  <w:r>
                    <w:rPr>
                      <w:rFonts w:ascii="calibri" w:hAnsi="calibri" w:cs="calibri" w:eastAsia="calibri"/>
                      <w:sz w:val="24"/>
                    </w:rPr>
                    <w:t xml:space="preserve"> 3840</w:t>
                  </w:r>
                  <w:r>
                    <w:rPr>
                      <w:rFonts w:ascii="仿宋" w:hAnsi="仿宋" w:cs="仿宋" w:eastAsia="仿宋"/>
                      <w:sz w:val="24"/>
                    </w:rPr>
                    <w:t>（</w:t>
                  </w:r>
                  <w:r>
                    <w:rPr>
                      <w:rFonts w:ascii="calibri" w:hAnsi="calibri" w:cs="calibri" w:eastAsia="calibri"/>
                      <w:sz w:val="24"/>
                    </w:rPr>
                    <w:t>H</w:t>
                  </w:r>
                  <w:r>
                    <w:rPr>
                      <w:rFonts w:ascii="仿宋" w:hAnsi="仿宋" w:cs="仿宋" w:eastAsia="仿宋"/>
                      <w:sz w:val="24"/>
                    </w:rPr>
                    <w:t>）</w:t>
                  </w:r>
                  <w:r>
                    <w:rPr>
                      <w:rFonts w:ascii="calibri" w:hAnsi="calibri" w:cs="calibri" w:eastAsia="calibri"/>
                      <w:sz w:val="24"/>
                    </w:rPr>
                    <w:t>×2160</w:t>
                  </w:r>
                  <w:r>
                    <w:rPr>
                      <w:rFonts w:ascii="仿宋" w:hAnsi="仿宋" w:cs="仿宋" w:eastAsia="仿宋"/>
                      <w:sz w:val="24"/>
                    </w:rPr>
                    <w:t>（</w:t>
                  </w:r>
                  <w:r>
                    <w:rPr>
                      <w:rFonts w:ascii="calibri" w:hAnsi="calibri" w:cs="calibri" w:eastAsia="calibri"/>
                      <w:sz w:val="24"/>
                    </w:rPr>
                    <w:t>V</w:t>
                  </w:r>
                  <w:r>
                    <w:rPr>
                      <w:rFonts w:ascii="仿宋" w:hAnsi="仿宋" w:cs="仿宋" w:eastAsia="仿宋"/>
                      <w:sz w:val="24"/>
                    </w:rPr>
                    <w:t>）</w:t>
                  </w:r>
                </w:p>
                <w:p>
                  <w:pPr>
                    <w:pStyle w:val="null3"/>
                    <w:jc w:val="center"/>
                  </w:pPr>
                  <w:r>
                    <w:rPr>
                      <w:rFonts w:ascii="仿宋" w:hAnsi="仿宋" w:cs="仿宋" w:eastAsia="仿宋"/>
                      <w:sz w:val="24"/>
                    </w:rPr>
                    <w:t>像素间距</w:t>
                  </w:r>
                  <w:r>
                    <w:rPr>
                      <w:rFonts w:ascii="calibri" w:hAnsi="calibri" w:cs="calibri" w:eastAsia="calibri"/>
                      <w:sz w:val="24"/>
                    </w:rPr>
                    <w:t xml:space="preserve"> 0.4935×0.4935mm</w:t>
                  </w:r>
                  <w:r>
                    <w:rPr>
                      <w:rFonts w:ascii="仿宋" w:hAnsi="仿宋" w:cs="仿宋" w:eastAsia="仿宋"/>
                      <w:sz w:val="24"/>
                    </w:rPr>
                    <w:t>刷新频率</w:t>
                  </w:r>
                  <w:r>
                    <w:rPr>
                      <w:rFonts w:ascii="calibri" w:hAnsi="calibri" w:cs="calibri" w:eastAsia="calibri"/>
                      <w:sz w:val="24"/>
                    </w:rPr>
                    <w:t>60Hz</w:t>
                  </w:r>
                  <w:r>
                    <w:rPr>
                      <w:rFonts w:ascii="仿宋" w:hAnsi="仿宋" w:cs="仿宋" w:eastAsia="仿宋"/>
                      <w:sz w:val="24"/>
                    </w:rPr>
                    <w:t>色彩度</w:t>
                  </w:r>
                  <w:r>
                    <w:rPr>
                      <w:rFonts w:ascii="calibri" w:hAnsi="calibri" w:cs="calibri" w:eastAsia="calibri"/>
                      <w:sz w:val="24"/>
                    </w:rPr>
                    <w:t>1.07B (10bit)</w:t>
                  </w:r>
                  <w:r>
                    <w:rPr>
                      <w:rFonts w:ascii="仿宋" w:hAnsi="仿宋" w:cs="仿宋" w:eastAsia="仿宋"/>
                      <w:sz w:val="24"/>
                    </w:rPr>
                    <w:t>色域</w:t>
                  </w:r>
                  <w:r>
                    <w:rPr>
                      <w:rFonts w:ascii="calibri" w:hAnsi="calibri" w:cs="calibri" w:eastAsia="calibri"/>
                      <w:sz w:val="24"/>
                    </w:rPr>
                    <w:t>NTSC(Typ) 72%</w:t>
                  </w:r>
                  <w:r>
                    <w:rPr>
                      <w:rFonts w:ascii="仿宋" w:hAnsi="仿宋" w:cs="仿宋" w:eastAsia="仿宋"/>
                      <w:sz w:val="24"/>
                    </w:rPr>
                    <w:t>对比度</w:t>
                  </w:r>
                  <w:r>
                    <w:rPr>
                      <w:rFonts w:ascii="calibri" w:hAnsi="calibri" w:cs="calibri" w:eastAsia="calibri"/>
                      <w:sz w:val="24"/>
                    </w:rPr>
                    <w:t>(Typ) 1100:1/1200:1/4000:1/5000:1</w:t>
                  </w:r>
                  <w:r>
                    <w:rPr>
                      <w:rFonts w:ascii="仿宋" w:hAnsi="仿宋" w:cs="仿宋" w:eastAsia="仿宋"/>
                      <w:sz w:val="24"/>
                    </w:rPr>
                    <w:t>可视角度</w:t>
                  </w:r>
                  <w:r>
                    <w:rPr>
                      <w:rFonts w:ascii="calibri" w:hAnsi="calibri" w:cs="calibri" w:eastAsia="calibri"/>
                      <w:sz w:val="24"/>
                    </w:rPr>
                    <w:t>178°(H/V)</w:t>
                  </w:r>
                  <w:r>
                    <w:rPr>
                      <w:rFonts w:ascii="仿宋" w:hAnsi="仿宋" w:cs="仿宋" w:eastAsia="仿宋"/>
                      <w:sz w:val="24"/>
                    </w:rPr>
                    <w:t>屏亮度</w:t>
                  </w:r>
                  <w:r>
                    <w:rPr>
                      <w:rFonts w:ascii="calibri" w:hAnsi="calibri" w:cs="calibri" w:eastAsia="calibri"/>
                      <w:sz w:val="24"/>
                    </w:rPr>
                    <w:t>(Typ) 450cd/</w:t>
                  </w:r>
                  <w:r>
                    <w:rPr>
                      <w:rFonts w:ascii="仿宋" w:hAnsi="仿宋" w:cs="仿宋" w:eastAsia="仿宋"/>
                      <w:sz w:val="24"/>
                    </w:rPr>
                    <w:t>㎡</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触摸一体机</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55</w:t>
                  </w:r>
                  <w:r>
                    <w:rPr>
                      <w:rFonts w:ascii="仿宋" w:hAnsi="仿宋" w:cs="仿宋" w:eastAsia="仿宋"/>
                      <w:sz w:val="24"/>
                    </w:rPr>
                    <w:t>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分辨率</w:t>
                  </w:r>
                  <w:r>
                    <w:rPr>
                      <w:rFonts w:ascii="calibri" w:hAnsi="calibri" w:cs="calibri" w:eastAsia="calibri"/>
                      <w:sz w:val="24"/>
                    </w:rPr>
                    <w:t xml:space="preserve"> 1920</w:t>
                  </w:r>
                  <w:r>
                    <w:rPr>
                      <w:rFonts w:ascii="仿宋" w:hAnsi="仿宋" w:cs="仿宋" w:eastAsia="仿宋"/>
                      <w:sz w:val="24"/>
                    </w:rPr>
                    <w:t>（</w:t>
                  </w:r>
                  <w:r>
                    <w:rPr>
                      <w:rFonts w:ascii="calibri" w:hAnsi="calibri" w:cs="calibri" w:eastAsia="calibri"/>
                      <w:sz w:val="24"/>
                    </w:rPr>
                    <w:t>H</w:t>
                  </w:r>
                  <w:r>
                    <w:rPr>
                      <w:rFonts w:ascii="仿宋" w:hAnsi="仿宋" w:cs="仿宋" w:eastAsia="仿宋"/>
                      <w:sz w:val="24"/>
                    </w:rPr>
                    <w:t>）</w:t>
                  </w:r>
                  <w:r>
                    <w:rPr>
                      <w:rFonts w:ascii="calibri" w:hAnsi="calibri" w:cs="calibri" w:eastAsia="calibri"/>
                      <w:sz w:val="24"/>
                    </w:rPr>
                    <w:t>×1080</w:t>
                  </w:r>
                  <w:r>
                    <w:rPr>
                      <w:rFonts w:ascii="仿宋" w:hAnsi="仿宋" w:cs="仿宋" w:eastAsia="仿宋"/>
                      <w:sz w:val="24"/>
                    </w:rPr>
                    <w:t>（</w:t>
                  </w:r>
                  <w:r>
                    <w:rPr>
                      <w:rFonts w:ascii="calibri" w:hAnsi="calibri" w:cs="calibri" w:eastAsia="calibri"/>
                      <w:sz w:val="24"/>
                    </w:rPr>
                    <w:t>V</w:t>
                  </w:r>
                  <w:r>
                    <w:rPr>
                      <w:rFonts w:ascii="仿宋" w:hAnsi="仿宋" w:cs="仿宋" w:eastAsia="仿宋"/>
                      <w:sz w:val="24"/>
                    </w:rPr>
                    <w:t>）</w:t>
                  </w:r>
                </w:p>
                <w:p>
                  <w:pPr>
                    <w:pStyle w:val="null3"/>
                    <w:jc w:val="center"/>
                  </w:pPr>
                  <w:r>
                    <w:rPr>
                      <w:rFonts w:ascii="仿宋" w:hAnsi="仿宋" w:cs="仿宋" w:eastAsia="仿宋"/>
                      <w:sz w:val="24"/>
                    </w:rPr>
                    <w:t>刷新频率</w:t>
                  </w:r>
                  <w:r>
                    <w:rPr>
                      <w:rFonts w:ascii="calibri" w:hAnsi="calibri" w:cs="calibri" w:eastAsia="calibri"/>
                      <w:sz w:val="24"/>
                    </w:rPr>
                    <w:t xml:space="preserve"> 60Hz</w:t>
                  </w:r>
                </w:p>
                <w:p>
                  <w:pPr>
                    <w:pStyle w:val="null3"/>
                    <w:jc w:val="center"/>
                  </w:pPr>
                  <w:r>
                    <w:rPr>
                      <w:rFonts w:ascii="仿宋" w:hAnsi="仿宋" w:cs="仿宋" w:eastAsia="仿宋"/>
                      <w:sz w:val="24"/>
                    </w:rPr>
                    <w:t>色域</w:t>
                  </w:r>
                  <w:r>
                    <w:rPr>
                      <w:rFonts w:ascii="calibri" w:hAnsi="calibri" w:cs="calibri" w:eastAsia="calibri"/>
                      <w:sz w:val="24"/>
                    </w:rPr>
                    <w:t xml:space="preserve"> NTSC(Typ) 73%</w:t>
                  </w:r>
                </w:p>
                <w:p>
                  <w:pPr>
                    <w:pStyle w:val="null3"/>
                    <w:jc w:val="center"/>
                  </w:pPr>
                  <w:r>
                    <w:rPr>
                      <w:rFonts w:ascii="仿宋" w:hAnsi="仿宋" w:cs="仿宋" w:eastAsia="仿宋"/>
                      <w:sz w:val="24"/>
                    </w:rPr>
                    <w:t>对比度</w:t>
                  </w:r>
                  <w:r>
                    <w:rPr>
                      <w:rFonts w:ascii="calibri" w:hAnsi="calibri" w:cs="calibri" w:eastAsia="calibri"/>
                      <w:sz w:val="24"/>
                    </w:rPr>
                    <w:t>(Typ) 1200:1</w:t>
                  </w:r>
                </w:p>
                <w:p>
                  <w:pPr>
                    <w:pStyle w:val="null3"/>
                    <w:jc w:val="center"/>
                  </w:pPr>
                  <w:r>
                    <w:rPr>
                      <w:rFonts w:ascii="仿宋" w:hAnsi="仿宋" w:cs="仿宋" w:eastAsia="仿宋"/>
                      <w:sz w:val="24"/>
                    </w:rPr>
                    <w:t>可视角度</w:t>
                  </w:r>
                  <w:r>
                    <w:rPr>
                      <w:rFonts w:ascii="calibri" w:hAnsi="calibri" w:cs="calibri" w:eastAsia="calibri"/>
                      <w:sz w:val="24"/>
                    </w:rPr>
                    <w:t xml:space="preserve"> 178°(H/V)</w:t>
                  </w:r>
                </w:p>
                <w:p>
                  <w:pPr>
                    <w:pStyle w:val="null3"/>
                    <w:jc w:val="center"/>
                  </w:pPr>
                  <w:r>
                    <w:rPr>
                      <w:rFonts w:ascii="仿宋" w:hAnsi="仿宋" w:cs="仿宋" w:eastAsia="仿宋"/>
                      <w:sz w:val="24"/>
                    </w:rPr>
                    <w:t>屏亮度</w:t>
                  </w:r>
                  <w:r>
                    <w:rPr>
                      <w:rFonts w:ascii="calibri" w:hAnsi="calibri" w:cs="calibri" w:eastAsia="calibri"/>
                      <w:sz w:val="24"/>
                    </w:rPr>
                    <w:t>(Typ) 300cd/</w:t>
                  </w:r>
                  <w:r>
                    <w:rPr>
                      <w:rFonts w:ascii="仿宋" w:hAnsi="仿宋" w:cs="仿宋" w:eastAsia="仿宋"/>
                      <w:sz w:val="24"/>
                    </w:rPr>
                    <w:t>㎡</w:t>
                  </w:r>
                </w:p>
                <w:p>
                  <w:pPr>
                    <w:pStyle w:val="null3"/>
                    <w:jc w:val="center"/>
                  </w:pPr>
                  <w:r>
                    <w:rPr>
                      <w:rFonts w:ascii="仿宋" w:hAnsi="仿宋" w:cs="仿宋" w:eastAsia="仿宋"/>
                      <w:sz w:val="24"/>
                    </w:rPr>
                    <w:t>寿命</w:t>
                  </w:r>
                  <w:r>
                    <w:rPr>
                      <w:rFonts w:ascii="calibri" w:hAnsi="calibri" w:cs="calibri" w:eastAsia="calibri"/>
                      <w:sz w:val="21"/>
                    </w:rPr>
                    <w:t xml:space="preserve"> </w:t>
                  </w:r>
                  <w:r>
                    <w:rPr>
                      <w:rFonts w:ascii="仿宋" w:hAnsi="仿宋" w:cs="仿宋" w:eastAsia="仿宋"/>
                      <w:sz w:val="24"/>
                    </w:rPr>
                    <w:t>＞</w:t>
                  </w:r>
                  <w:r>
                    <w:rPr>
                      <w:rFonts w:ascii="calibri" w:hAnsi="calibri" w:cs="calibri" w:eastAsia="calibri"/>
                      <w:sz w:val="24"/>
                    </w:rPr>
                    <w:t xml:space="preserve">30000 </w:t>
                  </w:r>
                  <w:r>
                    <w:rPr>
                      <w:rFonts w:ascii="仿宋" w:hAnsi="仿宋" w:cs="仿宋" w:eastAsia="仿宋"/>
                      <w:sz w:val="24"/>
                    </w:rPr>
                    <w:t>小时</w:t>
                  </w:r>
                </w:p>
                <w:p>
                  <w:pPr>
                    <w:pStyle w:val="null3"/>
                    <w:jc w:val="center"/>
                  </w:pPr>
                  <w:r>
                    <w:rPr>
                      <w:rFonts w:ascii="仿宋" w:hAnsi="仿宋" w:cs="仿宋" w:eastAsia="仿宋"/>
                      <w:sz w:val="24"/>
                    </w:rPr>
                    <w:t>触摸参数</w:t>
                  </w:r>
                </w:p>
                <w:p>
                  <w:pPr>
                    <w:pStyle w:val="null3"/>
                    <w:jc w:val="center"/>
                  </w:pPr>
                  <w:r>
                    <w:rPr>
                      <w:rFonts w:ascii="仿宋" w:hAnsi="仿宋" w:cs="仿宋" w:eastAsia="仿宋"/>
                      <w:sz w:val="24"/>
                    </w:rPr>
                    <w:t>识别原理</w:t>
                  </w:r>
                  <w:r>
                    <w:rPr>
                      <w:rFonts w:ascii="calibri" w:hAnsi="calibri" w:cs="calibri" w:eastAsia="calibri"/>
                      <w:sz w:val="21"/>
                    </w:rPr>
                    <w:t xml:space="preserve"> </w:t>
                  </w:r>
                  <w:r>
                    <w:rPr>
                      <w:rFonts w:ascii="仿宋" w:hAnsi="仿宋" w:cs="仿宋" w:eastAsia="仿宋"/>
                      <w:sz w:val="24"/>
                    </w:rPr>
                    <w:t>红外触摸</w:t>
                  </w:r>
                </w:p>
                <w:p>
                  <w:pPr>
                    <w:pStyle w:val="null3"/>
                    <w:jc w:val="center"/>
                  </w:pPr>
                  <w:r>
                    <w:rPr>
                      <w:rFonts w:ascii="仿宋" w:hAnsi="仿宋" w:cs="仿宋" w:eastAsia="仿宋"/>
                      <w:sz w:val="24"/>
                    </w:rPr>
                    <w:t>多点触摸</w:t>
                  </w:r>
                  <w:r>
                    <w:rPr>
                      <w:rFonts w:ascii="calibri" w:hAnsi="calibri" w:cs="calibri" w:eastAsia="calibri"/>
                      <w:sz w:val="21"/>
                    </w:rPr>
                    <w:t xml:space="preserve"> </w:t>
                  </w:r>
                  <w:r>
                    <w:rPr>
                      <w:rFonts w:ascii="仿宋" w:hAnsi="仿宋" w:cs="仿宋" w:eastAsia="仿宋"/>
                      <w:sz w:val="24"/>
                    </w:rPr>
                    <w:t>二十点触摸</w:t>
                  </w:r>
                </w:p>
                <w:p>
                  <w:pPr>
                    <w:pStyle w:val="null3"/>
                    <w:jc w:val="center"/>
                  </w:pPr>
                  <w:r>
                    <w:rPr>
                      <w:rFonts w:ascii="仿宋" w:hAnsi="仿宋" w:cs="仿宋" w:eastAsia="仿宋"/>
                      <w:sz w:val="24"/>
                    </w:rPr>
                    <w:t>触摸精度</w:t>
                  </w:r>
                  <w:r>
                    <w:rPr>
                      <w:rFonts w:ascii="calibri" w:hAnsi="calibri" w:cs="calibri" w:eastAsia="calibri"/>
                      <w:sz w:val="24"/>
                    </w:rPr>
                    <w:t xml:space="preserve"> </w:t>
                  </w:r>
                  <w:r>
                    <w:rPr>
                      <w:rFonts w:ascii="calibri" w:hAnsi="calibri" w:cs="calibri" w:eastAsia="calibri"/>
                      <w:sz w:val="24"/>
                    </w:rPr>
                    <w:t>≤1mm</w:t>
                  </w:r>
                </w:p>
                <w:p>
                  <w:pPr>
                    <w:pStyle w:val="null3"/>
                    <w:jc w:val="center"/>
                  </w:pPr>
                  <w:r>
                    <w:rPr>
                      <w:rFonts w:ascii="仿宋" w:hAnsi="仿宋" w:cs="仿宋" w:eastAsia="仿宋"/>
                      <w:sz w:val="24"/>
                    </w:rPr>
                    <w:t>响应速度</w:t>
                  </w:r>
                  <w:r>
                    <w:rPr>
                      <w:rFonts w:ascii="calibri" w:hAnsi="calibri" w:cs="calibri" w:eastAsia="calibri"/>
                      <w:sz w:val="24"/>
                    </w:rPr>
                    <w:t xml:space="preserve"> </w:t>
                  </w:r>
                  <w:r>
                    <w:rPr>
                      <w:rFonts w:ascii="calibri" w:hAnsi="calibri" w:cs="calibri" w:eastAsia="calibri"/>
                      <w:sz w:val="24"/>
                    </w:rPr>
                    <w:t>≤8ms</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中控程序</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定制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中控主控</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中控主控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w:t>
                  </w:r>
                  <w:r>
                    <w:rPr>
                      <w:rFonts w:ascii="仿宋" w:hAnsi="仿宋" w:cs="仿宋" w:eastAsia="仿宋"/>
                      <w:sz w:val="24"/>
                      <w:color w:val="000000"/>
                    </w:rPr>
                    <w:t>I5-12500）8+256SSD+1T机械，300W电源，Win11系统</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个</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电源时序器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 w:hAnsi="仿宋" w:cs="仿宋" w:eastAsia="仿宋"/>
                      <w:sz w:val="24"/>
                      <w:color w:val="000000"/>
                    </w:rPr>
                    <w:t>带滤波</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 xml:space="preserve">  </w:t>
                  </w: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玻璃幕墙</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12钢化玻璃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常规</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大理石板</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红色，选样</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夹层玻璃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常规</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绢画</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uv打印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墙砖</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300*600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常规</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大便器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常规</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支撑构件</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专用定制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成品木门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900*2100mm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常规</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成品木门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900*2400mm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常规</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铝板浮雕门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2000*2500mm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正面</w:t>
                  </w:r>
                  <w:r>
                    <w:rPr>
                      <w:rFonts w:ascii="仿宋" w:hAnsi="仿宋" w:cs="仿宋" w:eastAsia="仿宋"/>
                      <w:sz w:val="24"/>
                      <w:color w:val="000000"/>
                    </w:rPr>
                    <w:t>20厚铝板雕刻背面3厚铝板</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铝板浮雕门</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3000*3200mm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正面</w:t>
                  </w:r>
                  <w:r>
                    <w:rPr>
                      <w:rFonts w:ascii="仿宋" w:hAnsi="仿宋" w:cs="仿宋" w:eastAsia="仿宋"/>
                      <w:sz w:val="24"/>
                      <w:color w:val="000000"/>
                    </w:rPr>
                    <w:t>40厚铝板雕刻背面3厚铝板</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m2</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w:t>
      </w:r>
    </w:p>
    <w:p>
      <w:pPr>
        <w:pStyle w:val="null3"/>
        <w:ind w:firstLine="480"/>
      </w:pPr>
      <w:r>
        <w:rPr/>
        <w:t>三、针对本项目的其他技术服务要求：</w:t>
      </w:r>
    </w:p>
    <w:p>
      <w:pPr>
        <w:pStyle w:val="null3"/>
      </w:pPr>
      <w:r>
        <w:rPr/>
        <w:t>符合国家标准</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一、其他要求： （1）、招标工程量为暂定量，最终按照实际施工量据实结算。 （2）、因施工产生的建筑垃圾及清运均包含在综合单价内，不再另行计费。 （3）、所有分项工程施工工艺需由投标单位根据行业规范及现场实际情况科学组价，与施工相关的一切费用均包含在相关综合单价中，不再另行计费。 （4）、该工程中所用材料必须符合国家、行业标准，且均须采用国内知名品牌，投标单位在投标文件须注明品牌并随附相关产品检测报告。所有原材料进场前须由中标方提供样品，校方及监理方考察认质，认定样品质量后封存，大批量材料进场时比对查验，上述常规因素投标单位组价时须一并考虑。 （5）、本项目因门头及室外施工若需到相应行政管理机构办理审批、备案等手续的，由施工单位负责，由此发生的一切费用概由施工单位承担。 （6）、本项目内容包括二次深化设计，由此产生的一切费用均由施工单位承担。 （7）、本工程严格执行施工工期，每无故拖延一天，按照合同价的1%按天累计从工程款项中一次性扣除。 （8）、工程施工结算阶段，承包人应据实申报结算资料及组价，经审计后审减率超出10%（含10%）时，发生的审计成果费由承包人承担。 （9）、本工程所发生的水电费按工程审定造价的5‰（其中电费为3‰，水费为2‰）从工程款项中一次性扣除。 （10）、参考品牌不是指定品牌，其目的是为了方便供应商直观和准确地把握相应材料的技术标准，不具指定或唯一的意思表示，供应商应当参考所列品牌的材料，提供档次、质量或相当于或高于这些品牌的产品。 二、商务要求 （1）、质保期：本项目竣工验收合格通过之日起贰年，供应商可在此基础上根据企业自身情况自主承诺予以延长。 （2）、保修要求：质保期内如因施工及设备质量问题需要维修，乙方应保证48小时内提供维修方案，5天内完成维修，无条件免费维修，否则甲方有权另行委托他人完成，所发生的费用均由乙方承担。 （3）、付款方式：合同签订后，待乙方提供符合甲方要求的银行出具的预付款保函后，本项目支付合同总价款的40%作为预付款。正式审计报告出具后甲方在办理完校内工程款支付审批手续后，支付至工程审定造价的95%；剩余5%余款在乙方履行保修义务无质量问题后支付。付款前，乙方需向甲方出具合法有效的等额增值税专用或普通发票。 本工程为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2009《陕西省建设工程工程量清单计价规则》、2004《陕西省建筑、装饰工程消耗量定额》、2004《陕西省安装工程消耗量定额》及其配套的2009价目表和学校相关规定执行。 （4）、工期：45日历天。 注：商务要求为实质性响应条款，不允许负偏离。 三、勘查要求：自行勘察 踏勘地点：西安工程大学金花校区西门北侧科二楼一层 联系人：王朝辉 刘宝宝 联系电话号码：13659282401 15353742816</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申请文件提交截止日三个月内银行出具的资信证明，④供应商注册时间截至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响应文件封面 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t>响应文件封面 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响应文件封面 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提供2024年1月（含1月）以后任意一个月的依法缴纳税收的相关凭据（时间以税款所属日期为准），凭据应有税务机关或代收机关的公章或业务专用章。依法免税或无须缴纳税收的供应商，应提供相应证明文件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响应文件封面 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提供2024年1月（含1月）以后至少一个月的社会保障资金缴存单据或社保机构开具的社会保险参保缴费情况证明。依法不需要缴纳社会保障资金的供应商应提供相关文件证明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t>响应文件封面 供应商资格要求</w:t>
            </w:r>
          </w:p>
        </w:tc>
      </w:tr>
      <w:tr>
        <w:tc>
          <w:tcPr>
            <w:tcW w:type="dxa" w:w="831"/>
          </w:tcPr>
          <w:p>
            <w:pPr>
              <w:pStyle w:val="null3"/>
            </w:pPr>
            <w:r>
              <w:rPr/>
              <w:t>6</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响应文件封面 供应商资格要求</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非法定代表人参加投标的，须提供法定代表人委托授权书及被授权人身份证，法定代表人参加投标时,只须提供法定代表人身份证</w:t>
            </w:r>
          </w:p>
        </w:tc>
        <w:tc>
          <w:tcPr>
            <w:tcW w:type="dxa" w:w="1661"/>
          </w:tcPr>
          <w:p>
            <w:pPr>
              <w:pStyle w:val="null3"/>
            </w:pPr>
            <w:r>
              <w:rPr/>
              <w:t>响应文件封面 供应商资格要求</w:t>
            </w:r>
          </w:p>
        </w:tc>
      </w:tr>
      <w:tr>
        <w:tc>
          <w:tcPr>
            <w:tcW w:type="dxa" w:w="831"/>
          </w:tcPr>
          <w:p>
            <w:pPr>
              <w:pStyle w:val="null3"/>
            </w:pPr>
            <w:r>
              <w:rPr/>
              <w:t>8</w:t>
            </w:r>
          </w:p>
        </w:tc>
        <w:tc>
          <w:tcPr>
            <w:tcW w:type="dxa" w:w="2492"/>
          </w:tcPr>
          <w:p>
            <w:pPr>
              <w:pStyle w:val="null3"/>
            </w:pPr>
            <w:r>
              <w:rPr/>
              <w:t>施工资质</w:t>
            </w:r>
          </w:p>
        </w:tc>
        <w:tc>
          <w:tcPr>
            <w:tcW w:type="dxa" w:w="3322"/>
          </w:tcPr>
          <w:p>
            <w:pPr>
              <w:pStyle w:val="null3"/>
            </w:pPr>
            <w:r>
              <w:rPr/>
              <w:t>具备建筑工程施工总承包三级及以上或建筑装修装饰工程专业承包二级及以上资质，有效期内的安全生产许可证</w:t>
            </w:r>
          </w:p>
        </w:tc>
        <w:tc>
          <w:tcPr>
            <w:tcW w:type="dxa" w:w="1661"/>
          </w:tcPr>
          <w:p>
            <w:pPr>
              <w:pStyle w:val="null3"/>
            </w:pPr>
            <w:r>
              <w:rPr/>
              <w:t>响应文件封面 供应商资格要求</w:t>
            </w:r>
          </w:p>
        </w:tc>
      </w:tr>
      <w:tr>
        <w:tc>
          <w:tcPr>
            <w:tcW w:type="dxa" w:w="831"/>
          </w:tcPr>
          <w:p>
            <w:pPr>
              <w:pStyle w:val="null3"/>
            </w:pPr>
            <w:r>
              <w:rPr/>
              <w:t>9</w:t>
            </w:r>
          </w:p>
        </w:tc>
        <w:tc>
          <w:tcPr>
            <w:tcW w:type="dxa" w:w="2492"/>
          </w:tcPr>
          <w:p>
            <w:pPr>
              <w:pStyle w:val="null3"/>
            </w:pPr>
            <w:r>
              <w:rPr/>
              <w:t>外地企业备案</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响应文件封面 供应商资格要求</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拟投入的项目经理须提供在本单位注册的建筑工程专业贰级（含贰级）以上注册建造师证书及有效的安全生产考核合格证，且未担任其他在建工程项目的项目经理（提供无在建工程的承诺函）</w:t>
            </w:r>
          </w:p>
        </w:tc>
        <w:tc>
          <w:tcPr>
            <w:tcW w:type="dxa" w:w="1661"/>
          </w:tcPr>
          <w:p>
            <w:pPr>
              <w:pStyle w:val="null3"/>
            </w:pPr>
            <w:r>
              <w:rPr/>
              <w:t>响应文件封面 供应商资格要求</w:t>
            </w:r>
          </w:p>
        </w:tc>
      </w:tr>
      <w:tr>
        <w:tc>
          <w:tcPr>
            <w:tcW w:type="dxa" w:w="831"/>
          </w:tcPr>
          <w:p>
            <w:pPr>
              <w:pStyle w:val="null3"/>
            </w:pPr>
            <w:r>
              <w:rPr/>
              <w:t>11</w:t>
            </w:r>
          </w:p>
        </w:tc>
        <w:tc>
          <w:tcPr>
            <w:tcW w:type="dxa" w:w="2492"/>
          </w:tcPr>
          <w:p>
            <w:pPr>
              <w:pStyle w:val="null3"/>
            </w:pPr>
            <w:r>
              <w:rPr/>
              <w:t>本项目为专门面向中小企业采购项目</w:t>
            </w:r>
          </w:p>
        </w:tc>
        <w:tc>
          <w:tcPr>
            <w:tcW w:type="dxa" w:w="3322"/>
          </w:tcPr>
          <w:p>
            <w:pPr>
              <w:pStyle w:val="null3"/>
            </w:pPr>
            <w:r>
              <w:rPr/>
              <w:t>供应商应出具中小企业声明函</w:t>
            </w:r>
          </w:p>
        </w:tc>
        <w:tc>
          <w:tcPr>
            <w:tcW w:type="dxa" w:w="1661"/>
          </w:tcPr>
          <w:p>
            <w:pPr>
              <w:pStyle w:val="null3"/>
            </w:pPr>
            <w:r>
              <w:rPr/>
              <w:t>响应文件封面 供应商资格要求</w:t>
            </w:r>
          </w:p>
        </w:tc>
      </w:tr>
      <w:tr>
        <w:tc>
          <w:tcPr>
            <w:tcW w:type="dxa" w:w="831"/>
          </w:tcPr>
          <w:p>
            <w:pPr>
              <w:pStyle w:val="null3"/>
            </w:pPr>
            <w:r>
              <w:rPr/>
              <w:t>12</w:t>
            </w:r>
          </w:p>
        </w:tc>
        <w:tc>
          <w:tcPr>
            <w:tcW w:type="dxa" w:w="2492"/>
          </w:tcPr>
          <w:p>
            <w:pPr>
              <w:pStyle w:val="null3"/>
            </w:pPr>
            <w:r>
              <w:rPr/>
              <w:t>非联合体投标</w:t>
            </w:r>
          </w:p>
        </w:tc>
        <w:tc>
          <w:tcPr>
            <w:tcW w:type="dxa" w:w="3322"/>
          </w:tcPr>
          <w:p>
            <w:pPr>
              <w:pStyle w:val="null3"/>
            </w:pPr>
            <w:r>
              <w:rPr/>
              <w:t>提供非联合体投标声明函</w:t>
            </w:r>
          </w:p>
        </w:tc>
        <w:tc>
          <w:tcPr>
            <w:tcW w:type="dxa" w:w="1661"/>
          </w:tcPr>
          <w:p>
            <w:pPr>
              <w:pStyle w:val="null3"/>
            </w:pPr>
            <w:r>
              <w:rPr/>
              <w:t>响应文件封面 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响应报价未超过采购预算或最高限价（合格） 响应报价超过采购预算或最高限价（不合格）</w:t>
            </w:r>
          </w:p>
        </w:tc>
        <w:tc>
          <w:tcPr>
            <w:tcW w:type="dxa" w:w="1661"/>
          </w:tcPr>
          <w:p>
            <w:pPr>
              <w:pStyle w:val="null3"/>
            </w:pPr>
            <w:r>
              <w:rPr/>
              <w:t>响应文件封面 已标价工程量清单 报价函 标的清单</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工期满足采购文件要求（合格） 工期不满足采购文件要求（不合格）</w:t>
            </w:r>
          </w:p>
        </w:tc>
        <w:tc>
          <w:tcPr>
            <w:tcW w:type="dxa" w:w="1661"/>
          </w:tcPr>
          <w:p>
            <w:pPr>
              <w:pStyle w:val="null3"/>
            </w:pPr>
            <w:r>
              <w:rPr/>
              <w:t>响应文件封面 技术服务合同条款及其他商务要求应答表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质保期满足采购文件要求（合格） 质保期不满足采购文件要求（不合格）</w:t>
            </w:r>
          </w:p>
        </w:tc>
        <w:tc>
          <w:tcPr>
            <w:tcW w:type="dxa" w:w="1661"/>
          </w:tcPr>
          <w:p>
            <w:pPr>
              <w:pStyle w:val="null3"/>
            </w:pPr>
            <w:r>
              <w:rPr/>
              <w:t>响应文件封面 技术服务合同条款及其他商务要求应答表</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响应文件无响应有效期或有效期达到竞争性磋商文件要求的（合格） 响应文件无响应有效期或有效期达不到竞争性磋商文件要求的（不合格）</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工程量</w:t>
            </w:r>
          </w:p>
        </w:tc>
        <w:tc>
          <w:tcPr>
            <w:tcW w:type="dxa" w:w="3322"/>
          </w:tcPr>
          <w:p>
            <w:pPr>
              <w:pStyle w:val="null3"/>
            </w:pPr>
            <w:r>
              <w:rPr/>
              <w:t>响应文件未出现工程量漏项或工程量清单与要求不符的（合格） 响应文件出现工程量漏项或工程量清单与要求不符的（不合格）</w:t>
            </w:r>
          </w:p>
        </w:tc>
        <w:tc>
          <w:tcPr>
            <w:tcW w:type="dxa" w:w="1661"/>
          </w:tcPr>
          <w:p>
            <w:pPr>
              <w:pStyle w:val="null3"/>
            </w:pPr>
            <w:r>
              <w:rPr/>
              <w:t>响应文件封面 已标价工程量清单</w:t>
            </w:r>
          </w:p>
        </w:tc>
      </w:tr>
      <w:tr>
        <w:tc>
          <w:tcPr>
            <w:tcW w:type="dxa" w:w="831"/>
          </w:tcPr>
          <w:p>
            <w:pPr>
              <w:pStyle w:val="null3"/>
            </w:pPr>
            <w:r>
              <w:rPr/>
              <w:t>7</w:t>
            </w:r>
          </w:p>
        </w:tc>
        <w:tc>
          <w:tcPr>
            <w:tcW w:type="dxa" w:w="2492"/>
          </w:tcPr>
          <w:p>
            <w:pPr>
              <w:pStyle w:val="null3"/>
            </w:pPr>
            <w:r>
              <w:rPr/>
              <w:t>是否有采购人不能接受的附加条件</w:t>
            </w:r>
          </w:p>
        </w:tc>
        <w:tc>
          <w:tcPr>
            <w:tcW w:type="dxa" w:w="3322"/>
          </w:tcPr>
          <w:p>
            <w:pPr>
              <w:pStyle w:val="null3"/>
            </w:pPr>
            <w:r>
              <w:rPr/>
              <w:t>没有采购人不能接受的附加条件(合格)，有采购人不能接受的附加条件 (不合格)</w:t>
            </w:r>
          </w:p>
        </w:tc>
        <w:tc>
          <w:tcPr>
            <w:tcW w:type="dxa" w:w="1661"/>
          </w:tcPr>
          <w:p>
            <w:pPr>
              <w:pStyle w:val="null3"/>
            </w:pPr>
            <w:r>
              <w:rPr/>
              <w:t>响应文件封面 技术服务合同条款及其他商务要求应答表 响应函</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 其他无效 情形(合格)，存在法律、法规和招标文件规定的其他无 效情形(不合格)</w:t>
            </w:r>
          </w:p>
        </w:tc>
        <w:tc>
          <w:tcPr>
            <w:tcW w:type="dxa" w:w="1661"/>
          </w:tcPr>
          <w:p>
            <w:pPr>
              <w:pStyle w:val="null3"/>
            </w:pPr>
            <w:r>
              <w:rPr/>
              <w:t>响应文件封面 技术服务合同条款及其他商务要求应答表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w:t>
            </w:r>
          </w:p>
        </w:tc>
        <w:tc>
          <w:tcPr>
            <w:tcW w:type="dxa" w:w="2492"/>
          </w:tcPr>
          <w:p>
            <w:pPr>
              <w:pStyle w:val="null3"/>
            </w:pPr>
            <w:r>
              <w:rPr/>
              <w:t>针对本项目提供具体的施工组织设计，包含（1）施工方案，(2)确保工程质量的技术组织措施，(3)确保安全生产的技术组织措施，(4)确保文明施工的技术组织措施及环境保护措施，(5)确保工期的技术组织措施，(6)施工机械配备和材料投入计划，(7)施工进度表或施工网络图，(8)除项目经理以外的人员劳动力安排计划，(9)施工总平面布置图，（10）新技术、新产品、新工艺、新材料应用、施工现场扬尘预防措施。评审标准：施工组织设计各部分内容全面详细、阐述条例清晰详尽、符合本项目采购需求得40分；评审内容每缺一项扣4分；评审内容有缺陷不满足采购需求的扣0.1-2分。（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40.0000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施工组织设计</w:t>
            </w:r>
          </w:p>
          <w:p>
            <w:pPr>
              <w:pStyle w:val="null3"/>
            </w:pPr>
            <w:r>
              <w:rPr/>
              <w:t>供应商认为有必要说明的其他问题</w:t>
            </w:r>
          </w:p>
        </w:tc>
      </w:tr>
      <w:tr>
        <w:tc>
          <w:tcPr>
            <w:tcW w:type="dxa" w:w="831"/>
            <w:vMerge/>
          </w:tcPr>
          <w:p/>
        </w:tc>
        <w:tc>
          <w:tcPr>
            <w:tcW w:type="dxa" w:w="1661"/>
          </w:tcPr>
          <w:p>
            <w:pPr>
              <w:pStyle w:val="null3"/>
            </w:pPr>
            <w:r>
              <w:rPr/>
              <w:t>主要材料选用情况</w:t>
            </w:r>
          </w:p>
        </w:tc>
        <w:tc>
          <w:tcPr>
            <w:tcW w:type="dxa" w:w="2492"/>
          </w:tcPr>
          <w:p>
            <w:pPr>
              <w:pStyle w:val="null3"/>
            </w:pPr>
            <w:r>
              <w:rPr/>
              <w:t>1、根据供应商针对本项目提供拟投入主要材料清单进行评审： 拟投的主要材料清单合理完整，实用性强，完整性强，完全满足本项目需求的6.1-8分； 拟投的主要材料清单基本合理，实用性较强，较完整，基本满足本项目需求的2.1-6分； 拟投的主要材料清单不合理，不完整，不满足本项目需求的0.1-2分； 未提供的得0分； 2、根据供应商针对本项目拟投入主要材料的产品选型情况、材料品质进行评审：主要材料的市场应用比例高与本次项目契合度高、为主流产品且符合相关环保要求，相关证明材料完整、清晰的得7.1-10分； 主要材料的市场应用比例较高与本次项目契合度一般、为一般产品，可以达到相关环保要求，相关证明材料基本完整的得3.1-7分； 主要材料的市场占有率一般，相关证明材料不完整，缺失严重的得0.1-3分； 未提供的得0分。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主要材料选用情况</w:t>
            </w:r>
          </w:p>
        </w:tc>
      </w:tr>
      <w:tr>
        <w:tc>
          <w:tcPr>
            <w:tcW w:type="dxa" w:w="831"/>
            <w:vMerge/>
          </w:tcPr>
          <w:p/>
        </w:tc>
        <w:tc>
          <w:tcPr>
            <w:tcW w:type="dxa" w:w="1661"/>
          </w:tcPr>
          <w:p>
            <w:pPr>
              <w:pStyle w:val="null3"/>
            </w:pPr>
            <w:r>
              <w:rPr/>
              <w:t>业绩</w:t>
            </w:r>
          </w:p>
        </w:tc>
        <w:tc>
          <w:tcPr>
            <w:tcW w:type="dxa" w:w="2492"/>
          </w:tcPr>
          <w:p>
            <w:pPr>
              <w:pStyle w:val="null3"/>
            </w:pPr>
            <w:r>
              <w:rPr/>
              <w:t>根据提供的2021年1月1日至今同类项目合同，（以合同签订日期为准，仅限供应商，提供合同关键页）进行评定，每份计1分，最高计4分。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响应文件封面</w:t>
            </w:r>
          </w:p>
          <w:p>
            <w:pPr>
              <w:pStyle w:val="null3"/>
            </w:pPr>
            <w:r>
              <w:rPr/>
              <w:t>业绩一览表</w:t>
            </w:r>
          </w:p>
        </w:tc>
      </w:tr>
      <w:tr>
        <w:tc>
          <w:tcPr>
            <w:tcW w:type="dxa" w:w="831"/>
            <w:vMerge/>
          </w:tcPr>
          <w:p/>
        </w:tc>
        <w:tc>
          <w:tcPr>
            <w:tcW w:type="dxa" w:w="1661"/>
          </w:tcPr>
          <w:p>
            <w:pPr>
              <w:pStyle w:val="null3"/>
            </w:pPr>
            <w:r>
              <w:rPr/>
              <w:t>质量保证</w:t>
            </w:r>
          </w:p>
        </w:tc>
        <w:tc>
          <w:tcPr>
            <w:tcW w:type="dxa" w:w="2492"/>
          </w:tcPr>
          <w:p>
            <w:pPr>
              <w:pStyle w:val="null3"/>
            </w:pPr>
            <w:r>
              <w:rPr/>
              <w:t>根据供应商针对本项目提供相关工程质量保证进行评审，其中： （1）质量保证期内的保障工作服务方案及工作计划，承诺完善计0. 1-2分；未提供的得0分； （2）保修团队人员配备并具备相关得资格证书，承诺完善计0.1-2分；未提供的得0分； （3）有巡查或复查计划及质量保障措施，措施完善计 0.1-2分；未提供的得0分； （4）对工程维修服务响应时限有明确的承诺，承诺完善计0.1-2分；未提供的得0分。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p>
            <w:pPr>
              <w:pStyle w:val="null3"/>
            </w:pPr>
            <w:r>
              <w:rPr/>
              <w:t>质量保证</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价格分统一采用低价优先法计算，即满足采购文件要求且价格最低的投标报价为评标基准价，其价格分为满分。其他供应商的价格分统一按照下列公式计算：价格分=(评标基准价／投标报价)×报价分值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详见附件：施工组织设计</w:t>
      </w:r>
    </w:p>
    <w:p>
      <w:pPr>
        <w:pStyle w:val="null3"/>
        <w:ind w:firstLine="960"/>
      </w:pPr>
      <w:r>
        <w:rPr/>
        <w:t>详见附件：业绩一览表</w:t>
      </w:r>
    </w:p>
    <w:p>
      <w:pPr>
        <w:pStyle w:val="null3"/>
        <w:ind w:firstLine="960"/>
      </w:pPr>
      <w:r>
        <w:rPr/>
        <w:t>详见附件：质量保证</w:t>
      </w:r>
    </w:p>
    <w:p>
      <w:pPr>
        <w:pStyle w:val="null3"/>
        <w:ind w:firstLine="960"/>
      </w:pPr>
      <w:r>
        <w:rPr/>
        <w:t>详见附件：主要材料选用情况</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