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版本号：241021001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中药质量提升项目</w:t>
      </w:r>
    </w:p>
    <w:p>
      <w:pPr>
        <w:pStyle w:val="null3"/>
        <w:jc w:val="center"/>
        <w:outlineLvl w:val="2"/>
      </w:pPr>
      <w:r>
        <w:rPr>
          <w:sz w:val="28"/>
          <w:b/>
        </w:rPr>
        <w:t>采购项目编号：</w:t>
      </w:r>
      <w:r>
        <w:rPr>
          <w:sz w:val="28"/>
          <w:b/>
        </w:rPr>
        <w:t>ZMZB2024SZFY-342</w:t>
      </w:r>
      <w:r>
        <w:br/>
      </w:r>
      <w:r>
        <w:br/>
      </w:r>
      <w:r>
        <w:br/>
      </w:r>
    </w:p>
    <w:p>
      <w:pPr>
        <w:pStyle w:val="null3"/>
        <w:jc w:val="center"/>
        <w:outlineLvl w:val="2"/>
      </w:pPr>
      <w:r>
        <w:rPr>
          <w:sz w:val="28"/>
          <w:b/>
        </w:rPr>
        <w:t>陕西中医药大学附属医院</w:t>
      </w:r>
    </w:p>
    <w:p>
      <w:pPr>
        <w:pStyle w:val="null3"/>
        <w:jc w:val="center"/>
        <w:outlineLvl w:val="2"/>
      </w:pPr>
      <w:r>
        <w:rPr>
          <w:sz w:val="28"/>
          <w:b/>
        </w:rPr>
        <w:t>陕西卓佲项目管理有限公司</w:t>
      </w:r>
      <w:r>
        <w:rPr>
          <w:sz w:val="28"/>
          <w:b/>
        </w:rPr>
        <w:t>共同编制</w:t>
      </w:r>
    </w:p>
    <w:p>
      <w:pPr>
        <w:pStyle w:val="null3"/>
        <w:jc w:val="center"/>
        <w:outlineLvl w:val="2"/>
      </w:pPr>
      <w:r>
        <w:rPr>
          <w:sz w:val="28"/>
          <w:b/>
        </w:rPr>
        <w:t>2024年10月21日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陕西卓佲项目管理有限公司</w:t>
      </w:r>
      <w:r>
        <w:rPr/>
        <w:t>（以下简称“代理机构”）受</w:t>
      </w:r>
      <w:r>
        <w:rPr/>
        <w:t>陕西中医药大学附属医院</w:t>
      </w:r>
      <w:r>
        <w:rPr/>
        <w:t>委托，拟对</w:t>
      </w:r>
      <w:r>
        <w:rPr/>
        <w:t>中药质量提升项目</w:t>
      </w:r>
      <w:r>
        <w:rPr/>
        <w:t>进行国内公开招标，兹邀请符合本次招标要求的供应商参加投标。</w:t>
      </w:r>
    </w:p>
    <w:p>
      <w:pPr>
        <w:pStyle w:val="null3"/>
        <w:outlineLvl w:val="2"/>
      </w:pPr>
      <w:r>
        <w:rPr>
          <w:sz w:val="28"/>
          <w:b/>
        </w:rPr>
        <w:t>一、采购项目编号：</w:t>
      </w:r>
      <w:r>
        <w:rPr>
          <w:sz w:val="28"/>
          <w:b/>
        </w:rPr>
        <w:t>ZMZB2024SZFY-342</w:t>
      </w:r>
    </w:p>
    <w:p>
      <w:pPr>
        <w:pStyle w:val="null3"/>
        <w:outlineLvl w:val="2"/>
      </w:pPr>
      <w:r>
        <w:rPr>
          <w:sz w:val="28"/>
          <w:b/>
        </w:rPr>
        <w:t>二、采购项目名称：</w:t>
      </w:r>
      <w:r>
        <w:rPr>
          <w:sz w:val="28"/>
          <w:b/>
        </w:rPr>
        <w:t>中药质量提升项目</w:t>
      </w:r>
    </w:p>
    <w:p>
      <w:pPr>
        <w:pStyle w:val="null3"/>
        <w:outlineLvl w:val="2"/>
      </w:pPr>
      <w:r>
        <w:rPr>
          <w:sz w:val="28"/>
          <w:b/>
        </w:rPr>
        <w:t>三、招标项目简介</w:t>
      </w:r>
    </w:p>
    <w:p>
      <w:pPr>
        <w:pStyle w:val="null3"/>
        <w:ind w:firstLine="480"/>
      </w:pPr>
      <w:r>
        <w:rPr/>
        <w:t>中药质量提升项目</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t>3、具有履行合同所必需的设备和专业技术能力：具有履行合同所必需的设备和专业技术能力的书面声明;</w:t>
      </w:r>
    </w:p>
    <w:p>
      <w:pPr>
        <w:pStyle w:val="null3"/>
      </w:pPr>
      <w:r>
        <w:rPr/>
        <w:t>4、税收缴纳证明：提供2024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5、社会保障资金缴纳证明：提供2024年1月以来至少一个月的社会保障资金缴存单据或社保机构开具的社会保险参保缴费情况证明。依法不需要缴纳社会保障资金的供应商应提供相关文件证明;</w:t>
      </w:r>
    </w:p>
    <w:p>
      <w:pPr>
        <w:pStyle w:val="null3"/>
      </w:pPr>
      <w:r>
        <w:rPr/>
        <w:t>6、参加政府采购活动前3年内在经营活动中没有重大违法记录：参加政府采购活动前3年内在经营活动中没有重大违法记录的书面声明;</w:t>
      </w:r>
    </w:p>
    <w:p>
      <w:pPr>
        <w:pStyle w:val="null3"/>
      </w:pPr>
      <w:r>
        <w:rPr/>
        <w:t>7、法定代表人委托授权书：非法定代表人参加投标的，须提供法定代表人委托授权书，法定代表人参加投标时,只须提供法定代表人身份证明;</w:t>
      </w:r>
    </w:p>
    <w:p>
      <w:pPr>
        <w:pStyle w:val="null3"/>
      </w:pPr>
      <w:r>
        <w:rPr/>
        <w:t>8、非联合体投标声明：非联合体投标声明。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陕西中医药大学附属医院</w:t>
      </w:r>
    </w:p>
    <w:p>
      <w:pPr>
        <w:pStyle w:val="null3"/>
      </w:pPr>
      <w:r>
        <w:rPr/>
        <w:t xml:space="preserve"> 地址： </w:t>
      </w:r>
      <w:r>
        <w:rPr/>
        <w:t>陕西省咸阳市渭阳西路副2号</w:t>
      </w:r>
    </w:p>
    <w:p>
      <w:pPr>
        <w:pStyle w:val="null3"/>
      </w:pPr>
      <w:r>
        <w:rPr/>
        <w:t xml:space="preserve"> 邮编： </w:t>
      </w:r>
      <w:r>
        <w:rPr/>
        <w:t>712046</w:t>
      </w:r>
    </w:p>
    <w:p>
      <w:pPr>
        <w:pStyle w:val="null3"/>
      </w:pPr>
      <w:r>
        <w:rPr/>
        <w:t xml:space="preserve"> 联系人： </w:t>
      </w:r>
      <w:r>
        <w:rPr/>
        <w:t>马老师</w:t>
      </w:r>
    </w:p>
    <w:p>
      <w:pPr>
        <w:pStyle w:val="null3"/>
      </w:pPr>
      <w:r>
        <w:rPr/>
        <w:t xml:space="preserve"> 联系电话： </w:t>
      </w:r>
      <w:r>
        <w:rPr/>
        <w:t>029-33320910</w:t>
      </w:r>
    </w:p>
    <w:p>
      <w:pPr>
        <w:pStyle w:val="null3"/>
        <w:outlineLvl w:val="2"/>
      </w:pPr>
      <w:r>
        <w:rPr>
          <w:sz w:val="28"/>
          <w:b/>
        </w:rPr>
        <w:t>代理机构：</w:t>
      </w:r>
      <w:r>
        <w:rPr>
          <w:sz w:val="28"/>
          <w:b/>
        </w:rPr>
        <w:t>陕西卓佲项目管理有限公司</w:t>
      </w:r>
    </w:p>
    <w:p>
      <w:pPr>
        <w:pStyle w:val="null3"/>
      </w:pPr>
      <w:r>
        <w:rPr/>
        <w:t xml:space="preserve"> 地址： </w:t>
      </w:r>
      <w:r>
        <w:rPr/>
        <w:t>西安市雁塔区科技路30号合力紫郡B座21层</w:t>
      </w:r>
    </w:p>
    <w:p>
      <w:pPr>
        <w:pStyle w:val="null3"/>
      </w:pPr>
      <w:r>
        <w:rPr/>
        <w:t xml:space="preserve"> 邮编： </w:t>
      </w:r>
      <w:r>
        <w:rPr/>
        <w:t>710065</w:t>
      </w:r>
    </w:p>
    <w:p>
      <w:pPr>
        <w:pStyle w:val="null3"/>
      </w:pPr>
      <w:r>
        <w:rPr/>
        <w:t xml:space="preserve"> 联系人： </w:t>
      </w:r>
      <w:r>
        <w:rPr/>
        <w:t>米文佳 马魏臣 黄乐</w:t>
      </w:r>
    </w:p>
    <w:p>
      <w:pPr>
        <w:pStyle w:val="null3"/>
      </w:pPr>
      <w:r>
        <w:rPr/>
        <w:t xml:space="preserve"> 联系电话： </w:t>
      </w:r>
      <w:r>
        <w:rPr/>
        <w:t>17778966063</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采购包1：1,630,000.00元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库房药房配套电脑、中药房显示大屏</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追溯服务器</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采购包1保证金金额：30,000.00元</w:t>
            </w:r>
          </w:p>
          <w:p>
            <w:pPr>
              <w:pStyle w:val="null3"/>
            </w:pPr>
            <w:r>
              <w:rPr/>
              <w:t>缴交渠道：电子保函,转账、支票、汇票等（需通过实体账户、户名及开户行信息）</w:t>
            </w:r>
          </w:p>
          <w:p>
            <w:pPr>
              <w:pStyle w:val="null3"/>
            </w:pPr>
            <w:r>
              <w:rPr/>
              <w:t>开户名称：陕西卓佲项目管理有限公司</w:t>
            </w:r>
          </w:p>
          <w:p>
            <w:pPr>
              <w:pStyle w:val="null3"/>
            </w:pPr>
            <w:r>
              <w:rPr/>
              <w:t>开户银行：中国民生银行股份有限公司西安高新开发区支行</w:t>
            </w:r>
          </w:p>
          <w:p>
            <w:pPr>
              <w:pStyle w:val="null3"/>
            </w:pPr>
            <w:r>
              <w:rPr/>
              <w:t>银行账号：647840417</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代理服务费收费标准：按照国家计委颁发的《招标代理服务收费管理暂行办法》（计价格[2002]1980号）的取费标准下浮20%收取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陕西中医药大学附属医院</w:t>
      </w:r>
      <w:r>
        <w:rPr/>
        <w:t>和</w:t>
      </w:r>
      <w:r>
        <w:rPr/>
        <w:t>陕西卓佲项目管理有限公司</w:t>
      </w:r>
      <w:r>
        <w:rPr/>
        <w:t>享有。对招标文件中供应商参加本次政府采购活动应当具备的条件，招标项目技术、服务、商务及其他要求，评标细则及标准由</w:t>
      </w:r>
      <w:r>
        <w:rPr/>
        <w:t>陕西中医药大学附属医院</w:t>
      </w:r>
      <w:r>
        <w:rPr/>
        <w:t>负责解释。除上述招标文件内容，其他内容由</w:t>
      </w:r>
      <w:r>
        <w:rPr/>
        <w:t>陕西卓佲项目管理有限公司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陕西中医药大学附属医院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陕西卓佲项目管理有限公司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60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根据招标文件、投标文件、合同及国家相关标准。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陕西卓佲项目管理有限公司</w:t>
      </w:r>
      <w:r>
        <w:rPr/>
        <w:t xml:space="preserve"> 负责答复；供应商对除采购需求外的采购文件的询问、质疑由</w:t>
      </w:r>
      <w:r>
        <w:rPr/>
        <w:t>陕西卓佲项目管理有限公司</w:t>
      </w:r>
      <w:r>
        <w:rPr/>
        <w:t xml:space="preserve"> 负责答复；供应商对采购过程、采购结果的询问、质疑由 </w:t>
      </w:r>
      <w:r>
        <w:rPr/>
        <w:t>陕西卓佲项目管理有限公司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联系人：米文佳</w:t>
      </w:r>
    </w:p>
    <w:p>
      <w:pPr>
        <w:pStyle w:val="null3"/>
      </w:pPr>
      <w:r>
        <w:rPr/>
        <w:t>联系电话：17778966063</w:t>
      </w:r>
    </w:p>
    <w:p>
      <w:pPr>
        <w:pStyle w:val="null3"/>
      </w:pPr>
      <w:r>
        <w:rPr/>
        <w:t>地址：西安市雁塔区科技路30号合力紫郡B座21层</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（一）总体目标 以医院临床用药需求为出发点，以中药质量提升为目标，建设医院中药饮片全过程质量追溯体系，促进中医药服务“提质升级”。建设内容包括医院中药饮片质量追溯系统及智慧中药房管理系统，实现医院药品验收入库、储存养护、请领出库、调配管理、药品复核、药品煎煮、发药、使用等流程进行智能化、可追溯管理。提供药品仓储、处方流转、处方审核、药品调剂、饮片煎煮、智能发药、用药交代、用药提醒等综合化药事服务，实现一方一码，扫码溯源，查询处方开方、审方、调剂、复核、煎煮、发药、配送等全流程追溯信息，提高医院药事服务水平，保障人民群众用药安全。同时对接陕西省中药材追溯服务平台，实现处方饮片溯源，查看药材产地、种植采收、加工包装、饮片生产、质检放行等全过程质量追溯信息，助力中药质量控制水平提升。 （二）系统要求 建设医院中药饮片全程追溯系统及智慧中药房管理系统，具体包括医院饮片采购追溯管理、医院库房饮片追溯管理、医院智慧中药房、医院煎药追溯管理、处方全程溯源及药事服务、中药全产业链驾驶舱平台、系统设置管理、追溯系统API数据接口管理等功能。同时需要和医院his系统、代煎代配系统、陕西省中药材追溯服务平台进行对接，实现已有业务系统数据对接和数据互联互通。 硬件配套包括：服务器、手持PAD设备、条码打印机设备、库房药房配套电脑主机、电子标签、无线网络设备、数据显示器大屏幕等。</w:t>
      </w:r>
    </w:p>
    <w:p>
      <w:pPr>
        <w:pStyle w:val="null3"/>
        <w:outlineLvl w:val="2"/>
      </w:pPr>
      <w:r>
        <w:rPr>
          <w:sz w:val="28"/>
          <w:b/>
        </w:rPr>
        <w:t>3.2采购内容</w:t>
      </w:r>
    </w:p>
    <w:p>
      <w:pPr>
        <w:pStyle w:val="null3"/>
      </w:pPr>
      <w:r>
        <w:rPr/>
        <w:t>采购包1：</w:t>
      </w:r>
    </w:p>
    <w:p>
      <w:pPr>
        <w:pStyle w:val="null3"/>
      </w:pPr>
      <w:r>
        <w:rPr/>
        <w:t>采购包预算金额（元）: 1,630,000.00</w:t>
      </w:r>
    </w:p>
    <w:p>
      <w:pPr>
        <w:pStyle w:val="null3"/>
      </w:pPr>
      <w:r>
        <w:rPr/>
        <w:t>采购包最高限价（元）: 1,630,000.00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中药质量提升</w:t>
            </w:r>
          </w:p>
        </w:tc>
        <w:tc>
          <w:tcPr>
            <w:tcW w:type="dxa" w:w="831"/>
          </w:tcPr>
          <w:p>
            <w:pPr>
              <w:pStyle w:val="null3"/>
              <w:jc w:val="right"/>
            </w:pPr>
            <w:r>
              <w:rPr/>
              <w:t>1.00</w:t>
            </w:r>
          </w:p>
        </w:tc>
        <w:tc>
          <w:tcPr>
            <w:tcW w:type="dxa" w:w="831"/>
          </w:tcPr>
          <w:p>
            <w:pPr>
              <w:pStyle w:val="null3"/>
              <w:jc w:val="right"/>
            </w:pPr>
            <w:r>
              <w:rPr/>
              <w:t>1,630,000.00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c>
          <w:tcPr>
            <w:tcW w:type="dxa" w:w="831"/>
          </w:tcPr>
          <w:p>
            <w:pPr>
              <w:pStyle w:val="null3"/>
            </w:pPr>
            <w:r>
              <w:rPr/>
              <w:t>是</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标的名称：中药质量提升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left="315"/>
              <w:jc w:val="both"/>
            </w:pPr>
            <w:r>
              <w:rPr>
                <w:rFonts w:ascii="黑体" w:hAnsi="黑体" w:cs="黑体" w:eastAsia="黑体"/>
                <w:sz w:val="32"/>
              </w:rPr>
              <w:t>一、</w:t>
            </w:r>
            <w:r>
              <w:rPr>
                <w:rFonts w:ascii="黑体" w:hAnsi="黑体" w:cs="黑体" w:eastAsia="黑体"/>
                <w:sz w:val="32"/>
              </w:rPr>
              <w:t>项目概况</w:t>
            </w:r>
          </w:p>
          <w:p>
            <w:pPr>
              <w:pStyle w:val="null3"/>
              <w:ind w:firstLine="562"/>
              <w:jc w:val="both"/>
            </w:pPr>
            <w:r>
              <w:rPr>
                <w:rFonts w:ascii="楷体_gb2312" w:hAnsi="楷体_gb2312" w:cs="楷体_gb2312" w:eastAsia="楷体_gb2312"/>
                <w:sz w:val="28"/>
                <w:b/>
                <w:color w:val="000000"/>
              </w:rPr>
              <w:t>（一）</w:t>
            </w:r>
            <w:r>
              <w:rPr>
                <w:rFonts w:ascii="楷体_gb2312" w:hAnsi="楷体_gb2312" w:cs="楷体_gb2312" w:eastAsia="楷体_gb2312"/>
                <w:sz w:val="28"/>
                <w:b/>
                <w:color w:val="000000"/>
              </w:rPr>
              <w:t>总体目标</w:t>
            </w:r>
          </w:p>
          <w:p>
            <w:pPr>
              <w:pStyle w:val="null3"/>
              <w:ind w:firstLine="560"/>
              <w:jc w:val="both"/>
            </w:pPr>
            <w:r>
              <w:rPr>
                <w:rFonts w:ascii="宋体" w:hAnsi="宋体" w:cs="宋体" w:eastAsia="宋体"/>
                <w:sz w:val="28"/>
                <w:color w:val="000000"/>
              </w:rPr>
              <w:t>以医院临床用药需求为出发点，以中药质量提升为目标，建设医院中药饮片全过程质量追溯体系，促进中医药服务</w:t>
            </w:r>
            <w:r>
              <w:rPr>
                <w:rFonts w:ascii="宋体" w:hAnsi="宋体" w:cs="宋体" w:eastAsia="宋体"/>
                <w:sz w:val="28"/>
                <w:color w:val="000000"/>
              </w:rPr>
              <w:t>“提质升级”。建设内容包括医院中药饮片质量追溯系统及智慧中药房管理系统，实现医院药品验收入库、储存养护、请领出库、调配管理、药品复核、药品煎煮、发药、使用等流程进行智能化、可追溯管理。提供药品仓储、处方流转、处方审核、药品调剂、饮片煎煮、智能发药、用药交代、用药提醒等综合化药事服务，实现一方一码，扫码溯源，查询处方开方、审方、调剂、复核、煎煮、发药、配送等全流程追溯信息，提高医院药事服务水平，保障人民群众用药安全。同时对接陕西省中药材追溯服务平台，实现处方饮片溯源，查看药材产地、种植采收、加工包装、饮片生产、质检放行等全过程质量追溯信息，助力中药质量控制水平提升。</w:t>
            </w:r>
          </w:p>
          <w:p>
            <w:pPr>
              <w:pStyle w:val="null3"/>
              <w:ind w:firstLine="562"/>
              <w:jc w:val="both"/>
            </w:pPr>
            <w:r>
              <w:rPr>
                <w:rFonts w:ascii="楷体_gb2312" w:hAnsi="楷体_gb2312" w:cs="楷体_gb2312" w:eastAsia="楷体_gb2312"/>
                <w:sz w:val="28"/>
                <w:b/>
                <w:color w:val="000000"/>
              </w:rPr>
              <w:t>（二）</w:t>
            </w:r>
            <w:r>
              <w:rPr>
                <w:rFonts w:ascii="楷体_gb2312" w:hAnsi="楷体_gb2312" w:cs="楷体_gb2312" w:eastAsia="楷体_gb2312"/>
                <w:sz w:val="28"/>
                <w:b/>
                <w:color w:val="000000"/>
              </w:rPr>
              <w:t>系统要求</w:t>
            </w:r>
          </w:p>
          <w:p>
            <w:pPr>
              <w:pStyle w:val="null3"/>
              <w:ind w:firstLine="560"/>
              <w:jc w:val="both"/>
            </w:pPr>
            <w:r>
              <w:rPr>
                <w:rFonts w:ascii="宋体" w:hAnsi="宋体" w:cs="宋体" w:eastAsia="宋体"/>
                <w:sz w:val="28"/>
                <w:color w:val="000000"/>
              </w:rPr>
              <w:t>建设医院中药饮片全程追溯系统及智慧中药房管理系统，具体包括医院饮片采购追溯管理、医院库房饮片追溯管理、医院智慧中药房、医院煎药追溯管理、处方全程溯源及药事服务、中药全产业链驾驶舱平台、系统设置管理、追溯系统</w:t>
            </w:r>
            <w:r>
              <w:rPr>
                <w:rFonts w:ascii="calibri" w:hAnsi="calibri" w:cs="calibri" w:eastAsia="calibri"/>
                <w:sz w:val="28"/>
                <w:color w:val="000000"/>
              </w:rPr>
              <w:t>API</w:t>
            </w:r>
            <w:r>
              <w:rPr>
                <w:rFonts w:ascii="宋体" w:hAnsi="宋体" w:cs="宋体" w:eastAsia="宋体"/>
                <w:sz w:val="28"/>
                <w:color w:val="000000"/>
              </w:rPr>
              <w:t>数据接口管理等功能。同时需要和医院</w:t>
            </w:r>
            <w:r>
              <w:rPr>
                <w:rFonts w:ascii="calibri" w:hAnsi="calibri" w:cs="calibri" w:eastAsia="calibri"/>
                <w:sz w:val="28"/>
                <w:color w:val="000000"/>
              </w:rPr>
              <w:t>his</w:t>
            </w:r>
            <w:r>
              <w:rPr>
                <w:rFonts w:ascii="宋体" w:hAnsi="宋体" w:cs="宋体" w:eastAsia="宋体"/>
                <w:sz w:val="28"/>
                <w:color w:val="000000"/>
              </w:rPr>
              <w:t>系统、代煎代配系统、陕西省中药材追溯服务平台进行对接，实现已有业务系统数据对接和数据互联互通。</w:t>
            </w:r>
          </w:p>
          <w:p>
            <w:pPr>
              <w:pStyle w:val="null3"/>
              <w:jc w:val="both"/>
            </w:pPr>
            <w:r>
              <w:rPr>
                <w:rFonts w:ascii="宋体" w:hAnsi="宋体" w:cs="宋体" w:eastAsia="宋体"/>
                <w:sz w:val="28"/>
                <w:color w:val="000000"/>
              </w:rPr>
              <w:t>硬件配套包括：服务器、手持</w:t>
            </w:r>
            <w:r>
              <w:rPr>
                <w:rFonts w:ascii="calibri" w:hAnsi="calibri" w:cs="calibri" w:eastAsia="calibri"/>
                <w:sz w:val="28"/>
                <w:color w:val="000000"/>
              </w:rPr>
              <w:t>PAD</w:t>
            </w:r>
            <w:r>
              <w:rPr>
                <w:rFonts w:ascii="宋体" w:hAnsi="宋体" w:cs="宋体" w:eastAsia="宋体"/>
                <w:sz w:val="28"/>
                <w:color w:val="000000"/>
              </w:rPr>
              <w:t>设备、条码打印机设备、库房药房配套电脑主机、电子标签、无线网络设备、数据显示器大屏幕等。</w:t>
            </w:r>
          </w:p>
        </w:tc>
      </w:tr>
      <w:tr>
        <w:tc>
          <w:tcPr>
            <w:tcW w:type="dxa" w:w="2769"/>
          </w:tcPr>
          <w:p/>
        </w:tc>
        <w:tc>
          <w:tcPr>
            <w:tcW w:type="dxa" w:w="2769"/>
          </w:tcPr>
          <w:p>
            <w:pPr>
              <w:pStyle w:val="null3"/>
            </w:pPr>
            <w:r>
              <w:rPr/>
              <w:t>2</w:t>
            </w:r>
          </w:p>
        </w:tc>
        <w:tc>
          <w:tcPr>
            <w:tcW w:type="dxa" w:w="2769"/>
          </w:tcPr>
          <w:p>
            <w:pPr>
              <w:pStyle w:val="null3"/>
              <w:ind w:left="315"/>
              <w:jc w:val="both"/>
            </w:pPr>
            <w:r>
              <w:rPr>
                <w:rFonts w:ascii="黑体" w:hAnsi="黑体" w:cs="黑体" w:eastAsia="黑体"/>
                <w:sz w:val="32"/>
              </w:rPr>
              <w:t>二、</w:t>
            </w:r>
            <w:r>
              <w:rPr>
                <w:rFonts w:ascii="黑体" w:hAnsi="黑体" w:cs="黑体" w:eastAsia="黑体"/>
                <w:sz w:val="32"/>
              </w:rPr>
              <w:t>主要建设内容</w:t>
            </w:r>
          </w:p>
          <w:p>
            <w:pPr>
              <w:pStyle w:val="null3"/>
              <w:ind w:firstLine="562"/>
              <w:jc w:val="both"/>
            </w:pPr>
            <w:r>
              <w:rPr>
                <w:rFonts w:ascii="楷体_gb2312" w:hAnsi="楷体_gb2312" w:cs="楷体_gb2312" w:eastAsia="楷体_gb2312"/>
                <w:sz w:val="28"/>
                <w:b/>
                <w:color w:val="000000"/>
              </w:rPr>
              <w:t>（三）</w:t>
            </w:r>
            <w:r>
              <w:rPr>
                <w:rFonts w:ascii="楷体_gb2312" w:hAnsi="楷体_gb2312" w:cs="楷体_gb2312" w:eastAsia="楷体_gb2312"/>
                <w:sz w:val="28"/>
                <w:b/>
                <w:color w:val="000000"/>
              </w:rPr>
              <w:t>医院中药饮片质量</w:t>
            </w:r>
            <w:r>
              <w:rPr>
                <w:rFonts w:ascii="楷体_gb2312" w:hAnsi="楷体_gb2312" w:cs="楷体_gb2312" w:eastAsia="楷体_gb2312"/>
                <w:sz w:val="28"/>
                <w:b/>
                <w:color w:val="000000"/>
              </w:rPr>
              <w:t>追溯系统</w:t>
            </w:r>
          </w:p>
          <w:p>
            <w:pPr>
              <w:pStyle w:val="null3"/>
              <w:ind w:firstLine="562"/>
              <w:jc w:val="both"/>
            </w:pPr>
            <w:r>
              <w:rPr>
                <w:rFonts w:ascii="calibri" w:hAnsi="calibri" w:cs="calibri" w:eastAsia="calibri"/>
                <w:sz w:val="28"/>
                <w:b/>
                <w:color w:val="000000"/>
              </w:rPr>
              <w:t>1</w:t>
            </w:r>
            <w:r>
              <w:rPr>
                <w:rFonts w:ascii="宋体" w:hAnsi="宋体" w:cs="宋体" w:eastAsia="宋体"/>
                <w:sz w:val="28"/>
                <w:b/>
                <w:color w:val="000000"/>
              </w:rPr>
              <w:t>、</w:t>
            </w:r>
            <w:r>
              <w:rPr>
                <w:rFonts w:ascii="宋体" w:hAnsi="宋体" w:cs="宋体" w:eastAsia="宋体"/>
                <w:sz w:val="28"/>
                <w:b/>
                <w:color w:val="000000"/>
              </w:rPr>
              <w:t>医院饮片采购追溯管理</w:t>
            </w:r>
          </w:p>
          <w:p>
            <w:pPr>
              <w:pStyle w:val="null3"/>
              <w:ind w:firstLine="560"/>
              <w:jc w:val="both"/>
            </w:pPr>
            <w:r>
              <w:rPr>
                <w:rFonts w:ascii="宋体" w:hAnsi="宋体" w:cs="宋体" w:eastAsia="宋体"/>
                <w:sz w:val="28"/>
                <w:color w:val="000000"/>
              </w:rPr>
              <w:t>（</w:t>
            </w:r>
            <w:r>
              <w:rPr>
                <w:rFonts w:ascii="calibri" w:hAnsi="calibri" w:cs="calibri" w:eastAsia="calibri"/>
                <w:sz w:val="28"/>
                <w:color w:val="000000"/>
              </w:rPr>
              <w:t>1</w:t>
            </w:r>
            <w:r>
              <w:rPr>
                <w:rFonts w:ascii="宋体" w:hAnsi="宋体" w:cs="宋体" w:eastAsia="宋体"/>
                <w:sz w:val="28"/>
                <w:color w:val="000000"/>
              </w:rPr>
              <w:t>）实现饮片供应商信息管理、账号管理及数据对接信息管理；实现供应商资质管理、资质预警、供应商能力评估管理；（</w:t>
            </w:r>
            <w:r>
              <w:rPr>
                <w:rFonts w:ascii="calibri" w:hAnsi="calibri" w:cs="calibri" w:eastAsia="calibri"/>
                <w:sz w:val="28"/>
                <w:color w:val="000000"/>
              </w:rPr>
              <w:t>2</w:t>
            </w:r>
            <w:r>
              <w:rPr>
                <w:rFonts w:ascii="宋体" w:hAnsi="宋体" w:cs="宋体" w:eastAsia="宋体"/>
                <w:sz w:val="28"/>
                <w:color w:val="000000"/>
              </w:rPr>
              <w:t>）实现医院饮片采购管理、来货验收、溯源查询和药品目录管理，实现饮片生产企业或流通经营企业将饮片销售出库数据对接到医院追溯系统，实现溯源信息关联和医院饮片智能化验收入库，并将入库信息推送到医院</w:t>
            </w:r>
            <w:r>
              <w:rPr>
                <w:rFonts w:ascii="calibri" w:hAnsi="calibri" w:cs="calibri" w:eastAsia="calibri"/>
                <w:sz w:val="28"/>
                <w:color w:val="000000"/>
              </w:rPr>
              <w:t>his</w:t>
            </w:r>
            <w:r>
              <w:rPr>
                <w:rFonts w:ascii="宋体" w:hAnsi="宋体" w:cs="宋体" w:eastAsia="宋体"/>
                <w:sz w:val="28"/>
                <w:color w:val="000000"/>
              </w:rPr>
              <w:t>系统，提高入库效率和准确度。</w:t>
            </w:r>
          </w:p>
          <w:p>
            <w:pPr>
              <w:pStyle w:val="null3"/>
              <w:ind w:firstLine="562"/>
              <w:jc w:val="both"/>
            </w:pPr>
            <w:r>
              <w:rPr>
                <w:rFonts w:ascii="calibri" w:hAnsi="calibri" w:cs="calibri" w:eastAsia="calibri"/>
                <w:sz w:val="28"/>
                <w:b/>
                <w:color w:val="000000"/>
              </w:rPr>
              <w:t>2</w:t>
            </w:r>
            <w:r>
              <w:rPr>
                <w:rFonts w:ascii="宋体" w:hAnsi="宋体" w:cs="宋体" w:eastAsia="宋体"/>
                <w:sz w:val="28"/>
                <w:b/>
                <w:color w:val="000000"/>
              </w:rPr>
              <w:t>、</w:t>
            </w:r>
            <w:r>
              <w:rPr>
                <w:rFonts w:ascii="宋体" w:hAnsi="宋体" w:cs="宋体" w:eastAsia="宋体"/>
                <w:sz w:val="28"/>
                <w:b/>
                <w:color w:val="000000"/>
              </w:rPr>
              <w:t>医院库房饮片追溯管理</w:t>
            </w:r>
          </w:p>
          <w:p>
            <w:pPr>
              <w:pStyle w:val="null3"/>
              <w:ind w:firstLine="560"/>
              <w:jc w:val="both"/>
            </w:pPr>
            <w:r>
              <w:rPr>
                <w:rFonts w:ascii="宋体" w:hAnsi="宋体" w:cs="宋体" w:eastAsia="宋体"/>
                <w:sz w:val="28"/>
              </w:rPr>
              <w:t>（</w:t>
            </w:r>
            <w:r>
              <w:rPr>
                <w:rFonts w:ascii="calibri" w:hAnsi="calibri" w:cs="calibri" w:eastAsia="calibri"/>
                <w:sz w:val="28"/>
              </w:rPr>
              <w:t>1</w:t>
            </w:r>
            <w:r>
              <w:rPr>
                <w:rFonts w:ascii="宋体" w:hAnsi="宋体" w:cs="宋体" w:eastAsia="宋体"/>
                <w:sz w:val="28"/>
              </w:rPr>
              <w:t>）入库追溯管理，实现饮片入库环节追溯，包括入库时间、药品名称、数量、批次、仓库、操作人等信息；（</w:t>
            </w:r>
            <w:r>
              <w:rPr>
                <w:rFonts w:ascii="calibri" w:hAnsi="calibri" w:cs="calibri" w:eastAsia="calibri"/>
                <w:sz w:val="28"/>
              </w:rPr>
              <w:t>2</w:t>
            </w:r>
            <w:r>
              <w:rPr>
                <w:rFonts w:ascii="宋体" w:hAnsi="宋体" w:cs="宋体" w:eastAsia="宋体"/>
                <w:sz w:val="28"/>
              </w:rPr>
              <w:t>）出库追溯管理，实现饮片出库流向追溯，包括出库类型、出库时间、药品名称、数量、批次、操作人等信息；（</w:t>
            </w:r>
            <w:r>
              <w:rPr>
                <w:rFonts w:ascii="calibri" w:hAnsi="calibri" w:cs="calibri" w:eastAsia="calibri"/>
                <w:sz w:val="28"/>
              </w:rPr>
              <w:t>3</w:t>
            </w:r>
            <w:r>
              <w:rPr>
                <w:rFonts w:ascii="宋体" w:hAnsi="宋体" w:cs="宋体" w:eastAsia="宋体"/>
                <w:sz w:val="28"/>
              </w:rPr>
              <w:t>）库存追溯管理，实现饮片进出库台账管理、库存统计、库存盘点、库存养护追溯记录；（</w:t>
            </w:r>
            <w:r>
              <w:rPr>
                <w:rFonts w:ascii="calibri" w:hAnsi="calibri" w:cs="calibri" w:eastAsia="calibri"/>
                <w:sz w:val="28"/>
              </w:rPr>
              <w:t>4</w:t>
            </w:r>
            <w:r>
              <w:rPr>
                <w:rFonts w:ascii="宋体" w:hAnsi="宋体" w:cs="宋体" w:eastAsia="宋体"/>
                <w:sz w:val="28"/>
              </w:rPr>
              <w:t>）仓库基本信息，记录仓库名称、存储条件、所在位置、仓库照片等信息。</w:t>
            </w:r>
          </w:p>
          <w:p>
            <w:pPr>
              <w:pStyle w:val="null3"/>
              <w:ind w:firstLine="562"/>
              <w:jc w:val="both"/>
            </w:pPr>
            <w:r>
              <w:rPr>
                <w:rFonts w:ascii="calibri" w:hAnsi="calibri" w:cs="calibri" w:eastAsia="calibri"/>
                <w:sz w:val="28"/>
                <w:b/>
                <w:color w:val="000000"/>
              </w:rPr>
              <w:t>3</w:t>
            </w:r>
            <w:r>
              <w:rPr>
                <w:rFonts w:ascii="宋体" w:hAnsi="宋体" w:cs="宋体" w:eastAsia="宋体"/>
                <w:sz w:val="28"/>
                <w:b/>
                <w:color w:val="000000"/>
              </w:rPr>
              <w:t>、</w:t>
            </w:r>
            <w:r>
              <w:rPr>
                <w:rFonts w:ascii="宋体" w:hAnsi="宋体" w:cs="宋体" w:eastAsia="宋体"/>
                <w:sz w:val="28"/>
                <w:b/>
                <w:color w:val="000000"/>
              </w:rPr>
              <w:t>医院智慧中药房饮片追溯管理</w:t>
            </w:r>
          </w:p>
          <w:p>
            <w:pPr>
              <w:pStyle w:val="null3"/>
              <w:ind w:firstLine="560"/>
              <w:jc w:val="both"/>
            </w:pPr>
            <w:r>
              <w:rPr>
                <w:rFonts w:ascii="宋体" w:hAnsi="宋体" w:cs="宋体" w:eastAsia="宋体"/>
                <w:sz w:val="28"/>
              </w:rPr>
              <w:t>（</w:t>
            </w:r>
            <w:r>
              <w:rPr>
                <w:rFonts w:ascii="calibri" w:hAnsi="calibri" w:cs="calibri" w:eastAsia="calibri"/>
                <w:sz w:val="28"/>
              </w:rPr>
              <w:t>1</w:t>
            </w:r>
            <w:r>
              <w:rPr>
                <w:rFonts w:ascii="宋体" w:hAnsi="宋体" w:cs="宋体" w:eastAsia="宋体"/>
                <w:sz w:val="28"/>
              </w:rPr>
              <w:t>）处方管理，实现医院中药房饮片处方溯源管理，包括处方对接管理、处方信息管理、系统审方管理。（</w:t>
            </w:r>
            <w:r>
              <w:rPr>
                <w:rFonts w:ascii="calibri" w:hAnsi="calibri" w:cs="calibri" w:eastAsia="calibri"/>
                <w:sz w:val="28"/>
              </w:rPr>
              <w:t>2</w:t>
            </w:r>
            <w:r>
              <w:rPr>
                <w:rFonts w:ascii="宋体" w:hAnsi="宋体" w:cs="宋体" w:eastAsia="宋体"/>
                <w:sz w:val="28"/>
              </w:rPr>
              <w:t>）调配追溯管理，实现处方饮片调配追溯管理，通过扫码记录调配开始时间、调配结束时间，记录溯源饮片品种、批次等信息；调配完成后，根据处方类型，自动打印煎药证和取药小票信息。（</w:t>
            </w:r>
            <w:r>
              <w:rPr>
                <w:rFonts w:ascii="calibri" w:hAnsi="calibri" w:cs="calibri" w:eastAsia="calibri"/>
                <w:sz w:val="28"/>
              </w:rPr>
              <w:t>3</w:t>
            </w:r>
            <w:r>
              <w:rPr>
                <w:rFonts w:ascii="宋体" w:hAnsi="宋体" w:cs="宋体" w:eastAsia="宋体"/>
                <w:sz w:val="28"/>
              </w:rPr>
              <w:t>）发药管理，实现中药房扫码收药叫号、药品暂存管理、窗口发药提醒管理、叫号大屏管理，实现发药过程追溯管理。（</w:t>
            </w:r>
            <w:r>
              <w:rPr>
                <w:rFonts w:ascii="calibri" w:hAnsi="calibri" w:cs="calibri" w:eastAsia="calibri"/>
                <w:sz w:val="28"/>
              </w:rPr>
              <w:t>4</w:t>
            </w:r>
            <w:r>
              <w:rPr>
                <w:rFonts w:ascii="宋体" w:hAnsi="宋体" w:cs="宋体" w:eastAsia="宋体"/>
                <w:sz w:val="28"/>
              </w:rPr>
              <w:t>）药房管理，实现中药房信息管理、调剂柜管理、饮片调拨装斗追溯、药房库存追溯管理等功能。（</w:t>
            </w:r>
            <w:r>
              <w:rPr>
                <w:rFonts w:ascii="calibri" w:hAnsi="calibri" w:cs="calibri" w:eastAsia="calibri"/>
                <w:sz w:val="28"/>
              </w:rPr>
              <w:t>5</w:t>
            </w:r>
            <w:r>
              <w:rPr>
                <w:rFonts w:ascii="宋体" w:hAnsi="宋体" w:cs="宋体" w:eastAsia="宋体"/>
                <w:sz w:val="28"/>
              </w:rPr>
              <w:t>）设备管理，实现医院手持机设备、打印机设备、“声光电”提醒标签等设备管理。（</w:t>
            </w:r>
            <w:r>
              <w:rPr>
                <w:rFonts w:ascii="calibri" w:hAnsi="calibri" w:cs="calibri" w:eastAsia="calibri"/>
                <w:sz w:val="28"/>
              </w:rPr>
              <w:t>6</w:t>
            </w:r>
            <w:r>
              <w:rPr>
                <w:rFonts w:ascii="宋体" w:hAnsi="宋体" w:cs="宋体" w:eastAsia="宋体"/>
                <w:sz w:val="28"/>
              </w:rPr>
              <w:t>）数据统计管理，实现中药房处方调配台账管理，调配人员工作量统计。</w:t>
            </w:r>
          </w:p>
          <w:p>
            <w:pPr>
              <w:pStyle w:val="null3"/>
              <w:ind w:firstLine="562"/>
              <w:jc w:val="both"/>
            </w:pPr>
            <w:r>
              <w:rPr>
                <w:rFonts w:ascii="calibri" w:hAnsi="calibri" w:cs="calibri" w:eastAsia="calibri"/>
                <w:sz w:val="28"/>
                <w:b/>
                <w:color w:val="000000"/>
              </w:rPr>
              <w:t>4</w:t>
            </w:r>
            <w:r>
              <w:rPr>
                <w:rFonts w:ascii="宋体" w:hAnsi="宋体" w:cs="宋体" w:eastAsia="宋体"/>
                <w:sz w:val="28"/>
                <w:b/>
                <w:color w:val="000000"/>
              </w:rPr>
              <w:t>、</w:t>
            </w:r>
            <w:r>
              <w:rPr>
                <w:rFonts w:ascii="宋体" w:hAnsi="宋体" w:cs="宋体" w:eastAsia="宋体"/>
                <w:sz w:val="28"/>
                <w:b/>
                <w:color w:val="000000"/>
              </w:rPr>
              <w:t>医院代煎药追溯管理</w:t>
            </w:r>
          </w:p>
          <w:p>
            <w:pPr>
              <w:pStyle w:val="null3"/>
              <w:ind w:firstLine="560"/>
              <w:jc w:val="both"/>
            </w:pPr>
            <w:r>
              <w:rPr>
                <w:rFonts w:ascii="宋体" w:hAnsi="宋体" w:cs="宋体" w:eastAsia="宋体"/>
                <w:sz w:val="28"/>
              </w:rPr>
              <w:t>（</w:t>
            </w:r>
            <w:r>
              <w:rPr>
                <w:rFonts w:ascii="calibri" w:hAnsi="calibri" w:cs="calibri" w:eastAsia="calibri"/>
                <w:sz w:val="28"/>
              </w:rPr>
              <w:t>1</w:t>
            </w:r>
            <w:r>
              <w:rPr>
                <w:rFonts w:ascii="宋体" w:hAnsi="宋体" w:cs="宋体" w:eastAsia="宋体"/>
                <w:sz w:val="28"/>
              </w:rPr>
              <w:t>）代煎处方调配管理，实现代煎处方调配追溯，记录调配开始时间、结束时间、处方饮片品种、批次等信息。（</w:t>
            </w:r>
            <w:r>
              <w:rPr>
                <w:rFonts w:ascii="calibri" w:hAnsi="calibri" w:cs="calibri" w:eastAsia="calibri"/>
                <w:sz w:val="28"/>
              </w:rPr>
              <w:t>2</w:t>
            </w:r>
            <w:r>
              <w:rPr>
                <w:rFonts w:ascii="宋体" w:hAnsi="宋体" w:cs="宋体" w:eastAsia="宋体"/>
                <w:sz w:val="28"/>
              </w:rPr>
              <w:t>）煎药管理，实现支持对接智能化煎药设备，自动记录煎药过程信息；针对普通检验设备，实现煎药人员扫描煎药证进行确认处方、煎药上锅、煎药下锅等信息登记，记录煎药设备、煎药人的关键信息。（</w:t>
            </w:r>
            <w:r>
              <w:rPr>
                <w:rFonts w:ascii="calibri" w:hAnsi="calibri" w:cs="calibri" w:eastAsia="calibri"/>
                <w:sz w:val="28"/>
              </w:rPr>
              <w:t>3</w:t>
            </w:r>
            <w:r>
              <w:rPr>
                <w:rFonts w:ascii="宋体" w:hAnsi="宋体" w:cs="宋体" w:eastAsia="宋体"/>
                <w:sz w:val="28"/>
              </w:rPr>
              <w:t>）发药</w:t>
            </w:r>
            <w:r>
              <w:rPr>
                <w:rFonts w:ascii="calibri" w:hAnsi="calibri" w:cs="calibri" w:eastAsia="calibri"/>
                <w:sz w:val="28"/>
              </w:rPr>
              <w:t>/</w:t>
            </w:r>
            <w:r>
              <w:rPr>
                <w:rFonts w:ascii="宋体" w:hAnsi="宋体" w:cs="宋体" w:eastAsia="宋体"/>
                <w:sz w:val="28"/>
              </w:rPr>
              <w:t>配送追溯管理，实现代煎药发药追溯，代配药物流配送信息对接展示。（</w:t>
            </w:r>
            <w:r>
              <w:rPr>
                <w:rFonts w:ascii="calibri" w:hAnsi="calibri" w:cs="calibri" w:eastAsia="calibri"/>
                <w:sz w:val="28"/>
              </w:rPr>
              <w:t>4</w:t>
            </w:r>
            <w:r>
              <w:rPr>
                <w:rFonts w:ascii="宋体" w:hAnsi="宋体" w:cs="宋体" w:eastAsia="宋体"/>
                <w:sz w:val="28"/>
              </w:rPr>
              <w:t>）煎药档案管理，实现对煎药室煎药档案管理，可以查询煎药记录、导出煎药过程详细档案。</w:t>
            </w:r>
          </w:p>
          <w:p>
            <w:pPr>
              <w:pStyle w:val="null3"/>
              <w:ind w:firstLine="562"/>
              <w:jc w:val="both"/>
            </w:pPr>
            <w:r>
              <w:rPr>
                <w:rFonts w:ascii="calibri" w:hAnsi="calibri" w:cs="calibri" w:eastAsia="calibri"/>
                <w:sz w:val="28"/>
                <w:b/>
                <w:color w:val="000000"/>
              </w:rPr>
              <w:t>5</w:t>
            </w:r>
            <w:r>
              <w:rPr>
                <w:rFonts w:ascii="宋体" w:hAnsi="宋体" w:cs="宋体" w:eastAsia="宋体"/>
                <w:sz w:val="28"/>
                <w:b/>
                <w:color w:val="000000"/>
              </w:rPr>
              <w:t>、</w:t>
            </w:r>
            <w:r>
              <w:rPr>
                <w:rFonts w:ascii="宋体" w:hAnsi="宋体" w:cs="宋体" w:eastAsia="宋体"/>
                <w:sz w:val="28"/>
                <w:b/>
                <w:color w:val="000000"/>
              </w:rPr>
              <w:t>处方饮片全程溯源及药事服务</w:t>
            </w:r>
          </w:p>
          <w:p>
            <w:pPr>
              <w:pStyle w:val="null3"/>
              <w:ind w:firstLine="560"/>
              <w:jc w:val="both"/>
            </w:pPr>
            <w:r>
              <w:rPr>
                <w:rFonts w:ascii="宋体" w:hAnsi="宋体" w:cs="宋体" w:eastAsia="宋体"/>
                <w:sz w:val="28"/>
              </w:rPr>
              <w:t>（</w:t>
            </w:r>
            <w:r>
              <w:rPr>
                <w:rFonts w:ascii="calibri" w:hAnsi="calibri" w:cs="calibri" w:eastAsia="calibri"/>
                <w:sz w:val="28"/>
              </w:rPr>
              <w:t>1</w:t>
            </w:r>
            <w:r>
              <w:rPr>
                <w:rFonts w:ascii="宋体" w:hAnsi="宋体" w:cs="宋体" w:eastAsia="宋体"/>
                <w:sz w:val="28"/>
              </w:rPr>
              <w:t>）处方全程溯源查询，实现患者扫码查询处方信息、处方调配进度查询、发药进度查询、煎药信息查询、饮片药材全过程溯源档案。实现一物一码精准追溯，构建了来源可查、去向可追、责任可究的全链条追溯体系。同时可以记录用户扫码时间、扫码地点、扫码终端设备等扫码行为数据。（</w:t>
            </w:r>
            <w:r>
              <w:rPr>
                <w:rFonts w:ascii="calibri" w:hAnsi="calibri" w:cs="calibri" w:eastAsia="calibri"/>
                <w:sz w:val="28"/>
              </w:rPr>
              <w:t>2</w:t>
            </w:r>
            <w:r>
              <w:rPr>
                <w:rFonts w:ascii="宋体" w:hAnsi="宋体" w:cs="宋体" w:eastAsia="宋体"/>
                <w:sz w:val="28"/>
              </w:rPr>
              <w:t>）药事服务信息查询，查看处方用药交代信息，患者可以在线进行用药评价，展示中医中药知识宣传信息。</w:t>
            </w:r>
          </w:p>
          <w:p>
            <w:pPr>
              <w:pStyle w:val="null3"/>
              <w:ind w:firstLine="562"/>
              <w:jc w:val="both"/>
            </w:pPr>
            <w:r>
              <w:rPr>
                <w:rFonts w:ascii="calibri" w:hAnsi="calibri" w:cs="calibri" w:eastAsia="calibri"/>
                <w:sz w:val="28"/>
                <w:b/>
                <w:color w:val="000000"/>
              </w:rPr>
              <w:t>6</w:t>
            </w:r>
            <w:r>
              <w:rPr>
                <w:rFonts w:ascii="宋体" w:hAnsi="宋体" w:cs="宋体" w:eastAsia="宋体"/>
                <w:sz w:val="28"/>
                <w:b/>
                <w:color w:val="000000"/>
              </w:rPr>
              <w:t>、</w:t>
            </w:r>
            <w:r>
              <w:rPr>
                <w:rFonts w:ascii="宋体" w:hAnsi="宋体" w:cs="宋体" w:eastAsia="宋体"/>
                <w:sz w:val="28"/>
                <w:b/>
                <w:color w:val="000000"/>
              </w:rPr>
              <w:t>中药全产业链追溯驾驶舱平台</w:t>
            </w:r>
          </w:p>
          <w:p>
            <w:pPr>
              <w:pStyle w:val="null3"/>
              <w:ind w:firstLine="560"/>
              <w:jc w:val="both"/>
            </w:pPr>
            <w:r>
              <w:rPr>
                <w:rFonts w:ascii="宋体" w:hAnsi="宋体" w:cs="宋体" w:eastAsia="宋体"/>
                <w:sz w:val="28"/>
              </w:rPr>
              <w:t>（</w:t>
            </w:r>
            <w:r>
              <w:rPr>
                <w:rFonts w:ascii="calibri" w:hAnsi="calibri" w:cs="calibri" w:eastAsia="calibri"/>
                <w:sz w:val="28"/>
              </w:rPr>
              <w:t>1</w:t>
            </w:r>
            <w:r>
              <w:rPr>
                <w:rFonts w:ascii="宋体" w:hAnsi="宋体" w:cs="宋体" w:eastAsia="宋体"/>
                <w:sz w:val="28"/>
              </w:rPr>
              <w:t>）发药叫号提醒大屏，实现发药过程追溯管理，展示可取药患者姓名等信息。（</w:t>
            </w:r>
            <w:r>
              <w:rPr>
                <w:rFonts w:ascii="calibri" w:hAnsi="calibri" w:cs="calibri" w:eastAsia="calibri"/>
                <w:sz w:val="28"/>
              </w:rPr>
              <w:t>2</w:t>
            </w:r>
            <w:r>
              <w:rPr>
                <w:rFonts w:ascii="宋体" w:hAnsi="宋体" w:cs="宋体" w:eastAsia="宋体"/>
                <w:sz w:val="28"/>
              </w:rPr>
              <w:t>）阳光中药房视频大屏，实现中药房处方调配数据展示、药房视频监控画面展示。（</w:t>
            </w:r>
            <w:r>
              <w:rPr>
                <w:rFonts w:ascii="calibri" w:hAnsi="calibri" w:cs="calibri" w:eastAsia="calibri"/>
                <w:sz w:val="28"/>
              </w:rPr>
              <w:t>3</w:t>
            </w:r>
            <w:r>
              <w:rPr>
                <w:rFonts w:ascii="宋体" w:hAnsi="宋体" w:cs="宋体" w:eastAsia="宋体"/>
                <w:sz w:val="28"/>
              </w:rPr>
              <w:t>）阳光煎药视频大屏，实现煎药室</w:t>
            </w:r>
            <w:r>
              <w:rPr>
                <w:rFonts w:ascii="calibri" w:hAnsi="calibri" w:cs="calibri" w:eastAsia="calibri"/>
                <w:sz w:val="28"/>
              </w:rPr>
              <w:t>/</w:t>
            </w:r>
            <w:r>
              <w:rPr>
                <w:rFonts w:ascii="宋体" w:hAnsi="宋体" w:cs="宋体" w:eastAsia="宋体"/>
                <w:sz w:val="28"/>
              </w:rPr>
              <w:t>煎药中心数据展示、煎药视频监控画面展示。（</w:t>
            </w:r>
            <w:r>
              <w:rPr>
                <w:rFonts w:ascii="calibri" w:hAnsi="calibri" w:cs="calibri" w:eastAsia="calibri"/>
                <w:sz w:val="28"/>
              </w:rPr>
              <w:t>4</w:t>
            </w:r>
            <w:r>
              <w:rPr>
                <w:rFonts w:ascii="宋体" w:hAnsi="宋体" w:cs="宋体" w:eastAsia="宋体"/>
                <w:sz w:val="28"/>
              </w:rPr>
              <w:t>）全产业链追溯数据大屏，实现医院处方、调配信息、煎药信息、发药信息、饮片信息、药材信息数据可视化展示；实现医院处方到药材基地全过程溯源，可以按照处方号、饮片批次进行正向和反向溯源，查看全链条溯源地图。</w:t>
            </w:r>
          </w:p>
          <w:p>
            <w:pPr>
              <w:pStyle w:val="null3"/>
              <w:ind w:firstLine="562"/>
              <w:jc w:val="both"/>
            </w:pPr>
            <w:r>
              <w:rPr>
                <w:rFonts w:ascii="calibri" w:hAnsi="calibri" w:cs="calibri" w:eastAsia="calibri"/>
                <w:sz w:val="28"/>
                <w:b/>
                <w:color w:val="000000"/>
              </w:rPr>
              <w:t>7</w:t>
            </w:r>
            <w:r>
              <w:rPr>
                <w:rFonts w:ascii="宋体" w:hAnsi="宋体" w:cs="宋体" w:eastAsia="宋体"/>
                <w:sz w:val="28"/>
                <w:b/>
                <w:color w:val="000000"/>
              </w:rPr>
              <w:t>、</w:t>
            </w:r>
            <w:r>
              <w:rPr>
                <w:rFonts w:ascii="宋体" w:hAnsi="宋体" w:cs="宋体" w:eastAsia="宋体"/>
                <w:sz w:val="28"/>
                <w:b/>
                <w:color w:val="000000"/>
              </w:rPr>
              <w:t>系统设置管理</w:t>
            </w:r>
          </w:p>
          <w:p>
            <w:pPr>
              <w:pStyle w:val="null3"/>
              <w:ind w:firstLine="560"/>
              <w:jc w:val="both"/>
            </w:pPr>
            <w:r>
              <w:rPr>
                <w:rFonts w:ascii="宋体" w:hAnsi="宋体" w:cs="宋体" w:eastAsia="宋体"/>
                <w:sz w:val="28"/>
              </w:rPr>
              <w:t>（</w:t>
            </w:r>
            <w:r>
              <w:rPr>
                <w:rFonts w:ascii="calibri" w:hAnsi="calibri" w:cs="calibri" w:eastAsia="calibri"/>
                <w:sz w:val="28"/>
              </w:rPr>
              <w:t>1</w:t>
            </w:r>
            <w:r>
              <w:rPr>
                <w:rFonts w:ascii="宋体" w:hAnsi="宋体" w:cs="宋体" w:eastAsia="宋体"/>
                <w:sz w:val="28"/>
              </w:rPr>
              <w:t>）信息管理，包括单位信息管理、人员信息账号管理、权限配置管理。（</w:t>
            </w:r>
            <w:r>
              <w:rPr>
                <w:rFonts w:ascii="calibri" w:hAnsi="calibri" w:cs="calibri" w:eastAsia="calibri"/>
                <w:sz w:val="28"/>
              </w:rPr>
              <w:t>2</w:t>
            </w:r>
            <w:r>
              <w:rPr>
                <w:rFonts w:ascii="宋体" w:hAnsi="宋体" w:cs="宋体" w:eastAsia="宋体"/>
                <w:sz w:val="28"/>
              </w:rPr>
              <w:t>）数据备份管理，实现医院饮片追溯数据的定时备份记录管理，包括备份时间、备份文件大小、备份状态、备注信息，并根据备份计划显示下次备份时间。（</w:t>
            </w:r>
            <w:r>
              <w:rPr>
                <w:rFonts w:ascii="calibri" w:hAnsi="calibri" w:cs="calibri" w:eastAsia="calibri"/>
                <w:sz w:val="28"/>
              </w:rPr>
              <w:t>3</w:t>
            </w:r>
            <w:r>
              <w:rPr>
                <w:rFonts w:ascii="宋体" w:hAnsi="宋体" w:cs="宋体" w:eastAsia="宋体"/>
                <w:sz w:val="28"/>
              </w:rPr>
              <w:t>）审计追踪，包括系统操作日志、登录日志信息管理，实现饮片追溯系统操作留痕可追溯。</w:t>
            </w:r>
          </w:p>
          <w:p>
            <w:pPr>
              <w:pStyle w:val="null3"/>
              <w:ind w:firstLine="562"/>
              <w:jc w:val="both"/>
            </w:pPr>
            <w:r>
              <w:rPr>
                <w:rFonts w:ascii="calibri" w:hAnsi="calibri" w:cs="calibri" w:eastAsia="calibri"/>
                <w:sz w:val="28"/>
                <w:b/>
                <w:color w:val="000000"/>
              </w:rPr>
              <w:t>8</w:t>
            </w:r>
            <w:r>
              <w:rPr>
                <w:rFonts w:ascii="宋体" w:hAnsi="宋体" w:cs="宋体" w:eastAsia="宋体"/>
                <w:sz w:val="28"/>
                <w:b/>
                <w:color w:val="000000"/>
              </w:rPr>
              <w:t>、</w:t>
            </w:r>
            <w:r>
              <w:rPr>
                <w:rFonts w:ascii="calibri" w:hAnsi="calibri" w:cs="calibri" w:eastAsia="calibri"/>
                <w:sz w:val="28"/>
                <w:b/>
                <w:color w:val="000000"/>
              </w:rPr>
              <w:t>API</w:t>
            </w:r>
            <w:r>
              <w:rPr>
                <w:rFonts w:ascii="宋体" w:hAnsi="宋体" w:cs="宋体" w:eastAsia="宋体"/>
                <w:sz w:val="28"/>
                <w:b/>
                <w:color w:val="000000"/>
              </w:rPr>
              <w:t>追溯数据接口管理</w:t>
            </w:r>
          </w:p>
          <w:p>
            <w:pPr>
              <w:pStyle w:val="null3"/>
              <w:ind w:firstLine="560"/>
              <w:jc w:val="both"/>
            </w:pPr>
            <w:r>
              <w:rPr>
                <w:rFonts w:ascii="宋体" w:hAnsi="宋体" w:cs="宋体" w:eastAsia="宋体"/>
                <w:sz w:val="28"/>
              </w:rPr>
              <w:t>（</w:t>
            </w:r>
            <w:r>
              <w:rPr>
                <w:rFonts w:ascii="calibri" w:hAnsi="calibri" w:cs="calibri" w:eastAsia="calibri"/>
                <w:sz w:val="28"/>
              </w:rPr>
              <w:t>1</w:t>
            </w:r>
            <w:r>
              <w:rPr>
                <w:rFonts w:ascii="宋体" w:hAnsi="宋体" w:cs="宋体" w:eastAsia="宋体"/>
                <w:sz w:val="28"/>
              </w:rPr>
              <w:t>）</w:t>
            </w:r>
            <w:r>
              <w:rPr>
                <w:rFonts w:ascii="calibri" w:hAnsi="calibri" w:cs="calibri" w:eastAsia="calibri"/>
                <w:sz w:val="28"/>
              </w:rPr>
              <w:t>HIS</w:t>
            </w:r>
            <w:r>
              <w:rPr>
                <w:rFonts w:ascii="宋体" w:hAnsi="宋体" w:cs="宋体" w:eastAsia="宋体"/>
                <w:sz w:val="28"/>
              </w:rPr>
              <w:t>系统对接接口。实现医院饮片追溯系统和医院</w:t>
            </w:r>
            <w:r>
              <w:rPr>
                <w:rFonts w:ascii="calibri" w:hAnsi="calibri" w:cs="calibri" w:eastAsia="calibri"/>
                <w:sz w:val="28"/>
              </w:rPr>
              <w:t>HIS</w:t>
            </w:r>
            <w:r>
              <w:rPr>
                <w:rFonts w:ascii="宋体" w:hAnsi="宋体" w:cs="宋体" w:eastAsia="宋体"/>
                <w:sz w:val="28"/>
              </w:rPr>
              <w:t>系统对接，包括饮片入库接口、饮片出库接口、处方推送接口、处方追溯赋码接口。（</w:t>
            </w:r>
            <w:r>
              <w:rPr>
                <w:rFonts w:ascii="calibri" w:hAnsi="calibri" w:cs="calibri" w:eastAsia="calibri"/>
                <w:sz w:val="28"/>
              </w:rPr>
              <w:t>2</w:t>
            </w:r>
            <w:r>
              <w:rPr>
                <w:rFonts w:ascii="宋体" w:hAnsi="宋体" w:cs="宋体" w:eastAsia="宋体"/>
                <w:sz w:val="28"/>
              </w:rPr>
              <w:t>）煎药系统对接接口。实现医院饮片追溯系统和医院煎药设备系统对接，包括煎药过程数据对接接口、物流配送信息对接接口。（</w:t>
            </w:r>
            <w:r>
              <w:rPr>
                <w:rFonts w:ascii="calibri" w:hAnsi="calibri" w:cs="calibri" w:eastAsia="calibri"/>
                <w:sz w:val="28"/>
              </w:rPr>
              <w:t>3</w:t>
            </w:r>
            <w:r>
              <w:rPr>
                <w:rFonts w:ascii="宋体" w:hAnsi="宋体" w:cs="宋体" w:eastAsia="宋体"/>
                <w:sz w:val="28"/>
              </w:rPr>
              <w:t>）处方饮片追溯数据上传。实现医院处方饮片追溯数据自动上传到陕西省中药材追溯服务平台，包括处方信息、处方饮片品种、批次、产地、饮片溯源码等信息。</w:t>
            </w:r>
          </w:p>
          <w:p>
            <w:pPr>
              <w:pStyle w:val="null3"/>
              <w:ind w:firstLine="562"/>
              <w:jc w:val="both"/>
            </w:pPr>
            <w:r>
              <w:rPr/>
              <w:t xml:space="preserve"> </w:t>
            </w:r>
          </w:p>
          <w:p>
            <w:pPr>
              <w:pStyle w:val="null3"/>
              <w:ind w:firstLine="562"/>
              <w:jc w:val="both"/>
            </w:pPr>
            <w:r>
              <w:rPr>
                <w:rFonts w:ascii="楷体_gb2312" w:hAnsi="楷体_gb2312" w:cs="楷体_gb2312" w:eastAsia="楷体_gb2312"/>
                <w:sz w:val="28"/>
                <w:b/>
                <w:color w:val="000000"/>
              </w:rPr>
              <w:t>（四）</w:t>
            </w:r>
            <w:r>
              <w:rPr>
                <w:rFonts w:ascii="楷体_gb2312" w:hAnsi="楷体_gb2312" w:cs="楷体_gb2312" w:eastAsia="楷体_gb2312"/>
                <w:sz w:val="28"/>
                <w:b/>
                <w:color w:val="000000"/>
              </w:rPr>
              <w:t>详细采购清单</w:t>
            </w:r>
          </w:p>
          <w:p>
            <w:pPr>
              <w:pStyle w:val="null3"/>
              <w:jc w:val="left"/>
            </w:pPr>
            <w:r>
              <w:rPr>
                <w:rFonts w:ascii="宋体" w:hAnsi="宋体" w:cs="宋体" w:eastAsia="宋体"/>
                <w:sz w:val="28"/>
                <w:b/>
              </w:rPr>
              <w:t>中药饮片质量追溯系统</w:t>
            </w:r>
          </w:p>
          <w:tbl>
            <w:tblPr>
              <w:tblInd w:type="dxa" w:w="120"/>
              <w:tblBorders>
                <w:top w:val="none" w:color="000000" w:sz="4"/>
                <w:left w:val="none" w:color="000000" w:sz="4"/>
                <w:bottom w:val="none" w:color="000000" w:sz="4"/>
                <w:right w:val="none" w:color="000000" w:sz="4"/>
                <w:insideH w:val="none"/>
                <w:insideV w:val="none"/>
              </w:tblBorders>
            </w:tblPr>
            <w:tblGrid>
              <w:gridCol w:w="288"/>
              <w:gridCol w:w="323"/>
              <w:gridCol w:w="343"/>
              <w:gridCol w:w="388"/>
              <w:gridCol w:w="1204"/>
            </w:tblGrid>
            <w:tr>
              <w:tc>
                <w:tcPr>
                  <w:tcW w:type="dxa" w:w="2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序号</w:t>
                  </w:r>
                </w:p>
              </w:tc>
              <w:tc>
                <w:tcPr>
                  <w:tcW w:type="dxa" w:w="3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一级栏目</w:t>
                  </w:r>
                </w:p>
              </w:tc>
              <w:tc>
                <w:tcPr>
                  <w:tcW w:type="dxa" w:w="3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二级栏目</w:t>
                  </w:r>
                </w:p>
              </w:tc>
              <w:tc>
                <w:tcPr>
                  <w:tcW w:type="dxa" w:w="3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三级栏目</w:t>
                  </w:r>
                </w:p>
              </w:tc>
              <w:tc>
                <w:tcPr>
                  <w:tcW w:type="dxa" w:w="1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功能描述</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1</w:t>
                  </w:r>
                </w:p>
              </w:tc>
              <w:tc>
                <w:tcPr>
                  <w:tcW w:type="dxa" w:w="3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医院饮片采购追溯管理</w:t>
                  </w:r>
                </w:p>
              </w:tc>
              <w:tc>
                <w:tcPr>
                  <w:tcW w:type="dxa" w:w="3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供应商管理</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供应商管理</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实现中药饮片供应商管理，包括供应商名称、联系人、联系电话等信息管理；实现饮片供应商账号管理及数据对接信息管理；</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2</w:t>
                  </w:r>
                </w:p>
              </w:tc>
              <w:tc>
                <w:tcPr>
                  <w:tcW w:type="dxa" w:w="323"/>
                  <w:vMerge/>
                  <w:tcBorders>
                    <w:top w:val="none" w:color="000000" w:sz="4"/>
                    <w:left w:val="non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资质管理</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实现供应商资质文件管理，包括资质名称、资质文件、到期时间等信息，对供应商资质备案信息进行审核确认。</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3</w:t>
                  </w:r>
                </w:p>
              </w:tc>
              <w:tc>
                <w:tcPr>
                  <w:tcW w:type="dxa" w:w="323"/>
                  <w:vMerge/>
                  <w:tcBorders>
                    <w:top w:val="none" w:color="000000" w:sz="4"/>
                    <w:left w:val="non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资质消息预警</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资质到期预警消息提醒。</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4</w:t>
                  </w:r>
                </w:p>
              </w:tc>
              <w:tc>
                <w:tcPr>
                  <w:tcW w:type="dxa" w:w="323"/>
                  <w:vMerge/>
                  <w:tcBorders>
                    <w:top w:val="none" w:color="000000" w:sz="4"/>
                    <w:left w:val="non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能力评估</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实现对供应商基本信息、生产车间、炮制技术、包装区域、仓储区域、检验区域等能力进行评估，并记录评估结果。</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5</w:t>
                  </w:r>
                </w:p>
              </w:tc>
              <w:tc>
                <w:tcPr>
                  <w:tcW w:type="dxa" w:w="323"/>
                  <w:vMerge/>
                  <w:tcBorders>
                    <w:top w:val="none" w:color="000000" w:sz="4"/>
                    <w:left w:val="none" w:color="000000" w:sz="4"/>
                    <w:bottom w:val="single" w:color="000000" w:sz="4"/>
                    <w:right w:val="single" w:color="000000" w:sz="4"/>
                  </w:tcBorders>
                </w:tcPr>
                <w:p/>
              </w:tc>
              <w:tc>
                <w:tcPr>
                  <w:tcW w:type="dxa" w:w="3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采购管理</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采购管理</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实现医院饮片采购订单管理，包括订单基本信息、订单饮片品名、类型、采购量等信息。</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6</w:t>
                  </w:r>
                </w:p>
              </w:tc>
              <w:tc>
                <w:tcPr>
                  <w:tcW w:type="dxa" w:w="323"/>
                  <w:vMerge/>
                  <w:tcBorders>
                    <w:top w:val="none" w:color="000000" w:sz="4"/>
                    <w:left w:val="non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来货验收</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实现饮片生产企业或流通经营企业将饮片销售出库数据对接到医院追溯系统，实现溯源信息关联和医院饮片智能化验收确认。</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7</w:t>
                  </w:r>
                </w:p>
              </w:tc>
              <w:tc>
                <w:tcPr>
                  <w:tcW w:type="dxa" w:w="323"/>
                  <w:vMerge/>
                  <w:tcBorders>
                    <w:top w:val="none" w:color="000000" w:sz="4"/>
                    <w:left w:val="non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溯源查询</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可以查看来货饮片批次溯源信息，包括饮片基本信息、饮片生产过程、质检报告等追溯信息。</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8</w:t>
                  </w:r>
                </w:p>
              </w:tc>
              <w:tc>
                <w:tcPr>
                  <w:tcW w:type="dxa" w:w="323"/>
                  <w:vMerge/>
                  <w:tcBorders>
                    <w:top w:val="none" w:color="000000" w:sz="4"/>
                    <w:left w:val="non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药品目录管理</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实现对医院中药饮片药品目录管理，包括药品名称、规格、包装规格、单位等信息管理。</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9</w:t>
                  </w:r>
                </w:p>
              </w:tc>
              <w:tc>
                <w:tcPr>
                  <w:tcW w:type="dxa" w:w="3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医院库房饮片追溯管理</w:t>
                  </w:r>
                </w:p>
              </w:tc>
              <w:tc>
                <w:tcPr>
                  <w:tcW w:type="dxa" w:w="3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入库追溯管理</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入库管理</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实现饮片入库环节追溯，包括入库时间、药品名称、数量、批次、仓库、操作人等信息。核实后并将入库信息推送到医院</w:t>
                  </w:r>
                  <w:r>
                    <w:rPr>
                      <w:rFonts w:ascii="宋体" w:hAnsi="宋体" w:cs="宋体" w:eastAsia="宋体"/>
                      <w:sz w:val="22"/>
                      <w:color w:val="000000"/>
                    </w:rPr>
                    <w:t>his系统。</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10</w:t>
                  </w:r>
                </w:p>
              </w:tc>
              <w:tc>
                <w:tcPr>
                  <w:tcW w:type="dxa" w:w="323"/>
                  <w:vMerge/>
                  <w:tcBorders>
                    <w:top w:val="none" w:color="000000" w:sz="4"/>
                    <w:left w:val="non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退库管理</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管理药房药品退库记录信息，退库产品品名、批号、数量、时间等信息。</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11</w:t>
                  </w:r>
                </w:p>
              </w:tc>
              <w:tc>
                <w:tcPr>
                  <w:tcW w:type="dxa" w:w="323"/>
                  <w:vMerge/>
                  <w:tcBorders>
                    <w:top w:val="none" w:color="000000" w:sz="4"/>
                    <w:left w:val="none" w:color="000000" w:sz="4"/>
                    <w:bottom w:val="singl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出库追溯管理</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出库管理</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实现饮片出库流向追溯，包括出库类型、出库时间、药品名称、数量、批次、操作人等信息；</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12</w:t>
                  </w:r>
                </w:p>
              </w:tc>
              <w:tc>
                <w:tcPr>
                  <w:tcW w:type="dxa" w:w="323"/>
                  <w:vMerge/>
                  <w:tcBorders>
                    <w:top w:val="none" w:color="000000" w:sz="4"/>
                    <w:left w:val="none" w:color="000000" w:sz="4"/>
                    <w:bottom w:val="single" w:color="000000" w:sz="4"/>
                    <w:right w:val="single" w:color="000000" w:sz="4"/>
                  </w:tcBorders>
                </w:tcPr>
                <w:p/>
              </w:tc>
              <w:tc>
                <w:tcPr>
                  <w:tcW w:type="dxa" w:w="3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库存追溯管理</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库存管理</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实现饮片进出库台账管理、库存统计、库存盘点、库存养护追溯记录；</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13</w:t>
                  </w:r>
                </w:p>
              </w:tc>
              <w:tc>
                <w:tcPr>
                  <w:tcW w:type="dxa" w:w="323"/>
                  <w:vMerge/>
                  <w:tcBorders>
                    <w:top w:val="none" w:color="000000" w:sz="4"/>
                    <w:left w:val="non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库存预警</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可以设置库存预警阀值，超出或低于阀值进行预警。</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14</w:t>
                  </w:r>
                </w:p>
              </w:tc>
              <w:tc>
                <w:tcPr>
                  <w:tcW w:type="dxa" w:w="323"/>
                  <w:vMerge/>
                  <w:tcBorders>
                    <w:top w:val="none" w:color="000000" w:sz="4"/>
                    <w:left w:val="non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库存盘点</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仓库可以根据实际库存数据进行账面库存盘点，并记录库存盘点修改记录；</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15</w:t>
                  </w:r>
                </w:p>
              </w:tc>
              <w:tc>
                <w:tcPr>
                  <w:tcW w:type="dxa" w:w="323"/>
                  <w:vMerge/>
                  <w:tcBorders>
                    <w:top w:val="none" w:color="000000" w:sz="4"/>
                    <w:left w:val="non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库存养护</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根据在库药品信息，登记库存养护记录；</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16</w:t>
                  </w:r>
                </w:p>
              </w:tc>
              <w:tc>
                <w:tcPr>
                  <w:tcW w:type="dxa" w:w="323"/>
                  <w:vMerge/>
                  <w:tcBorders>
                    <w:top w:val="none" w:color="000000" w:sz="4"/>
                    <w:left w:val="none" w:color="000000" w:sz="4"/>
                    <w:bottom w:val="singl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仓库管理</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仓库管理</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仓库基本信息，记录仓库名称、存储条件、所在位置、仓库照片等信息。</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17</w:t>
                  </w:r>
                </w:p>
              </w:tc>
              <w:tc>
                <w:tcPr>
                  <w:tcW w:type="dxa" w:w="3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医院智慧中药房饮片追溯管理</w:t>
                  </w:r>
                </w:p>
              </w:tc>
              <w:tc>
                <w:tcPr>
                  <w:tcW w:type="dxa" w:w="3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处方管理</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处方对接管理</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实现医院</w:t>
                  </w:r>
                  <w:r>
                    <w:rPr>
                      <w:rFonts w:ascii="宋体" w:hAnsi="宋体" w:cs="宋体" w:eastAsia="宋体"/>
                      <w:sz w:val="22"/>
                      <w:color w:val="000000"/>
                    </w:rPr>
                    <w:t>his系统中药处方数据对接记录查看。</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18</w:t>
                  </w:r>
                </w:p>
              </w:tc>
              <w:tc>
                <w:tcPr>
                  <w:tcW w:type="dxa" w:w="323"/>
                  <w:vMerge/>
                  <w:tcBorders>
                    <w:top w:val="none" w:color="000000" w:sz="4"/>
                    <w:left w:val="non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处方管理</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处方管理，实现医院中药房饮片处方溯源管理，查看处方详细信息，包括处方号、单位、处方药品品种、剂量等信息。</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19</w:t>
                  </w:r>
                </w:p>
              </w:tc>
              <w:tc>
                <w:tcPr>
                  <w:tcW w:type="dxa" w:w="323"/>
                  <w:vMerge/>
                  <w:tcBorders>
                    <w:top w:val="none" w:color="000000" w:sz="4"/>
                    <w:left w:val="non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历史处方</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查看历史归档处方信息。</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20</w:t>
                  </w:r>
                </w:p>
              </w:tc>
              <w:tc>
                <w:tcPr>
                  <w:tcW w:type="dxa" w:w="323"/>
                  <w:vMerge/>
                  <w:tcBorders>
                    <w:top w:val="none" w:color="000000" w:sz="4"/>
                    <w:left w:val="non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审方管理</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系统进行处方审核，记录审方人姓名、审核时间、审核备注信息、审核提示信息</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21</w:t>
                  </w:r>
                </w:p>
              </w:tc>
              <w:tc>
                <w:tcPr>
                  <w:tcW w:type="dxa" w:w="323"/>
                  <w:vMerge/>
                  <w:tcBorders>
                    <w:top w:val="none" w:color="000000" w:sz="4"/>
                    <w:left w:val="none" w:color="000000" w:sz="4"/>
                    <w:bottom w:val="single" w:color="000000" w:sz="4"/>
                    <w:right w:val="single" w:color="000000" w:sz="4"/>
                  </w:tcBorders>
                </w:tcPr>
                <w:p/>
              </w:tc>
              <w:tc>
                <w:tcPr>
                  <w:tcW w:type="dxa" w:w="3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调配追溯管理</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待调配处方</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查看待调配处方信息，包括处方号、患者姓名、开方时间等信息。</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22</w:t>
                  </w:r>
                </w:p>
              </w:tc>
              <w:tc>
                <w:tcPr>
                  <w:tcW w:type="dxa" w:w="323"/>
                  <w:vMerge/>
                  <w:tcBorders>
                    <w:top w:val="none" w:color="000000" w:sz="4"/>
                    <w:left w:val="non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已调配处方</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查看所有已调配处方信息，处方溯源码和处方饮片品种、饮片批次信息。</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23</w:t>
                  </w:r>
                </w:p>
              </w:tc>
              <w:tc>
                <w:tcPr>
                  <w:tcW w:type="dxa" w:w="323"/>
                  <w:vMerge/>
                  <w:tcBorders>
                    <w:top w:val="none" w:color="000000" w:sz="4"/>
                    <w:left w:val="none" w:color="000000" w:sz="4"/>
                    <w:bottom w:val="single" w:color="000000" w:sz="4"/>
                    <w:right w:val="single" w:color="000000" w:sz="4"/>
                  </w:tcBorders>
                </w:tcPr>
                <w:p/>
              </w:tc>
              <w:tc>
                <w:tcPr>
                  <w:tcW w:type="dxa" w:w="3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发药追溯管理</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收药登记管理</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实现调配好处方中药收药登记，自动更新处方可取药状态。</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24</w:t>
                  </w:r>
                </w:p>
              </w:tc>
              <w:tc>
                <w:tcPr>
                  <w:tcW w:type="dxa" w:w="323"/>
                  <w:vMerge/>
                  <w:tcBorders>
                    <w:top w:val="none" w:color="000000" w:sz="4"/>
                    <w:left w:val="non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药品暂存管理</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实现调配好处方中药暂存登记，记录存储时间、处方号、配置声光电提醒设备等信息。</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25</w:t>
                  </w:r>
                </w:p>
              </w:tc>
              <w:tc>
                <w:tcPr>
                  <w:tcW w:type="dxa" w:w="323"/>
                  <w:vMerge/>
                  <w:tcBorders>
                    <w:top w:val="none" w:color="000000" w:sz="4"/>
                    <w:left w:val="non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窗口发药管理</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实现暂存中药发药管理，扫描取药二维码</w:t>
                  </w:r>
                  <w:r>
                    <w:rPr>
                      <w:rFonts w:ascii="宋体" w:hAnsi="宋体" w:cs="宋体" w:eastAsia="宋体"/>
                      <w:sz w:val="22"/>
                      <w:color w:val="000000"/>
                    </w:rPr>
                    <w:t>/条码凭证，声光电提醒设备自动亮灯提醒，方便工作人员找药。</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26</w:t>
                  </w:r>
                </w:p>
              </w:tc>
              <w:tc>
                <w:tcPr>
                  <w:tcW w:type="dxa" w:w="323"/>
                  <w:vMerge/>
                  <w:tcBorders>
                    <w:top w:val="none" w:color="000000" w:sz="4"/>
                    <w:left w:val="non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叫号大屏管理</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实现中药房叫号大屏设备管理，配置叫号大屏设备编号、叫号大屏系统网址信息。</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27</w:t>
                  </w:r>
                </w:p>
              </w:tc>
              <w:tc>
                <w:tcPr>
                  <w:tcW w:type="dxa" w:w="323"/>
                  <w:vMerge/>
                  <w:tcBorders>
                    <w:top w:val="none" w:color="000000" w:sz="4"/>
                    <w:left w:val="none" w:color="000000" w:sz="4"/>
                    <w:bottom w:val="single" w:color="000000" w:sz="4"/>
                    <w:right w:val="single" w:color="000000" w:sz="4"/>
                  </w:tcBorders>
                </w:tcPr>
                <w:p/>
              </w:tc>
              <w:tc>
                <w:tcPr>
                  <w:tcW w:type="dxa" w:w="3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药房管理</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药房信息管理</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管理医院中药房信息管理，包括药房编号、药房名称、药房人员信息。</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28</w:t>
                  </w:r>
                </w:p>
              </w:tc>
              <w:tc>
                <w:tcPr>
                  <w:tcW w:type="dxa" w:w="323"/>
                  <w:vMerge/>
                  <w:tcBorders>
                    <w:top w:val="none" w:color="000000" w:sz="4"/>
                    <w:left w:val="non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调剂柜管理</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实现药房调剂柜信息管理，包括调剂柜编号、名称、所属药房、状态。</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29</w:t>
                  </w:r>
                </w:p>
              </w:tc>
              <w:tc>
                <w:tcPr>
                  <w:tcW w:type="dxa" w:w="323"/>
                  <w:vMerge/>
                  <w:tcBorders>
                    <w:top w:val="none" w:color="000000" w:sz="4"/>
                    <w:left w:val="non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药房库存管理</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实现药房库存管理，包括所属品名、批号、编号、剩余库存等信息</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30</w:t>
                  </w:r>
                </w:p>
              </w:tc>
              <w:tc>
                <w:tcPr>
                  <w:tcW w:type="dxa" w:w="323"/>
                  <w:vMerge/>
                  <w:tcBorders>
                    <w:top w:val="none" w:color="000000" w:sz="4"/>
                    <w:left w:val="non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药房库存盘点</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实现药房库存盘点，调整账面库存信息，记录库存记录。</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31</w:t>
                  </w:r>
                </w:p>
              </w:tc>
              <w:tc>
                <w:tcPr>
                  <w:tcW w:type="dxa" w:w="323"/>
                  <w:vMerge/>
                  <w:tcBorders>
                    <w:top w:val="none" w:color="000000" w:sz="4"/>
                    <w:left w:val="none" w:color="000000" w:sz="4"/>
                    <w:bottom w:val="singl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设备管理</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设备管理</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实现医院设备管理，包括设备名称、类型等信息管理。</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32</w:t>
                  </w:r>
                </w:p>
              </w:tc>
              <w:tc>
                <w:tcPr>
                  <w:tcW w:type="dxa" w:w="323"/>
                  <w:vMerge/>
                  <w:tcBorders>
                    <w:top w:val="none" w:color="000000" w:sz="4"/>
                    <w:left w:val="none" w:color="000000" w:sz="4"/>
                    <w:bottom w:val="single" w:color="000000" w:sz="4"/>
                    <w:right w:val="single" w:color="000000" w:sz="4"/>
                  </w:tcBorders>
                </w:tcPr>
                <w:p/>
              </w:tc>
              <w:tc>
                <w:tcPr>
                  <w:tcW w:type="dxa" w:w="3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数据统计</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调配台账统计</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实现中药房调配台账数据管理，包括药房名称、调配人姓名、处方号、调配时间等信息</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33</w:t>
                  </w:r>
                </w:p>
              </w:tc>
              <w:tc>
                <w:tcPr>
                  <w:tcW w:type="dxa" w:w="323"/>
                  <w:vMerge/>
                  <w:tcBorders>
                    <w:top w:val="none" w:color="000000" w:sz="4"/>
                    <w:left w:val="non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上药台账统计</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实现中药房调剂斗台账数据管理，包括上药时间、批次、品名等信息。</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34</w:t>
                  </w:r>
                </w:p>
              </w:tc>
              <w:tc>
                <w:tcPr>
                  <w:tcW w:type="dxa" w:w="3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医院煎药追溯管理</w:t>
                  </w:r>
                </w:p>
              </w:tc>
              <w:tc>
                <w:tcPr>
                  <w:tcW w:type="dxa" w:w="3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调配追溯管理</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待调配处方</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查看待调配代煎处方信息，包括处方号、患者姓名、开方时间等信息。</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35</w:t>
                  </w:r>
                </w:p>
              </w:tc>
              <w:tc>
                <w:tcPr>
                  <w:tcW w:type="dxa" w:w="323"/>
                  <w:vMerge/>
                  <w:tcBorders>
                    <w:top w:val="none" w:color="000000" w:sz="4"/>
                    <w:left w:val="non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已调配处方</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查看所有已调配代煎处方信息，处方溯源码和处方饮片品种、饮片批次信息。</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36</w:t>
                  </w:r>
                </w:p>
              </w:tc>
              <w:tc>
                <w:tcPr>
                  <w:tcW w:type="dxa" w:w="323"/>
                  <w:vMerge/>
                  <w:tcBorders>
                    <w:top w:val="none" w:color="000000" w:sz="4"/>
                    <w:left w:val="none" w:color="000000" w:sz="4"/>
                    <w:bottom w:val="singl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煎药追溯管理</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煎药管理</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实现代煎处方中药煎药人员、煎药上锅时间、结束时间、</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37</w:t>
                  </w:r>
                </w:p>
              </w:tc>
              <w:tc>
                <w:tcPr>
                  <w:tcW w:type="dxa" w:w="323"/>
                  <w:vMerge/>
                  <w:tcBorders>
                    <w:top w:val="none" w:color="000000" w:sz="4"/>
                    <w:left w:val="none" w:color="000000" w:sz="4"/>
                    <w:bottom w:val="singl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配送追溯管理</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配送管理</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实现中药代煎处方药品配送物流信息维护，包括物流</w:t>
                  </w:r>
                  <w:r>
                    <w:rPr>
                      <w:rFonts w:ascii="宋体" w:hAnsi="宋体" w:cs="宋体" w:eastAsia="宋体"/>
                      <w:sz w:val="22"/>
                      <w:color w:val="000000"/>
                    </w:rPr>
                    <w:t>/快递名称、物流/快递单号等信息</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38</w:t>
                  </w:r>
                </w:p>
              </w:tc>
              <w:tc>
                <w:tcPr>
                  <w:tcW w:type="dxa" w:w="323"/>
                  <w:vMerge/>
                  <w:tcBorders>
                    <w:top w:val="none" w:color="000000" w:sz="4"/>
                    <w:left w:val="none" w:color="000000" w:sz="4"/>
                    <w:bottom w:val="singl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煎药档案管理</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煎药档案管理</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实现代煎中药档案查询、导出、下载，查看已导出档案文件。</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39</w:t>
                  </w:r>
                </w:p>
              </w:tc>
              <w:tc>
                <w:tcPr>
                  <w:tcW w:type="dxa" w:w="3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处方全程溯源及药事服务</w:t>
                  </w:r>
                </w:p>
              </w:tc>
              <w:tc>
                <w:tcPr>
                  <w:tcW w:type="dxa" w:w="3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处方溯源查询</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处方溯源</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查看处方溯源信息，包括处方号、开方单位、开方时间等溯源信息。</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40</w:t>
                  </w:r>
                </w:p>
              </w:tc>
              <w:tc>
                <w:tcPr>
                  <w:tcW w:type="dxa" w:w="323"/>
                  <w:vMerge/>
                  <w:tcBorders>
                    <w:top w:val="none" w:color="000000" w:sz="4"/>
                    <w:left w:val="non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调剂信息</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查看处方调配开始时间、调配人员、所在药房等溯源信息。</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41</w:t>
                  </w:r>
                </w:p>
              </w:tc>
              <w:tc>
                <w:tcPr>
                  <w:tcW w:type="dxa" w:w="323"/>
                  <w:vMerge/>
                  <w:tcBorders>
                    <w:top w:val="none" w:color="000000" w:sz="4"/>
                    <w:left w:val="non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发药信息</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查看处方中药收药时间、发药时间、发药人员等溯源信息。</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42</w:t>
                  </w:r>
                </w:p>
              </w:tc>
              <w:tc>
                <w:tcPr>
                  <w:tcW w:type="dxa" w:w="323"/>
                  <w:vMerge/>
                  <w:tcBorders>
                    <w:top w:val="none" w:color="000000" w:sz="4"/>
                    <w:left w:val="non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煎药信息</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查看处方中药煎药开始时间、煎药人员等溯源信息。</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43</w:t>
                  </w:r>
                </w:p>
              </w:tc>
              <w:tc>
                <w:tcPr>
                  <w:tcW w:type="dxa" w:w="323"/>
                  <w:vMerge/>
                  <w:tcBorders>
                    <w:top w:val="none" w:color="000000" w:sz="4"/>
                    <w:left w:val="non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饮片溯源</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查看处方饮片品种、批号、产地等信息，可以查看生产过程追溯、质检信息、仓储等饮片溯源信息。</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44</w:t>
                  </w:r>
                </w:p>
              </w:tc>
              <w:tc>
                <w:tcPr>
                  <w:tcW w:type="dxa" w:w="323"/>
                  <w:vMerge/>
                  <w:tcBorders>
                    <w:top w:val="none" w:color="000000" w:sz="4"/>
                    <w:left w:val="non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药材溯源</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查看处方饮片药材溯源信息，包括药材名称、产地、批号、基地、种植、采收、加工等溯源信息。</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45</w:t>
                  </w:r>
                </w:p>
              </w:tc>
              <w:tc>
                <w:tcPr>
                  <w:tcW w:type="dxa" w:w="323"/>
                  <w:vMerge/>
                  <w:tcBorders>
                    <w:top w:val="none" w:color="000000" w:sz="4"/>
                    <w:left w:val="none" w:color="000000" w:sz="4"/>
                    <w:bottom w:val="single" w:color="000000" w:sz="4"/>
                    <w:right w:val="single" w:color="000000" w:sz="4"/>
                  </w:tcBorders>
                </w:tcPr>
                <w:p/>
              </w:tc>
              <w:tc>
                <w:tcPr>
                  <w:tcW w:type="dxa" w:w="3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药事服务查看</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用药交代</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查看处方用药交代信息。</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46</w:t>
                  </w:r>
                </w:p>
              </w:tc>
              <w:tc>
                <w:tcPr>
                  <w:tcW w:type="dxa" w:w="323"/>
                  <w:vMerge/>
                  <w:tcBorders>
                    <w:top w:val="none" w:color="000000" w:sz="4"/>
                    <w:left w:val="non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用药评价</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用户可以在线进行处方用药评价。</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47</w:t>
                  </w:r>
                </w:p>
              </w:tc>
              <w:tc>
                <w:tcPr>
                  <w:tcW w:type="dxa" w:w="323"/>
                  <w:vMerge/>
                  <w:tcBorders>
                    <w:top w:val="none" w:color="000000" w:sz="4"/>
                    <w:left w:val="non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中医知识</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可以中医用药、养生相关知识内容。</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48</w:t>
                  </w:r>
                </w:p>
              </w:tc>
              <w:tc>
                <w:tcPr>
                  <w:tcW w:type="dxa" w:w="3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中药全产业链驾驶舱平台</w:t>
                  </w:r>
                </w:p>
              </w:tc>
              <w:tc>
                <w:tcPr>
                  <w:tcW w:type="dxa" w:w="3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智慧中药房大屏</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发药叫号提醒大屏展示</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实现中药房叫号管理，实现可取药处方患者信息展示和语音播报提醒，方便患者及时取药。</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49</w:t>
                  </w:r>
                </w:p>
              </w:tc>
              <w:tc>
                <w:tcPr>
                  <w:tcW w:type="dxa" w:w="323"/>
                  <w:vMerge/>
                  <w:tcBorders>
                    <w:top w:val="none" w:color="000000" w:sz="4"/>
                    <w:left w:val="non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阳光中药房监控大屏展示</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实现中药房视频监控查看、中药房处方数据统计、处方调配数据统计等。</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50</w:t>
                  </w:r>
                </w:p>
              </w:tc>
              <w:tc>
                <w:tcPr>
                  <w:tcW w:type="dxa" w:w="323"/>
                  <w:vMerge/>
                  <w:tcBorders>
                    <w:top w:val="none" w:color="000000" w:sz="4"/>
                    <w:left w:val="non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阳光煎药中心监控大屏展示</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实现煎药中心视频监控查看、煎药处方数据统计、煎药调配数据统计等。</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51</w:t>
                  </w:r>
                </w:p>
              </w:tc>
              <w:tc>
                <w:tcPr>
                  <w:tcW w:type="dxa" w:w="323"/>
                  <w:vMerge/>
                  <w:tcBorders>
                    <w:top w:val="none" w:color="000000" w:sz="4"/>
                    <w:left w:val="none" w:color="000000" w:sz="4"/>
                    <w:bottom w:val="singl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全产业链追溯数据大屏</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全产业链追溯数据大屏展示</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实现医院中药饮片全产业链追溯数据统计，实现医院处方、调配信息、煎药信息、发药信息、饮片信息、药材信息数据可视化展示；实现医院处方到药材基地全过程溯源，可以按照处方号、饮片批次进行正向和反向溯源，查看全链条溯源地图。</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52</w:t>
                  </w:r>
                </w:p>
              </w:tc>
              <w:tc>
                <w:tcPr>
                  <w:tcW w:type="dxa" w:w="3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系统设置管理</w:t>
                  </w:r>
                </w:p>
              </w:tc>
              <w:tc>
                <w:tcPr>
                  <w:tcW w:type="dxa" w:w="3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信息管理</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单位信息</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实现医院单位名称、负责人、单位地址、联系电话、单位介绍等信息维护。</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53</w:t>
                  </w:r>
                </w:p>
              </w:tc>
              <w:tc>
                <w:tcPr>
                  <w:tcW w:type="dxa" w:w="323"/>
                  <w:vMerge/>
                  <w:tcBorders>
                    <w:top w:val="none" w:color="000000" w:sz="4"/>
                    <w:left w:val="non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人员管理</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实现医院人员账号管理，包括姓名、手机号、账号密码等信息维护。</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54</w:t>
                  </w:r>
                </w:p>
              </w:tc>
              <w:tc>
                <w:tcPr>
                  <w:tcW w:type="dxa" w:w="323"/>
                  <w:vMerge/>
                  <w:tcBorders>
                    <w:top w:val="none" w:color="000000" w:sz="4"/>
                    <w:left w:val="non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权限配置</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实现医院人员账号权限配置，设置不同分组或人员系统功能权限。</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55</w:t>
                  </w:r>
                </w:p>
              </w:tc>
              <w:tc>
                <w:tcPr>
                  <w:tcW w:type="dxa" w:w="323"/>
                  <w:vMerge/>
                  <w:tcBorders>
                    <w:top w:val="none" w:color="000000" w:sz="4"/>
                    <w:left w:val="none" w:color="000000" w:sz="4"/>
                    <w:bottom w:val="singl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数据备份</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备份管理</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实现医院饮片追溯数据的备份管理，查看备份时间、备份文件大小、备份状态等。</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56</w:t>
                  </w:r>
                </w:p>
              </w:tc>
              <w:tc>
                <w:tcPr>
                  <w:tcW w:type="dxa" w:w="323"/>
                  <w:vMerge/>
                  <w:tcBorders>
                    <w:top w:val="none" w:color="000000" w:sz="4"/>
                    <w:left w:val="none" w:color="000000" w:sz="4"/>
                    <w:bottom w:val="single" w:color="000000" w:sz="4"/>
                    <w:right w:val="single" w:color="000000" w:sz="4"/>
                  </w:tcBorders>
                </w:tcPr>
                <w:p/>
              </w:tc>
              <w:tc>
                <w:tcPr>
                  <w:tcW w:type="dxa" w:w="3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审计追踪</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操作日志</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实现用户操作日志记录，包括操作栏目、操作人、操作时间等信息。</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57</w:t>
                  </w:r>
                </w:p>
              </w:tc>
              <w:tc>
                <w:tcPr>
                  <w:tcW w:type="dxa" w:w="323"/>
                  <w:vMerge/>
                  <w:tcBorders>
                    <w:top w:val="none" w:color="000000" w:sz="4"/>
                    <w:left w:val="non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登录日志</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实现用户操作日志记录，包括操作栏目、操作人、操作时间等信息。</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58</w:t>
                  </w:r>
                </w:p>
              </w:tc>
              <w:tc>
                <w:tcPr>
                  <w:tcW w:type="dxa" w:w="3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API数据接口管理系统</w:t>
                  </w:r>
                </w:p>
              </w:tc>
              <w:tc>
                <w:tcPr>
                  <w:tcW w:type="dxa" w:w="3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HIS系统对接接口</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饮片入库接口</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实现医院</w:t>
                  </w:r>
                  <w:r>
                    <w:rPr>
                      <w:rFonts w:ascii="宋体" w:hAnsi="宋体" w:cs="宋体" w:eastAsia="宋体"/>
                      <w:sz w:val="22"/>
                      <w:color w:val="000000"/>
                    </w:rPr>
                    <w:t>his系统和追溯系统入库数据对接，包括入库批号、品名、时间、仓库等信息</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59</w:t>
                  </w:r>
                </w:p>
              </w:tc>
              <w:tc>
                <w:tcPr>
                  <w:tcW w:type="dxa" w:w="323"/>
                  <w:vMerge/>
                  <w:tcBorders>
                    <w:top w:val="none" w:color="000000" w:sz="4"/>
                    <w:left w:val="non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饮片出库接口</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实现医院</w:t>
                  </w:r>
                  <w:r>
                    <w:rPr>
                      <w:rFonts w:ascii="宋体" w:hAnsi="宋体" w:cs="宋体" w:eastAsia="宋体"/>
                      <w:sz w:val="22"/>
                      <w:color w:val="000000"/>
                    </w:rPr>
                    <w:t>his系统和追溯系统入库数据对接，包括入库批号、品名、时间、仓库等信息</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60</w:t>
                  </w:r>
                </w:p>
              </w:tc>
              <w:tc>
                <w:tcPr>
                  <w:tcW w:type="dxa" w:w="323"/>
                  <w:vMerge/>
                  <w:tcBorders>
                    <w:top w:val="none" w:color="000000" w:sz="4"/>
                    <w:left w:val="non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处方对接接口</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实现医院</w:t>
                  </w:r>
                  <w:r>
                    <w:rPr>
                      <w:rFonts w:ascii="宋体" w:hAnsi="宋体" w:cs="宋体" w:eastAsia="宋体"/>
                      <w:sz w:val="22"/>
                      <w:color w:val="000000"/>
                    </w:rPr>
                    <w:t>his系统和追溯系统入库数据对接，包括入库批号、品名、时间、仓库等信息</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61</w:t>
                  </w:r>
                </w:p>
              </w:tc>
              <w:tc>
                <w:tcPr>
                  <w:tcW w:type="dxa" w:w="323"/>
                  <w:vMerge/>
                  <w:tcBorders>
                    <w:top w:val="none" w:color="000000" w:sz="4"/>
                    <w:left w:val="non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处方赋码接口</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实现医院</w:t>
                  </w:r>
                  <w:r>
                    <w:rPr>
                      <w:rFonts w:ascii="宋体" w:hAnsi="宋体" w:cs="宋体" w:eastAsia="宋体"/>
                      <w:sz w:val="22"/>
                      <w:color w:val="000000"/>
                    </w:rPr>
                    <w:t>his系统和追溯系统入库数据对接，包括入库批号、品名、时间、仓库等信息</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62</w:t>
                  </w:r>
                </w:p>
              </w:tc>
              <w:tc>
                <w:tcPr>
                  <w:tcW w:type="dxa" w:w="323"/>
                  <w:vMerge/>
                  <w:tcBorders>
                    <w:top w:val="none" w:color="000000" w:sz="4"/>
                    <w:left w:val="none" w:color="000000" w:sz="4"/>
                    <w:bottom w:val="single" w:color="000000" w:sz="4"/>
                    <w:right w:val="single" w:color="000000" w:sz="4"/>
                  </w:tcBorders>
                </w:tcPr>
                <w:p/>
              </w:tc>
              <w:tc>
                <w:tcPr>
                  <w:tcW w:type="dxa" w:w="3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煎药系统对接</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煎药过程数据对接接口</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实现医院煎药系统和追溯系统煎药过程数据对接。</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63</w:t>
                  </w:r>
                </w:p>
              </w:tc>
              <w:tc>
                <w:tcPr>
                  <w:tcW w:type="dxa" w:w="323"/>
                  <w:vMerge/>
                  <w:tcBorders>
                    <w:top w:val="none" w:color="000000" w:sz="4"/>
                    <w:left w:val="non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物流配送数据对接接口</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实现医院煎药处方的物流配送数据和追溯系统进行对接。</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64</w:t>
                  </w:r>
                </w:p>
              </w:tc>
              <w:tc>
                <w:tcPr>
                  <w:tcW w:type="dxa" w:w="323"/>
                  <w:vMerge/>
                  <w:tcBorders>
                    <w:top w:val="none" w:color="000000" w:sz="4"/>
                    <w:left w:val="none" w:color="000000" w:sz="4"/>
                    <w:bottom w:val="singl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处方饮片追溯数据上传</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处方追溯数据上传省平台</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实现医院处方饮片追溯数据自动上传到陕西省中药材追溯服务平台，包括处方信息、处方饮片品种、批次、产地、饮片溯源码等信息。</w:t>
                  </w:r>
                </w:p>
              </w:tc>
            </w:tr>
          </w:tbl>
          <w:p>
            <w:pPr>
              <w:pStyle w:val="null3"/>
              <w:jc w:val="both"/>
            </w:pPr>
            <w:r>
              <w:rPr>
                <w:rFonts w:ascii="宋体" w:hAnsi="宋体" w:cs="宋体" w:eastAsia="宋体"/>
                <w:sz w:val="28"/>
                <w:b/>
              </w:rPr>
              <w:t>配套硬件</w:t>
            </w:r>
          </w:p>
          <w:tbl>
            <w:tblPr>
              <w:tblInd w:type="dxa" w:w="210"/>
              <w:tblBorders>
                <w:top w:val="none" w:color="000000" w:sz="4"/>
                <w:left w:val="none" w:color="000000" w:sz="4"/>
                <w:bottom w:val="none" w:color="000000" w:sz="4"/>
                <w:right w:val="none" w:color="000000" w:sz="4"/>
                <w:insideH w:val="none"/>
                <w:insideV w:val="none"/>
              </w:tblBorders>
            </w:tblPr>
            <w:tblGrid>
              <w:gridCol w:w="130"/>
              <w:gridCol w:w="100"/>
              <w:gridCol w:w="674"/>
              <w:gridCol w:w="1636"/>
            </w:tblGrid>
            <w:tr>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序号</w:t>
                  </w:r>
                </w:p>
              </w:tc>
              <w:tc>
                <w:tcPr>
                  <w:tcW w:type="dxa" w:w="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一级栏目</w:t>
                  </w:r>
                </w:p>
              </w:tc>
              <w:tc>
                <w:tcPr>
                  <w:tcW w:type="dxa" w:w="6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二级栏目</w:t>
                  </w:r>
                </w:p>
              </w:tc>
              <w:tc>
                <w:tcPr>
                  <w:tcW w:type="dxa" w:w="16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三级栏目</w:t>
                  </w:r>
                </w:p>
              </w:tc>
            </w:tr>
            <w:tr>
              <w:tc>
                <w:tcPr>
                  <w:tcW w:type="dxa" w:w="130"/>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65</w:t>
                  </w:r>
                </w:p>
              </w:tc>
              <w:tc>
                <w:tcPr>
                  <w:tcW w:type="dxa" w:w="10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医院饮片质量追溯应用及数据中心建设</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追溯服务器（</w:t>
                  </w:r>
                  <w:r>
                    <w:rPr>
                      <w:rFonts w:ascii="宋体" w:hAnsi="宋体" w:cs="宋体" w:eastAsia="宋体"/>
                      <w:sz w:val="24"/>
                      <w:color w:val="000000"/>
                    </w:rPr>
                    <w:t>2台）</w:t>
                  </w:r>
                </w:p>
              </w:tc>
              <w:tc>
                <w:tcPr>
                  <w:tcW w:type="dxa" w:w="1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1、外形:标准2U机架式2路服务器;</w:t>
                  </w:r>
                </w:p>
                <w:p>
                  <w:pPr>
                    <w:pStyle w:val="null3"/>
                    <w:jc w:val="left"/>
                  </w:pPr>
                  <w:r>
                    <w:rPr>
                      <w:rFonts w:ascii="宋体" w:hAnsi="宋体" w:cs="宋体" w:eastAsia="宋体"/>
                      <w:sz w:val="22"/>
                      <w:color w:val="000000"/>
                    </w:rPr>
                    <w:t>2、CPU：性能不低Intel 4314(2.4GHz/16核/24MB)</w:t>
                  </w:r>
                </w:p>
                <w:p>
                  <w:pPr>
                    <w:pStyle w:val="null3"/>
                    <w:jc w:val="left"/>
                  </w:pPr>
                  <w:r>
                    <w:rPr>
                      <w:rFonts w:ascii="宋体" w:hAnsi="宋体" w:cs="宋体" w:eastAsia="宋体"/>
                      <w:sz w:val="22"/>
                      <w:color w:val="000000"/>
                    </w:rPr>
                    <w:t>3、内存：≥128GB  DDR4</w:t>
                  </w:r>
                </w:p>
                <w:p>
                  <w:pPr>
                    <w:pStyle w:val="null3"/>
                    <w:jc w:val="left"/>
                  </w:pPr>
                  <w:r>
                    <w:rPr>
                      <w:rFonts w:ascii="宋体" w:hAnsi="宋体" w:cs="宋体" w:eastAsia="宋体"/>
                      <w:sz w:val="22"/>
                      <w:color w:val="000000"/>
                    </w:rPr>
                    <w:t>4、硬盘：≥1.92t SSD通用硬盘*4</w:t>
                  </w:r>
                </w:p>
                <w:p>
                  <w:pPr>
                    <w:pStyle w:val="null3"/>
                    <w:jc w:val="left"/>
                  </w:pPr>
                  <w:r>
                    <w:rPr>
                      <w:rFonts w:ascii="宋体" w:hAnsi="宋体" w:cs="宋体" w:eastAsia="宋体"/>
                      <w:sz w:val="22"/>
                      <w:color w:val="000000"/>
                    </w:rPr>
                    <w:t>5、RAID：配置RAID５，≥１GB缓存；</w:t>
                  </w:r>
                </w:p>
                <w:p>
                  <w:pPr>
                    <w:pStyle w:val="null3"/>
                    <w:jc w:val="left"/>
                  </w:pPr>
                  <w:r>
                    <w:rPr>
                      <w:rFonts w:ascii="宋体" w:hAnsi="宋体" w:cs="宋体" w:eastAsia="宋体"/>
                      <w:sz w:val="22"/>
                      <w:color w:val="000000"/>
                    </w:rPr>
                    <w:t>6、网络:双口千兆RJ45网卡，双口万兆网卡，配置光模块；</w:t>
                  </w:r>
                </w:p>
                <w:p>
                  <w:pPr>
                    <w:pStyle w:val="null3"/>
                    <w:jc w:val="left"/>
                  </w:pPr>
                  <w:r>
                    <w:rPr>
                      <w:rFonts w:ascii="宋体" w:hAnsi="宋体" w:cs="宋体" w:eastAsia="宋体"/>
                      <w:sz w:val="22"/>
                      <w:color w:val="000000"/>
                    </w:rPr>
                    <w:t>7、电源:1+1热插拔冗余电源，单电源≥800W;</w:t>
                  </w:r>
                </w:p>
              </w:tc>
            </w:tr>
            <w:tr>
              <w:tc>
                <w:tcPr>
                  <w:tcW w:type="dxa" w:w="130"/>
                  <w:vMerge/>
                  <w:tcBorders>
                    <w:top w:val="none" w:color="000000" w:sz="4"/>
                    <w:left w:val="single" w:color="000000" w:sz="4"/>
                    <w:bottom w:val="none" w:color="000000" w:sz="4"/>
                    <w:right w:val="single" w:color="000000" w:sz="4"/>
                  </w:tcBorders>
                </w:tcPr>
                <w:p/>
              </w:tc>
              <w:tc>
                <w:tcPr>
                  <w:tcW w:type="dxa" w:w="100"/>
                  <w:vMerge/>
                  <w:tcBorders>
                    <w:top w:val="none" w:color="000000" w:sz="4"/>
                    <w:left w:val="none" w:color="000000" w:sz="4"/>
                    <w:bottom w:val="none" w:color="000000" w:sz="4"/>
                    <w:right w:val="single" w:color="000000" w:sz="4"/>
                  </w:tcBorders>
                </w:tcP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智能库存管理和中药房调剂手持终端，</w:t>
                  </w:r>
                  <w:r>
                    <w:rPr>
                      <w:rFonts w:ascii="宋体" w:hAnsi="宋体" w:cs="宋体" w:eastAsia="宋体"/>
                      <w:sz w:val="22"/>
                      <w:color w:val="000000"/>
                    </w:rPr>
                    <w:t>35台。</w:t>
                  </w:r>
                </w:p>
              </w:tc>
              <w:tc>
                <w:tcPr>
                  <w:tcW w:type="dxa" w:w="1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1、操作系统≥Android 7.1</w:t>
                  </w:r>
                  <w:r>
                    <w:br/>
                  </w:r>
                  <w:r>
                    <w:rPr>
                      <w:rFonts w:ascii="宋体" w:hAnsi="宋体" w:cs="宋体" w:eastAsia="宋体"/>
                      <w:sz w:val="22"/>
                      <w:color w:val="000000"/>
                    </w:rPr>
                    <w:t>2、处理器≥1.4 GHz</w:t>
                  </w:r>
                  <w:r>
                    <w:br/>
                  </w:r>
                  <w:r>
                    <w:rPr>
                      <w:rFonts w:ascii="宋体" w:hAnsi="宋体" w:cs="宋体" w:eastAsia="宋体"/>
                      <w:sz w:val="22"/>
                      <w:color w:val="000000"/>
                    </w:rPr>
                    <w:t>3、内存 RAM≥4GB；ROM≥64GB</w:t>
                  </w:r>
                  <w:r>
                    <w:br/>
                  </w:r>
                  <w:r>
                    <w:rPr>
                      <w:rFonts w:ascii="宋体" w:hAnsi="宋体" w:cs="宋体" w:eastAsia="宋体"/>
                      <w:sz w:val="22"/>
                      <w:color w:val="000000"/>
                    </w:rPr>
                    <w:t>4、扩展内存 Micro SD 卡≥128GB</w:t>
                  </w:r>
                  <w:r>
                    <w:br/>
                  </w:r>
                  <w:r>
                    <w:rPr>
                      <w:rFonts w:ascii="宋体" w:hAnsi="宋体" w:cs="宋体" w:eastAsia="宋体"/>
                      <w:sz w:val="22"/>
                      <w:color w:val="000000"/>
                    </w:rPr>
                    <w:t>5、显示屏≥5.0 英寸 TFT</w:t>
                  </w:r>
                </w:p>
                <w:p>
                  <w:pPr>
                    <w:pStyle w:val="null3"/>
                    <w:jc w:val="both"/>
                  </w:pPr>
                  <w:r>
                    <w:rPr>
                      <w:rFonts w:ascii="宋体" w:hAnsi="宋体" w:cs="宋体" w:eastAsia="宋体"/>
                      <w:sz w:val="22"/>
                      <w:color w:val="000000"/>
                    </w:rPr>
                    <w:t>彩色显示屏，分辨率</w:t>
                  </w:r>
                  <w:r>
                    <w:rPr>
                      <w:rFonts w:ascii="宋体" w:hAnsi="宋体" w:cs="宋体" w:eastAsia="宋体"/>
                      <w:sz w:val="22"/>
                      <w:color w:val="000000"/>
                    </w:rPr>
                    <w:t>≥1280×720</w:t>
                  </w:r>
                  <w:r>
                    <w:br/>
                  </w:r>
                  <w:r>
                    <w:rPr>
                      <w:rFonts w:ascii="宋体" w:hAnsi="宋体" w:cs="宋体" w:eastAsia="宋体"/>
                      <w:sz w:val="22"/>
                      <w:color w:val="000000"/>
                    </w:rPr>
                    <w:t>6、触摸屏 支持多点触控、手套触摸，带水操作和被动笔签名</w:t>
                  </w:r>
                </w:p>
                <w:p>
                  <w:pPr>
                    <w:pStyle w:val="null3"/>
                    <w:jc w:val="both"/>
                  </w:pPr>
                  <w:r>
                    <w:rPr>
                      <w:rFonts w:ascii="宋体" w:hAnsi="宋体" w:cs="宋体" w:eastAsia="宋体"/>
                      <w:sz w:val="24"/>
                      <w:color w:val="000000"/>
                    </w:rPr>
                    <w:t>7、扫描：可读取所有国际通用一维条码和二维条码；可读取屏幕条码和彩色条码；单个码扫描速度≤1.5秒；</w:t>
                  </w:r>
                  <w:r>
                    <w:br/>
                  </w:r>
                  <w:r>
                    <w:rPr>
                      <w:rFonts w:ascii="宋体" w:hAnsi="宋体" w:cs="宋体" w:eastAsia="宋体"/>
                      <w:sz w:val="22"/>
                      <w:color w:val="000000"/>
                    </w:rPr>
                    <w:t>8</w:t>
                  </w:r>
                  <w:r>
                    <w:rPr>
                      <w:rFonts w:ascii="宋体" w:hAnsi="宋体" w:cs="宋体" w:eastAsia="宋体"/>
                      <w:sz w:val="22"/>
                    </w:rPr>
                    <w:t>、电池</w:t>
                  </w:r>
                  <w:r>
                    <w:rPr>
                      <w:rFonts w:ascii="宋体" w:hAnsi="宋体" w:cs="宋体" w:eastAsia="宋体"/>
                      <w:sz w:val="22"/>
                    </w:rPr>
                    <w:t>≥4000mAh锂电池</w:t>
                  </w:r>
                  <w:r>
                    <w:br/>
                  </w:r>
                  <w:r>
                    <w:rPr>
                      <w:rFonts w:ascii="宋体" w:hAnsi="宋体" w:cs="宋体" w:eastAsia="宋体"/>
                      <w:sz w:val="22"/>
                    </w:rPr>
                    <w:t>9、通信：无线广域网 双卡双待4G，3G，2G 全网通</w:t>
                  </w:r>
                  <w:r>
                    <w:br/>
                  </w:r>
                  <w:r>
                    <w:rPr>
                      <w:rFonts w:ascii="宋体" w:hAnsi="宋体" w:cs="宋体" w:eastAsia="宋体"/>
                      <w:sz w:val="22"/>
                      <w:color w:val="000000"/>
                    </w:rPr>
                    <w:t>10、WIFI 2.4G/5G 双频 WIFI，支持802.11a/b/g/n</w:t>
                  </w:r>
                </w:p>
              </w:tc>
            </w:tr>
            <w:tr>
              <w:tc>
                <w:tcPr>
                  <w:tcW w:type="dxa" w:w="130"/>
                  <w:vMerge/>
                  <w:tcBorders>
                    <w:top w:val="none" w:color="000000" w:sz="4"/>
                    <w:left w:val="single" w:color="000000" w:sz="4"/>
                    <w:bottom w:val="none" w:color="000000" w:sz="4"/>
                    <w:right w:val="single" w:color="000000" w:sz="4"/>
                  </w:tcBorders>
                </w:tcPr>
                <w:p/>
              </w:tc>
              <w:tc>
                <w:tcPr>
                  <w:tcW w:type="dxa" w:w="100"/>
                  <w:vMerge/>
                  <w:tcBorders>
                    <w:top w:val="none" w:color="000000" w:sz="4"/>
                    <w:left w:val="none" w:color="000000" w:sz="4"/>
                    <w:bottom w:val="none" w:color="000000" w:sz="4"/>
                    <w:right w:val="single" w:color="000000" w:sz="4"/>
                  </w:tcBorders>
                </w:tcP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条码标签打印终端，</w:t>
                  </w:r>
                  <w:r>
                    <w:rPr>
                      <w:rFonts w:ascii="宋体" w:hAnsi="宋体" w:cs="宋体" w:eastAsia="宋体"/>
                      <w:sz w:val="22"/>
                      <w:color w:val="000000"/>
                    </w:rPr>
                    <w:t>35台。</w:t>
                  </w:r>
                </w:p>
              </w:tc>
              <w:tc>
                <w:tcPr>
                  <w:tcW w:type="dxa" w:w="1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1、产品类型：标签条码打印机；</w:t>
                  </w:r>
                </w:p>
                <w:p>
                  <w:pPr>
                    <w:pStyle w:val="null3"/>
                    <w:jc w:val="both"/>
                  </w:pPr>
                  <w:r>
                    <w:rPr>
                      <w:rFonts w:ascii="宋体" w:hAnsi="宋体" w:cs="宋体" w:eastAsia="宋体"/>
                      <w:sz w:val="22"/>
                      <w:color w:val="000000"/>
                    </w:rPr>
                    <w:t>2、分辨率≥200dpi；</w:t>
                  </w:r>
                </w:p>
                <w:p>
                  <w:pPr>
                    <w:pStyle w:val="null3"/>
                    <w:jc w:val="both"/>
                  </w:pPr>
                  <w:r>
                    <w:rPr>
                      <w:rFonts w:ascii="宋体" w:hAnsi="宋体" w:cs="宋体" w:eastAsia="宋体"/>
                      <w:sz w:val="22"/>
                      <w:color w:val="000000"/>
                    </w:rPr>
                    <w:t>3、打印方式：热敏；</w:t>
                  </w:r>
                  <w:r>
                    <w:br/>
                  </w:r>
                  <w:r>
                    <w:rPr>
                      <w:rFonts w:ascii="宋体" w:hAnsi="宋体" w:cs="宋体" w:eastAsia="宋体"/>
                      <w:sz w:val="22"/>
                      <w:color w:val="000000"/>
                    </w:rPr>
                    <w:t>4、通信接口：USB/蓝牙；</w:t>
                  </w:r>
                </w:p>
                <w:p>
                  <w:pPr>
                    <w:pStyle w:val="null3"/>
                    <w:jc w:val="both"/>
                  </w:pPr>
                  <w:r>
                    <w:rPr>
                      <w:rFonts w:ascii="宋体" w:hAnsi="宋体" w:cs="宋体" w:eastAsia="宋体"/>
                      <w:sz w:val="22"/>
                      <w:color w:val="000000"/>
                    </w:rPr>
                    <w:t>5、打印速度≥3英寸/秒；</w:t>
                  </w:r>
                </w:p>
                <w:p>
                  <w:pPr>
                    <w:pStyle w:val="null3"/>
                    <w:jc w:val="both"/>
                  </w:pPr>
                  <w:r>
                    <w:rPr>
                      <w:rFonts w:ascii="宋体" w:hAnsi="宋体" w:cs="宋体" w:eastAsia="宋体"/>
                      <w:sz w:val="22"/>
                      <w:color w:val="000000"/>
                    </w:rPr>
                    <w:t>6、最大宽度：80mm；</w:t>
                  </w:r>
                  <w:r>
                    <w:br/>
                  </w:r>
                </w:p>
              </w:tc>
            </w:tr>
            <w:tr>
              <w:tc>
                <w:tcPr>
                  <w:tcW w:type="dxa" w:w="130"/>
                  <w:vMerge/>
                  <w:tcBorders>
                    <w:top w:val="none" w:color="000000" w:sz="4"/>
                    <w:left w:val="single" w:color="000000" w:sz="4"/>
                    <w:bottom w:val="none" w:color="000000" w:sz="4"/>
                    <w:right w:val="single" w:color="000000" w:sz="4"/>
                  </w:tcBorders>
                </w:tcPr>
                <w:p/>
              </w:tc>
              <w:tc>
                <w:tcPr>
                  <w:tcW w:type="dxa" w:w="100"/>
                  <w:vMerge/>
                  <w:tcBorders>
                    <w:top w:val="none" w:color="000000" w:sz="4"/>
                    <w:left w:val="none" w:color="000000" w:sz="4"/>
                    <w:bottom w:val="none" w:color="000000" w:sz="4"/>
                    <w:right w:val="single" w:color="000000" w:sz="4"/>
                  </w:tcBorders>
                </w:tcP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库房药房配套电脑整机，</w:t>
                  </w:r>
                  <w:r>
                    <w:rPr>
                      <w:rFonts w:ascii="宋体" w:hAnsi="宋体" w:cs="宋体" w:eastAsia="宋体"/>
                      <w:sz w:val="22"/>
                      <w:color w:val="000000"/>
                    </w:rPr>
                    <w:t>10台。</w:t>
                  </w:r>
                </w:p>
              </w:tc>
              <w:tc>
                <w:tcPr>
                  <w:tcW w:type="dxa" w:w="1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1、CPU：≥1颗，核心数≥4核， 主频≥2.8GHz；</w:t>
                  </w:r>
                  <w:r>
                    <w:br/>
                  </w:r>
                  <w:r>
                    <w:rPr>
                      <w:rFonts w:ascii="宋体" w:hAnsi="宋体" w:cs="宋体" w:eastAsia="宋体"/>
                      <w:sz w:val="22"/>
                      <w:color w:val="000000"/>
                    </w:rPr>
                    <w:t>2、内存：≥8GB；</w:t>
                  </w:r>
                  <w:r>
                    <w:br/>
                  </w:r>
                  <w:r>
                    <w:rPr>
                      <w:rFonts w:ascii="宋体" w:hAnsi="宋体" w:cs="宋体" w:eastAsia="宋体"/>
                      <w:sz w:val="22"/>
                      <w:color w:val="000000"/>
                    </w:rPr>
                    <w:t xml:space="preserve">3、硬盘：1块≥128G SSD硬盘，  </w:t>
                  </w:r>
                </w:p>
                <w:p>
                  <w:pPr>
                    <w:pStyle w:val="null3"/>
                    <w:jc w:val="both"/>
                  </w:pPr>
                  <w:r>
                    <w:rPr>
                      <w:rFonts w:ascii="宋体" w:hAnsi="宋体" w:cs="宋体" w:eastAsia="宋体"/>
                      <w:sz w:val="22"/>
                      <w:color w:val="000000"/>
                    </w:rPr>
                    <w:t xml:space="preserve">  </w:t>
                  </w:r>
                  <w:r>
                    <w:rPr>
                      <w:rFonts w:ascii="宋体" w:hAnsi="宋体" w:cs="宋体" w:eastAsia="宋体"/>
                      <w:sz w:val="22"/>
                      <w:color w:val="000000"/>
                    </w:rPr>
                    <w:t>1块≥1TB 7200转硬盘；</w:t>
                  </w:r>
                  <w:r>
                    <w:br/>
                  </w:r>
                  <w:r>
                    <w:rPr>
                      <w:rFonts w:ascii="宋体" w:hAnsi="宋体" w:cs="宋体" w:eastAsia="宋体"/>
                      <w:sz w:val="22"/>
                      <w:color w:val="000000"/>
                    </w:rPr>
                    <w:t>4、网卡：1个RJ45网络接口；</w:t>
                  </w:r>
                </w:p>
                <w:p>
                  <w:pPr>
                    <w:pStyle w:val="null3"/>
                    <w:jc w:val="both"/>
                  </w:pPr>
                  <w:r>
                    <w:rPr>
                      <w:rFonts w:ascii="宋体" w:hAnsi="宋体" w:cs="宋体" w:eastAsia="宋体"/>
                      <w:sz w:val="22"/>
                      <w:color w:val="000000"/>
                    </w:rPr>
                    <w:t>5、显示屏尺寸：≥23.8吋；</w:t>
                  </w:r>
                </w:p>
                <w:p>
                  <w:pPr>
                    <w:pStyle w:val="null3"/>
                    <w:jc w:val="both"/>
                  </w:pPr>
                  <w:r>
                    <w:rPr>
                      <w:rFonts w:ascii="宋体" w:hAnsi="宋体" w:cs="宋体" w:eastAsia="宋体"/>
                      <w:sz w:val="22"/>
                      <w:color w:val="000000"/>
                    </w:rPr>
                    <w:t>6、安装正版操作系统 ；</w:t>
                  </w:r>
                </w:p>
                <w:p>
                  <w:pPr>
                    <w:pStyle w:val="null3"/>
                    <w:jc w:val="both"/>
                  </w:pPr>
                  <w:r>
                    <w:rPr>
                      <w:rFonts w:ascii="宋体" w:hAnsi="宋体" w:cs="宋体" w:eastAsia="宋体"/>
                      <w:sz w:val="22"/>
                      <w:color w:val="000000"/>
                    </w:rPr>
                    <w:t>7、配套键盘鼠标</w:t>
                  </w:r>
                </w:p>
              </w:tc>
            </w:tr>
            <w:tr>
              <w:tc>
                <w:tcPr>
                  <w:tcW w:type="dxa" w:w="130"/>
                  <w:vMerge/>
                  <w:tcBorders>
                    <w:top w:val="none" w:color="000000" w:sz="4"/>
                    <w:left w:val="single" w:color="000000" w:sz="4"/>
                    <w:bottom w:val="none" w:color="000000" w:sz="4"/>
                    <w:right w:val="single" w:color="000000" w:sz="4"/>
                  </w:tcBorders>
                </w:tcPr>
                <w:p/>
              </w:tc>
              <w:tc>
                <w:tcPr>
                  <w:tcW w:type="dxa" w:w="100"/>
                  <w:vMerge/>
                  <w:tcBorders>
                    <w:top w:val="none" w:color="000000" w:sz="4"/>
                    <w:left w:val="none" w:color="000000" w:sz="4"/>
                    <w:bottom w:val="none" w:color="000000" w:sz="4"/>
                    <w:right w:val="single" w:color="000000" w:sz="4"/>
                  </w:tcBorders>
                </w:tcP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不干胶热敏纸标签纸，</w:t>
                  </w:r>
                  <w:r>
                    <w:rPr>
                      <w:rFonts w:ascii="宋体" w:hAnsi="宋体" w:cs="宋体" w:eastAsia="宋体"/>
                      <w:sz w:val="22"/>
                      <w:color w:val="000000"/>
                    </w:rPr>
                    <w:t>20箱。</w:t>
                  </w:r>
                </w:p>
              </w:tc>
              <w:tc>
                <w:tcPr>
                  <w:tcW w:type="dxa" w:w="1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不干胶热敏标签纸，每箱</w:t>
                  </w:r>
                  <w:r>
                    <w:rPr>
                      <w:rFonts w:ascii="宋体" w:hAnsi="宋体" w:cs="宋体" w:eastAsia="宋体"/>
                      <w:sz w:val="22"/>
                      <w:color w:val="000000"/>
                    </w:rPr>
                    <w:t>5000张；</w:t>
                  </w:r>
                </w:p>
              </w:tc>
            </w:tr>
            <w:tr>
              <w:tc>
                <w:tcPr>
                  <w:tcW w:type="dxa" w:w="130"/>
                  <w:vMerge/>
                  <w:tcBorders>
                    <w:top w:val="none" w:color="000000" w:sz="4"/>
                    <w:left w:val="single" w:color="000000" w:sz="4"/>
                    <w:bottom w:val="none" w:color="000000" w:sz="4"/>
                    <w:right w:val="single" w:color="000000" w:sz="4"/>
                  </w:tcBorders>
                </w:tcPr>
                <w:p/>
              </w:tc>
              <w:tc>
                <w:tcPr>
                  <w:tcW w:type="dxa" w:w="100"/>
                  <w:vMerge/>
                  <w:tcBorders>
                    <w:top w:val="none" w:color="000000" w:sz="4"/>
                    <w:left w:val="none" w:color="000000" w:sz="4"/>
                    <w:bottom w:val="none" w:color="000000" w:sz="4"/>
                    <w:right w:val="single" w:color="000000" w:sz="4"/>
                  </w:tcBorders>
                </w:tcP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有源声光电标签</w:t>
                  </w:r>
                  <w:r>
                    <w:rPr>
                      <w:rFonts w:ascii="宋体" w:hAnsi="宋体" w:cs="宋体" w:eastAsia="宋体"/>
                      <w:sz w:val="22"/>
                      <w:color w:val="000000"/>
                    </w:rPr>
                    <w:t>1500个。</w:t>
                  </w:r>
                </w:p>
              </w:tc>
              <w:tc>
                <w:tcPr>
                  <w:tcW w:type="dxa" w:w="1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1、电池容量≥1900mAh；</w:t>
                  </w:r>
                </w:p>
                <w:p>
                  <w:pPr>
                    <w:pStyle w:val="null3"/>
                    <w:jc w:val="both"/>
                  </w:pPr>
                  <w:r>
                    <w:rPr>
                      <w:rFonts w:ascii="宋体" w:hAnsi="宋体" w:cs="宋体" w:eastAsia="宋体"/>
                      <w:sz w:val="24"/>
                      <w:color w:val="000000"/>
                    </w:rPr>
                    <w:t>2、续航≥3000次提醒；</w:t>
                  </w:r>
                </w:p>
                <w:p>
                  <w:pPr>
                    <w:pStyle w:val="null3"/>
                    <w:jc w:val="both"/>
                  </w:pPr>
                  <w:r>
                    <w:rPr>
                      <w:rFonts w:ascii="宋体" w:hAnsi="宋体" w:cs="宋体" w:eastAsia="宋体"/>
                      <w:sz w:val="24"/>
                      <w:color w:val="000000"/>
                    </w:rPr>
                    <w:t>3、蜂鸣器：10厘米处声压≥60dB</w:t>
                  </w:r>
                </w:p>
                <w:p>
                  <w:pPr>
                    <w:pStyle w:val="null3"/>
                    <w:jc w:val="both"/>
                  </w:pPr>
                  <w:r>
                    <w:rPr>
                      <w:rFonts w:ascii="宋体" w:hAnsi="宋体" w:cs="宋体" w:eastAsia="宋体"/>
                      <w:sz w:val="24"/>
                      <w:color w:val="000000"/>
                    </w:rPr>
                    <w:t>4、LED支持红黄蓝三色提醒；</w:t>
                  </w:r>
                </w:p>
                <w:p>
                  <w:pPr>
                    <w:pStyle w:val="null3"/>
                    <w:jc w:val="both"/>
                  </w:pPr>
                  <w:r>
                    <w:rPr>
                      <w:rFonts w:ascii="宋体" w:hAnsi="宋体" w:cs="宋体" w:eastAsia="宋体"/>
                      <w:sz w:val="24"/>
                      <w:color w:val="000000"/>
                    </w:rPr>
                    <w:t>5、支持蜂鸣声音提醒、闪灯提醒；</w:t>
                  </w:r>
                </w:p>
                <w:p>
                  <w:pPr>
                    <w:pStyle w:val="null3"/>
                    <w:jc w:val="both"/>
                  </w:pPr>
                  <w:r>
                    <w:rPr>
                      <w:rFonts w:ascii="宋体" w:hAnsi="宋体" w:cs="宋体" w:eastAsia="宋体"/>
                      <w:sz w:val="24"/>
                      <w:color w:val="000000"/>
                    </w:rPr>
                    <w:t>6、电池可更换，单独防水仓，低电量/电压报警；</w:t>
                  </w:r>
                </w:p>
              </w:tc>
            </w:tr>
            <w:tr>
              <w:tc>
                <w:tcPr>
                  <w:tcW w:type="dxa" w:w="130"/>
                  <w:vMerge/>
                  <w:tcBorders>
                    <w:top w:val="none" w:color="000000" w:sz="4"/>
                    <w:left w:val="single" w:color="000000" w:sz="4"/>
                    <w:bottom w:val="none" w:color="000000" w:sz="4"/>
                    <w:right w:val="single" w:color="000000" w:sz="4"/>
                  </w:tcBorders>
                </w:tcPr>
                <w:p/>
              </w:tc>
              <w:tc>
                <w:tcPr>
                  <w:tcW w:type="dxa" w:w="100"/>
                  <w:vMerge/>
                  <w:tcBorders>
                    <w:top w:val="none" w:color="000000" w:sz="4"/>
                    <w:left w:val="none" w:color="000000" w:sz="4"/>
                    <w:bottom w:val="none" w:color="000000" w:sz="4"/>
                    <w:right w:val="single" w:color="000000" w:sz="4"/>
                  </w:tcBorders>
                </w:tcP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有源标签读卡器</w:t>
                  </w:r>
                  <w:r>
                    <w:rPr>
                      <w:rFonts w:ascii="宋体" w:hAnsi="宋体" w:cs="宋体" w:eastAsia="宋体"/>
                      <w:sz w:val="22"/>
                      <w:color w:val="000000"/>
                    </w:rPr>
                    <w:t>8个。</w:t>
                  </w:r>
                </w:p>
              </w:tc>
              <w:tc>
                <w:tcPr>
                  <w:tcW w:type="dxa" w:w="1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1、识别距离：≥30米；</w:t>
                  </w:r>
                </w:p>
                <w:p>
                  <w:pPr>
                    <w:pStyle w:val="null3"/>
                    <w:jc w:val="both"/>
                  </w:pPr>
                  <w:r>
                    <w:rPr>
                      <w:rFonts w:ascii="宋体" w:hAnsi="宋体" w:cs="宋体" w:eastAsia="宋体"/>
                      <w:sz w:val="24"/>
                      <w:color w:val="000000"/>
                    </w:rPr>
                    <w:t>2、识别速度：≤3秒/个；</w:t>
                  </w:r>
                </w:p>
                <w:p>
                  <w:pPr>
                    <w:pStyle w:val="null3"/>
                    <w:jc w:val="both"/>
                  </w:pPr>
                  <w:r>
                    <w:rPr>
                      <w:rFonts w:ascii="宋体" w:hAnsi="宋体" w:cs="宋体" w:eastAsia="宋体"/>
                      <w:sz w:val="24"/>
                      <w:color w:val="000000"/>
                    </w:rPr>
                    <w:t>3、识别能力：同时识别标签数量≥200张标签；</w:t>
                  </w:r>
                </w:p>
                <w:p>
                  <w:pPr>
                    <w:pStyle w:val="null3"/>
                    <w:jc w:val="both"/>
                  </w:pPr>
                  <w:r>
                    <w:rPr>
                      <w:rFonts w:ascii="宋体" w:hAnsi="宋体" w:cs="宋体" w:eastAsia="宋体"/>
                      <w:sz w:val="24"/>
                      <w:color w:val="000000"/>
                    </w:rPr>
                    <w:t>4、识别角度：全向；</w:t>
                  </w:r>
                </w:p>
                <w:p>
                  <w:pPr>
                    <w:pStyle w:val="null3"/>
                    <w:jc w:val="both"/>
                  </w:pPr>
                  <w:r>
                    <w:rPr>
                      <w:rFonts w:ascii="宋体" w:hAnsi="宋体" w:cs="宋体" w:eastAsia="宋体"/>
                      <w:sz w:val="24"/>
                      <w:color w:val="000000"/>
                    </w:rPr>
                    <w:t>5、工作频段：2.4GHz—2.458GHz；</w:t>
                  </w:r>
                </w:p>
                <w:p>
                  <w:pPr>
                    <w:pStyle w:val="null3"/>
                    <w:jc w:val="both"/>
                  </w:pPr>
                  <w:r>
                    <w:rPr>
                      <w:rFonts w:ascii="宋体" w:hAnsi="宋体" w:cs="宋体" w:eastAsia="宋体"/>
                      <w:sz w:val="24"/>
                      <w:color w:val="000000"/>
                    </w:rPr>
                    <w:t>6、接口标准：RS485、RJ45、Wifi等可选；</w:t>
                  </w:r>
                </w:p>
                <w:p>
                  <w:pPr>
                    <w:pStyle w:val="null3"/>
                    <w:jc w:val="both"/>
                  </w:pPr>
                  <w:r>
                    <w:rPr>
                      <w:rFonts w:ascii="宋体" w:hAnsi="宋体" w:cs="宋体" w:eastAsia="宋体"/>
                      <w:sz w:val="24"/>
                      <w:color w:val="000000"/>
                    </w:rPr>
                    <w:t>7、支持有源声光电标签读取、主动触发数据推送提醒。</w:t>
                  </w:r>
                </w:p>
              </w:tc>
            </w:tr>
            <w:tr>
              <w:tc>
                <w:tcPr>
                  <w:tcW w:type="dxa" w:w="130"/>
                  <w:vMerge/>
                  <w:tcBorders>
                    <w:top w:val="none" w:color="000000" w:sz="4"/>
                    <w:left w:val="single" w:color="000000" w:sz="4"/>
                    <w:bottom w:val="none" w:color="000000" w:sz="4"/>
                    <w:right w:val="single" w:color="000000" w:sz="4"/>
                  </w:tcBorders>
                </w:tcPr>
                <w:p/>
              </w:tc>
              <w:tc>
                <w:tcPr>
                  <w:tcW w:type="dxa" w:w="100"/>
                  <w:vMerge/>
                  <w:tcBorders>
                    <w:top w:val="none" w:color="000000" w:sz="4"/>
                    <w:left w:val="none" w:color="000000" w:sz="4"/>
                    <w:bottom w:val="none" w:color="000000" w:sz="4"/>
                    <w:right w:val="single" w:color="000000" w:sz="4"/>
                  </w:tcBorders>
                </w:tcP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无线</w:t>
                  </w:r>
                  <w:r>
                    <w:rPr>
                      <w:rFonts w:ascii="宋体" w:hAnsi="宋体" w:cs="宋体" w:eastAsia="宋体"/>
                      <w:sz w:val="22"/>
                      <w:color w:val="000000"/>
                    </w:rPr>
                    <w:t>AP，8个</w:t>
                  </w:r>
                </w:p>
              </w:tc>
              <w:tc>
                <w:tcPr>
                  <w:tcW w:type="dxa" w:w="1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1、支持带宽：≥1000M；</w:t>
                  </w:r>
                </w:p>
                <w:p>
                  <w:pPr>
                    <w:pStyle w:val="null3"/>
                    <w:jc w:val="both"/>
                  </w:pPr>
                  <w:r>
                    <w:rPr>
                      <w:rFonts w:ascii="宋体" w:hAnsi="宋体" w:cs="宋体" w:eastAsia="宋体"/>
                      <w:sz w:val="24"/>
                      <w:color w:val="000000"/>
                    </w:rPr>
                    <w:t>2、LAN输出口：千兆网口；</w:t>
                  </w:r>
                </w:p>
                <w:p>
                  <w:pPr>
                    <w:pStyle w:val="null3"/>
                    <w:jc w:val="both"/>
                  </w:pPr>
                  <w:r>
                    <w:rPr>
                      <w:rFonts w:ascii="宋体" w:hAnsi="宋体" w:cs="宋体" w:eastAsia="宋体"/>
                      <w:sz w:val="24"/>
                      <w:color w:val="000000"/>
                    </w:rPr>
                    <w:t>3、无线速率：≥1500M；</w:t>
                  </w:r>
                </w:p>
                <w:p>
                  <w:pPr>
                    <w:pStyle w:val="null3"/>
                    <w:jc w:val="both"/>
                  </w:pPr>
                  <w:r>
                    <w:rPr>
                      <w:rFonts w:ascii="宋体" w:hAnsi="宋体" w:cs="宋体" w:eastAsia="宋体"/>
                      <w:sz w:val="24"/>
                      <w:color w:val="000000"/>
                    </w:rPr>
                    <w:t>4、适用面积：≥100㎡；</w:t>
                  </w:r>
                </w:p>
                <w:p>
                  <w:pPr>
                    <w:pStyle w:val="null3"/>
                    <w:jc w:val="both"/>
                  </w:pPr>
                  <w:r>
                    <w:rPr>
                      <w:rFonts w:ascii="宋体" w:hAnsi="宋体" w:cs="宋体" w:eastAsia="宋体"/>
                      <w:sz w:val="24"/>
                      <w:color w:val="000000"/>
                    </w:rPr>
                    <w:t>5、WAN接入口：千兆网口；</w:t>
                  </w:r>
                </w:p>
                <w:p>
                  <w:pPr>
                    <w:pStyle w:val="null3"/>
                    <w:jc w:val="both"/>
                  </w:pPr>
                  <w:r>
                    <w:rPr>
                      <w:rFonts w:ascii="宋体" w:hAnsi="宋体" w:cs="宋体" w:eastAsia="宋体"/>
                      <w:sz w:val="24"/>
                      <w:color w:val="000000"/>
                    </w:rPr>
                    <w:t>6、总带机量：≥80终端；</w:t>
                  </w:r>
                </w:p>
                <w:p>
                  <w:pPr>
                    <w:pStyle w:val="null3"/>
                    <w:jc w:val="both"/>
                  </w:pPr>
                  <w:r>
                    <w:rPr>
                      <w:rFonts w:ascii="宋体" w:hAnsi="宋体" w:cs="宋体" w:eastAsia="宋体"/>
                      <w:sz w:val="24"/>
                      <w:color w:val="000000"/>
                    </w:rPr>
                    <w:t>7、适用频段：2.4GHz+5GHz；2.4GHz；5GHz；</w:t>
                  </w:r>
                </w:p>
                <w:p>
                  <w:pPr>
                    <w:pStyle w:val="null3"/>
                    <w:jc w:val="both"/>
                  </w:pPr>
                  <w:r>
                    <w:rPr>
                      <w:rFonts w:ascii="宋体" w:hAnsi="宋体" w:cs="宋体" w:eastAsia="宋体"/>
                      <w:sz w:val="24"/>
                      <w:color w:val="000000"/>
                    </w:rPr>
                    <w:t>8、含设备部署及网络布线等工作。</w:t>
                  </w:r>
                </w:p>
              </w:tc>
            </w:tr>
            <w:tr>
              <w:tc>
                <w:tcPr>
                  <w:tcW w:type="dxa" w:w="130"/>
                  <w:vMerge/>
                  <w:tcBorders>
                    <w:top w:val="none" w:color="000000" w:sz="4"/>
                    <w:left w:val="single" w:color="000000" w:sz="4"/>
                    <w:bottom w:val="none" w:color="000000" w:sz="4"/>
                    <w:right w:val="single" w:color="000000" w:sz="4"/>
                  </w:tcBorders>
                </w:tcPr>
                <w:p/>
              </w:tc>
              <w:tc>
                <w:tcPr>
                  <w:tcW w:type="dxa" w:w="100"/>
                  <w:vMerge/>
                  <w:tcBorders>
                    <w:top w:val="none" w:color="000000" w:sz="4"/>
                    <w:left w:val="none" w:color="000000" w:sz="4"/>
                    <w:bottom w:val="none" w:color="000000" w:sz="4"/>
                    <w:right w:val="single" w:color="000000" w:sz="4"/>
                  </w:tcBorders>
                </w:tcP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中药房显示大屏，</w:t>
                  </w:r>
                  <w:r>
                    <w:rPr>
                      <w:rFonts w:ascii="宋体" w:hAnsi="宋体" w:cs="宋体" w:eastAsia="宋体"/>
                      <w:sz w:val="22"/>
                      <w:color w:val="000000"/>
                    </w:rPr>
                    <w:t>3台。</w:t>
                  </w:r>
                </w:p>
              </w:tc>
              <w:tc>
                <w:tcPr>
                  <w:tcW w:type="dxa" w:w="1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1、显示类型：LED显示；</w:t>
                  </w:r>
                </w:p>
                <w:p>
                  <w:pPr>
                    <w:pStyle w:val="null3"/>
                    <w:jc w:val="both"/>
                  </w:pPr>
                  <w:r>
                    <w:rPr>
                      <w:rFonts w:ascii="宋体" w:hAnsi="宋体" w:cs="宋体" w:eastAsia="宋体"/>
                      <w:sz w:val="24"/>
                      <w:color w:val="000000"/>
                    </w:rPr>
                    <w:t>2、屏幕分辨率：超高清4K；</w:t>
                  </w:r>
                </w:p>
                <w:p>
                  <w:pPr>
                    <w:pStyle w:val="null3"/>
                    <w:jc w:val="both"/>
                  </w:pPr>
                  <w:r>
                    <w:rPr>
                      <w:rFonts w:ascii="宋体" w:hAnsi="宋体" w:cs="宋体" w:eastAsia="宋体"/>
                      <w:sz w:val="24"/>
                      <w:color w:val="000000"/>
                    </w:rPr>
                    <w:t>3、系统：安卓系统；</w:t>
                  </w:r>
                </w:p>
                <w:p>
                  <w:pPr>
                    <w:pStyle w:val="null3"/>
                    <w:jc w:val="both"/>
                  </w:pPr>
                  <w:r>
                    <w:rPr>
                      <w:rFonts w:ascii="宋体" w:hAnsi="宋体" w:cs="宋体" w:eastAsia="宋体"/>
                      <w:sz w:val="24"/>
                      <w:color w:val="000000"/>
                    </w:rPr>
                    <w:t>4、尺寸：≥70英寸；</w:t>
                  </w:r>
                </w:p>
                <w:p>
                  <w:pPr>
                    <w:pStyle w:val="null3"/>
                    <w:jc w:val="both"/>
                  </w:pPr>
                  <w:r>
                    <w:rPr>
                      <w:rFonts w:ascii="宋体" w:hAnsi="宋体" w:cs="宋体" w:eastAsia="宋体"/>
                      <w:sz w:val="24"/>
                      <w:color w:val="000000"/>
                    </w:rPr>
                    <w:t>5、内存：≥4GB；</w:t>
                  </w:r>
                </w:p>
                <w:p>
                  <w:pPr>
                    <w:pStyle w:val="null3"/>
                    <w:jc w:val="both"/>
                  </w:pPr>
                  <w:r>
                    <w:rPr>
                      <w:rFonts w:ascii="宋体" w:hAnsi="宋体" w:cs="宋体" w:eastAsia="宋体"/>
                      <w:sz w:val="24"/>
                      <w:color w:val="000000"/>
                    </w:rPr>
                    <w:t>6、存储：≥64GB；</w:t>
                  </w:r>
                </w:p>
                <w:p>
                  <w:pPr>
                    <w:pStyle w:val="null3"/>
                    <w:jc w:val="both"/>
                  </w:pPr>
                  <w:r>
                    <w:rPr>
                      <w:rFonts w:ascii="宋体" w:hAnsi="宋体" w:cs="宋体" w:eastAsia="宋体"/>
                      <w:sz w:val="24"/>
                      <w:color w:val="000000"/>
                    </w:rPr>
                    <w:t>7、工作电压：220V</w:t>
                  </w:r>
                </w:p>
                <w:p>
                  <w:pPr>
                    <w:pStyle w:val="null3"/>
                    <w:jc w:val="both"/>
                  </w:pPr>
                  <w:r>
                    <w:rPr>
                      <w:rFonts w:ascii="宋体" w:hAnsi="宋体" w:cs="宋体" w:eastAsia="宋体"/>
                      <w:sz w:val="24"/>
                      <w:color w:val="000000"/>
                    </w:rPr>
                    <w:t>8、USB3.0接口数≥1个；</w:t>
                  </w:r>
                </w:p>
                <w:p>
                  <w:pPr>
                    <w:pStyle w:val="null3"/>
                    <w:jc w:val="both"/>
                  </w:pPr>
                  <w:r>
                    <w:rPr>
                      <w:rFonts w:ascii="宋体" w:hAnsi="宋体" w:cs="宋体" w:eastAsia="宋体"/>
                      <w:sz w:val="24"/>
                      <w:color w:val="000000"/>
                    </w:rPr>
                    <w:t>9、HDMI2.1接口数≥3个；</w:t>
                  </w:r>
                </w:p>
                <w:p>
                  <w:pPr>
                    <w:pStyle w:val="null3"/>
                    <w:jc w:val="both"/>
                  </w:pPr>
                  <w:r>
                    <w:rPr>
                      <w:rFonts w:ascii="宋体" w:hAnsi="宋体" w:cs="宋体" w:eastAsia="宋体"/>
                      <w:sz w:val="24"/>
                      <w:color w:val="000000"/>
                    </w:rPr>
                    <w:t>10、USB2.0接口数≥1个；</w:t>
                  </w:r>
                </w:p>
                <w:p>
                  <w:pPr>
                    <w:pStyle w:val="null3"/>
                    <w:jc w:val="both"/>
                  </w:pPr>
                  <w:r>
                    <w:rPr>
                      <w:rFonts w:ascii="宋体" w:hAnsi="宋体" w:cs="宋体" w:eastAsia="宋体"/>
                      <w:sz w:val="24"/>
                      <w:color w:val="000000"/>
                    </w:rPr>
                    <w:t>11、连接方式：无线/有线；</w:t>
                  </w:r>
                </w:p>
                <w:p>
                  <w:pPr>
                    <w:pStyle w:val="null3"/>
                    <w:jc w:val="both"/>
                  </w:pPr>
                  <w:r>
                    <w:rPr>
                      <w:rFonts w:ascii="宋体" w:hAnsi="宋体" w:cs="宋体" w:eastAsia="宋体"/>
                      <w:sz w:val="24"/>
                      <w:color w:val="000000"/>
                    </w:rPr>
                    <w:t>12、安装方式：壁挂式</w:t>
                  </w:r>
                  <w:r>
                    <w:rPr>
                      <w:rFonts w:ascii="宋体" w:hAnsi="宋体" w:cs="宋体" w:eastAsia="宋体"/>
                      <w:sz w:val="24"/>
                      <w:color w:val="000000"/>
                    </w:rPr>
                    <w:t>或</w:t>
                  </w:r>
                  <w:r>
                    <w:rPr>
                      <w:rFonts w:ascii="宋体" w:hAnsi="宋体" w:cs="宋体" w:eastAsia="宋体"/>
                      <w:sz w:val="24"/>
                      <w:color w:val="000000"/>
                    </w:rPr>
                    <w:t>吊装式</w:t>
                  </w:r>
                </w:p>
              </w:tc>
            </w:tr>
          </w:tbl>
          <w:p/>
        </w:tc>
      </w:tr>
      <w:tr>
        <w:tc>
          <w:tcPr>
            <w:tcW w:type="dxa" w:w="2769"/>
          </w:tcPr>
          <w:p/>
        </w:tc>
        <w:tc>
          <w:tcPr>
            <w:tcW w:type="dxa" w:w="2769"/>
          </w:tcPr>
          <w:p>
            <w:pPr>
              <w:pStyle w:val="null3"/>
            </w:pPr>
            <w:r>
              <w:rPr/>
              <w:t>3</w:t>
            </w:r>
          </w:p>
        </w:tc>
        <w:tc>
          <w:tcPr>
            <w:tcW w:type="dxa" w:w="2769"/>
          </w:tcPr>
          <w:p>
            <w:pPr>
              <w:pStyle w:val="null3"/>
              <w:ind w:left="315"/>
              <w:jc w:val="both"/>
            </w:pPr>
            <w:r>
              <w:rPr>
                <w:rFonts w:ascii="黑体" w:hAnsi="黑体" w:cs="黑体" w:eastAsia="黑体"/>
                <w:sz w:val="28"/>
              </w:rPr>
              <w:t>三、</w:t>
            </w:r>
            <w:r>
              <w:rPr>
                <w:rFonts w:ascii="黑体" w:hAnsi="黑体" w:cs="黑体" w:eastAsia="黑体"/>
                <w:sz w:val="28"/>
              </w:rPr>
              <w:t>主要技术要求</w:t>
            </w:r>
          </w:p>
          <w:p>
            <w:pPr>
              <w:pStyle w:val="null3"/>
              <w:ind w:firstLine="562"/>
              <w:jc w:val="both"/>
            </w:pPr>
            <w:r>
              <w:rPr>
                <w:rFonts w:ascii="楷体_gb2312" w:hAnsi="楷体_gb2312" w:cs="楷体_gb2312" w:eastAsia="楷体_gb2312"/>
                <w:sz w:val="28"/>
                <w:b/>
                <w:color w:val="000000"/>
              </w:rPr>
              <w:t>（一）</w:t>
            </w:r>
            <w:r>
              <w:rPr>
                <w:rFonts w:ascii="楷体_gb2312" w:hAnsi="楷体_gb2312" w:cs="楷体_gb2312" w:eastAsia="楷体_gb2312"/>
                <w:sz w:val="28"/>
                <w:b/>
                <w:color w:val="000000"/>
              </w:rPr>
              <w:t>总体要求</w:t>
            </w:r>
          </w:p>
          <w:p>
            <w:pPr>
              <w:pStyle w:val="null3"/>
              <w:ind w:firstLine="560"/>
              <w:jc w:val="both"/>
            </w:pPr>
            <w:r>
              <w:rPr>
                <w:rFonts w:ascii="calibri" w:hAnsi="calibri" w:cs="calibri" w:eastAsia="calibri"/>
                <w:sz w:val="28"/>
                <w:color w:val="000000"/>
              </w:rPr>
              <w:t>1</w:t>
            </w:r>
            <w:r>
              <w:rPr>
                <w:rFonts w:ascii="宋体" w:hAnsi="宋体" w:cs="宋体" w:eastAsia="宋体"/>
                <w:sz w:val="28"/>
                <w:color w:val="000000"/>
              </w:rPr>
              <w:t>、保证技术的先进性。以开放的标准为基础，采用国际上成熟的、先进的、具有多厂商广泛支持的软件产品和技术来实现，分布式部署解决方案。</w:t>
            </w:r>
          </w:p>
          <w:p>
            <w:pPr>
              <w:pStyle w:val="null3"/>
              <w:ind w:firstLine="560"/>
              <w:jc w:val="both"/>
            </w:pPr>
            <w:r>
              <w:rPr>
                <w:rFonts w:ascii="calibri" w:hAnsi="calibri" w:cs="calibri" w:eastAsia="calibri"/>
                <w:sz w:val="28"/>
                <w:color w:val="000000"/>
              </w:rPr>
              <w:t>2</w:t>
            </w:r>
            <w:r>
              <w:rPr>
                <w:rFonts w:ascii="宋体" w:hAnsi="宋体" w:cs="宋体" w:eastAsia="宋体"/>
                <w:sz w:val="28"/>
                <w:color w:val="000000"/>
              </w:rPr>
              <w:t>、具备良好的可维护性。整个系统架构留有接口，最大可能地支持各种业务管理系统的信息交换需求。具有平滑升级的能力，以适应将来工程规模拓展的需要。</w:t>
            </w:r>
          </w:p>
          <w:p>
            <w:pPr>
              <w:pStyle w:val="null3"/>
              <w:ind w:firstLine="560"/>
              <w:jc w:val="both"/>
            </w:pPr>
            <w:r>
              <w:rPr>
                <w:rFonts w:ascii="calibri" w:hAnsi="calibri" w:cs="calibri" w:eastAsia="calibri"/>
                <w:sz w:val="28"/>
                <w:color w:val="000000"/>
              </w:rPr>
              <w:t>3</w:t>
            </w:r>
            <w:r>
              <w:rPr>
                <w:rFonts w:ascii="宋体" w:hAnsi="宋体" w:cs="宋体" w:eastAsia="宋体"/>
                <w:sz w:val="28"/>
                <w:color w:val="000000"/>
              </w:rPr>
              <w:t>、最大程度地体现友好性。整个系统易于管理，易于维护，操作简单，易学，易用，便于进行系统配置，在设备、安全性、数据流量、性能等方面得到很好的监视和控制。</w:t>
            </w:r>
          </w:p>
          <w:p>
            <w:pPr>
              <w:pStyle w:val="null3"/>
              <w:ind w:firstLine="562"/>
              <w:jc w:val="both"/>
            </w:pPr>
            <w:r>
              <w:rPr>
                <w:rFonts w:ascii="楷体_gb2312" w:hAnsi="楷体_gb2312" w:cs="楷体_gb2312" w:eastAsia="楷体_gb2312"/>
                <w:sz w:val="28"/>
                <w:b/>
                <w:color w:val="000000"/>
              </w:rPr>
              <w:t>（二）</w:t>
            </w:r>
            <w:r>
              <w:rPr>
                <w:rFonts w:ascii="楷体_gb2312" w:hAnsi="楷体_gb2312" w:cs="楷体_gb2312" w:eastAsia="楷体_gb2312"/>
                <w:sz w:val="28"/>
                <w:b/>
                <w:color w:val="000000"/>
              </w:rPr>
              <w:t>使用环境要求</w:t>
            </w:r>
          </w:p>
          <w:p>
            <w:pPr>
              <w:pStyle w:val="null3"/>
              <w:ind w:firstLine="560"/>
              <w:jc w:val="both"/>
            </w:pPr>
            <w:r>
              <w:rPr>
                <w:rFonts w:ascii="宋体" w:hAnsi="宋体" w:cs="宋体" w:eastAsia="宋体"/>
                <w:sz w:val="28"/>
                <w:color w:val="000000"/>
              </w:rPr>
              <w:t>支持当前主流操作系统，支持当前主流浏览器如</w:t>
            </w:r>
            <w:r>
              <w:rPr>
                <w:rFonts w:ascii="calibri" w:hAnsi="calibri" w:cs="calibri" w:eastAsia="calibri"/>
                <w:sz w:val="28"/>
                <w:color w:val="000000"/>
              </w:rPr>
              <w:t>IE/Edge</w:t>
            </w:r>
            <w:r>
              <w:rPr>
                <w:rFonts w:ascii="宋体" w:hAnsi="宋体" w:cs="宋体" w:eastAsia="宋体"/>
                <w:sz w:val="28"/>
                <w:color w:val="000000"/>
              </w:rPr>
              <w:t>、谷歌、</w:t>
            </w:r>
            <w:r>
              <w:rPr>
                <w:rFonts w:ascii="calibri" w:hAnsi="calibri" w:cs="calibri" w:eastAsia="calibri"/>
                <w:sz w:val="28"/>
                <w:color w:val="000000"/>
              </w:rPr>
              <w:t>360</w:t>
            </w:r>
            <w:r>
              <w:rPr>
                <w:rFonts w:ascii="宋体" w:hAnsi="宋体" w:cs="宋体" w:eastAsia="宋体"/>
                <w:sz w:val="28"/>
                <w:color w:val="000000"/>
              </w:rPr>
              <w:t>浏览器等。</w:t>
            </w:r>
          </w:p>
          <w:p>
            <w:pPr>
              <w:pStyle w:val="null3"/>
              <w:ind w:firstLine="562"/>
              <w:jc w:val="both"/>
            </w:pPr>
            <w:r>
              <w:rPr>
                <w:rFonts w:ascii="楷体_gb2312" w:hAnsi="楷体_gb2312" w:cs="楷体_gb2312" w:eastAsia="楷体_gb2312"/>
                <w:sz w:val="28"/>
                <w:b/>
                <w:color w:val="000000"/>
              </w:rPr>
              <w:t>（三）</w:t>
            </w:r>
            <w:r>
              <w:rPr>
                <w:rFonts w:ascii="楷体_gb2312" w:hAnsi="楷体_gb2312" w:cs="楷体_gb2312" w:eastAsia="楷体_gb2312"/>
                <w:sz w:val="28"/>
                <w:b/>
                <w:color w:val="000000"/>
              </w:rPr>
              <w:t>软件架构</w:t>
            </w:r>
          </w:p>
          <w:p>
            <w:pPr>
              <w:pStyle w:val="null3"/>
              <w:ind w:firstLine="560"/>
              <w:jc w:val="both"/>
            </w:pPr>
            <w:r>
              <w:rPr>
                <w:rFonts w:ascii="calibri" w:hAnsi="calibri" w:cs="calibri" w:eastAsia="calibri"/>
                <w:sz w:val="28"/>
                <w:color w:val="000000"/>
              </w:rPr>
              <w:t>1.</w:t>
            </w:r>
            <w:r>
              <w:rPr>
                <w:rFonts w:ascii="宋体" w:hAnsi="宋体" w:cs="宋体" w:eastAsia="宋体"/>
                <w:sz w:val="28"/>
                <w:color w:val="000000"/>
              </w:rPr>
              <w:t xml:space="preserve">系统采用 </w:t>
            </w:r>
            <w:r>
              <w:rPr>
                <w:rFonts w:ascii="calibri" w:hAnsi="calibri" w:cs="calibri" w:eastAsia="calibri"/>
                <w:sz w:val="28"/>
                <w:color w:val="000000"/>
              </w:rPr>
              <w:t xml:space="preserve">B/S </w:t>
            </w:r>
            <w:r>
              <w:rPr>
                <w:rFonts w:ascii="宋体" w:hAnsi="宋体" w:cs="宋体" w:eastAsia="宋体"/>
                <w:sz w:val="28"/>
                <w:color w:val="000000"/>
              </w:rPr>
              <w:t>架构</w:t>
            </w:r>
            <w:r>
              <w:rPr>
                <w:rFonts w:ascii="calibri" w:hAnsi="calibri" w:cs="calibri" w:eastAsia="calibri"/>
                <w:sz w:val="28"/>
                <w:color w:val="000000"/>
              </w:rPr>
              <w:t>;</w:t>
            </w:r>
            <w:r>
              <w:rPr>
                <w:rFonts w:ascii="宋体" w:hAnsi="宋体" w:cs="宋体" w:eastAsia="宋体"/>
                <w:sz w:val="28"/>
                <w:color w:val="000000"/>
              </w:rPr>
              <w:t>软件架构要求具备开放性，提供完整规范的开发接口，能够满足主流平台和跨平台快速应用开发的需求。</w:t>
            </w:r>
          </w:p>
          <w:p>
            <w:pPr>
              <w:pStyle w:val="null3"/>
              <w:ind w:firstLine="562"/>
              <w:jc w:val="both"/>
            </w:pPr>
            <w:r>
              <w:rPr>
                <w:rFonts w:ascii="楷体_gb2312" w:hAnsi="楷体_gb2312" w:cs="楷体_gb2312" w:eastAsia="楷体_gb2312"/>
                <w:sz w:val="28"/>
                <w:b/>
                <w:color w:val="000000"/>
              </w:rPr>
              <w:t>（四）</w:t>
            </w:r>
            <w:r>
              <w:rPr>
                <w:rFonts w:ascii="楷体_gb2312" w:hAnsi="楷体_gb2312" w:cs="楷体_gb2312" w:eastAsia="楷体_gb2312"/>
                <w:sz w:val="28"/>
                <w:b/>
                <w:color w:val="000000"/>
              </w:rPr>
              <w:t>软件平台</w:t>
            </w:r>
          </w:p>
          <w:p>
            <w:pPr>
              <w:pStyle w:val="null3"/>
              <w:ind w:firstLine="560"/>
              <w:jc w:val="both"/>
            </w:pPr>
            <w:r>
              <w:rPr>
                <w:rFonts w:ascii="宋体" w:hAnsi="宋体" w:cs="宋体" w:eastAsia="宋体"/>
                <w:sz w:val="28"/>
              </w:rPr>
              <w:t>本地化部署，</w:t>
            </w:r>
            <w:r>
              <w:rPr>
                <w:rFonts w:ascii="宋体" w:hAnsi="宋体" w:cs="宋体" w:eastAsia="宋体"/>
                <w:sz w:val="28"/>
                <w:color w:val="000000"/>
              </w:rPr>
              <w:t>支持目前主流的各类操作系统环境：包括</w:t>
            </w:r>
            <w:r>
              <w:rPr>
                <w:rFonts w:ascii="calibri" w:hAnsi="calibri" w:cs="calibri" w:eastAsia="calibri"/>
                <w:sz w:val="28"/>
                <w:color w:val="000000"/>
              </w:rPr>
              <w:t>Windows Server</w:t>
            </w:r>
            <w:r>
              <w:rPr>
                <w:rFonts w:ascii="宋体" w:hAnsi="宋体" w:cs="宋体" w:eastAsia="宋体"/>
                <w:sz w:val="28"/>
                <w:color w:val="000000"/>
              </w:rPr>
              <w:t xml:space="preserve">， </w:t>
            </w:r>
            <w:r>
              <w:rPr>
                <w:rFonts w:ascii="calibri" w:hAnsi="calibri" w:cs="calibri" w:eastAsia="calibri"/>
                <w:sz w:val="28"/>
                <w:color w:val="000000"/>
              </w:rPr>
              <w:t>Linux</w:t>
            </w:r>
            <w:r>
              <w:rPr>
                <w:rFonts w:ascii="宋体" w:hAnsi="宋体" w:cs="宋体" w:eastAsia="宋体"/>
                <w:sz w:val="28"/>
                <w:color w:val="000000"/>
              </w:rPr>
              <w:t>、麒麟、龙蜥</w:t>
            </w:r>
            <w:r>
              <w:rPr>
                <w:rFonts w:ascii="calibri" w:hAnsi="calibri" w:cs="calibri" w:eastAsia="calibri"/>
                <w:sz w:val="28"/>
                <w:color w:val="000000"/>
              </w:rPr>
              <w:t>Anolis</w:t>
            </w:r>
            <w:r>
              <w:rPr>
                <w:rFonts w:ascii="宋体" w:hAnsi="宋体" w:cs="宋体" w:eastAsia="宋体"/>
                <w:sz w:val="28"/>
                <w:color w:val="000000"/>
              </w:rPr>
              <w:t>等主流系统</w:t>
            </w:r>
            <w:r>
              <w:rPr>
                <w:rFonts w:ascii="calibri" w:hAnsi="calibri" w:cs="calibri" w:eastAsia="calibri"/>
                <w:sz w:val="28"/>
                <w:color w:val="000000"/>
              </w:rPr>
              <w:t>;</w:t>
            </w:r>
            <w:r>
              <w:rPr>
                <w:rFonts w:ascii="宋体" w:hAnsi="宋体" w:cs="宋体" w:eastAsia="宋体"/>
                <w:sz w:val="28"/>
                <w:color w:val="000000"/>
              </w:rPr>
              <w:t xml:space="preserve">支持当前主流 </w:t>
            </w:r>
            <w:r>
              <w:rPr>
                <w:rFonts w:ascii="calibri" w:hAnsi="calibri" w:cs="calibri" w:eastAsia="calibri"/>
                <w:sz w:val="28"/>
                <w:color w:val="000000"/>
              </w:rPr>
              <w:t xml:space="preserve">web </w:t>
            </w:r>
            <w:r>
              <w:rPr>
                <w:rFonts w:ascii="宋体" w:hAnsi="宋体" w:cs="宋体" w:eastAsia="宋体"/>
                <w:sz w:val="28"/>
                <w:color w:val="000000"/>
              </w:rPr>
              <w:t>服务器</w:t>
            </w:r>
            <w:r>
              <w:rPr>
                <w:rFonts w:ascii="calibri" w:hAnsi="calibri" w:cs="calibri" w:eastAsia="calibri"/>
                <w:sz w:val="28"/>
                <w:color w:val="000000"/>
              </w:rPr>
              <w:t>;</w:t>
            </w:r>
            <w:r>
              <w:rPr>
                <w:rFonts w:ascii="宋体" w:hAnsi="宋体" w:cs="宋体" w:eastAsia="宋体"/>
                <w:sz w:val="28"/>
                <w:color w:val="000000"/>
              </w:rPr>
              <w:t>采用当前主流的数据库，需具备良好的数据和索引压缩技术，有较强的并发、容错能力，支持分布式部署，有较强的可移植性和可扩展性。</w:t>
            </w:r>
          </w:p>
          <w:p>
            <w:pPr>
              <w:pStyle w:val="null3"/>
              <w:ind w:firstLine="562"/>
              <w:jc w:val="both"/>
            </w:pPr>
            <w:r>
              <w:rPr>
                <w:rFonts w:ascii="楷体_gb2312" w:hAnsi="楷体_gb2312" w:cs="楷体_gb2312" w:eastAsia="楷体_gb2312"/>
                <w:sz w:val="28"/>
                <w:b/>
                <w:color w:val="000000"/>
              </w:rPr>
              <w:t>（五）</w:t>
            </w:r>
            <w:r>
              <w:rPr>
                <w:rFonts w:ascii="楷体_gb2312" w:hAnsi="楷体_gb2312" w:cs="楷体_gb2312" w:eastAsia="楷体_gb2312"/>
                <w:sz w:val="28"/>
                <w:b/>
                <w:color w:val="000000"/>
              </w:rPr>
              <w:t>数据要求</w:t>
            </w:r>
          </w:p>
          <w:p>
            <w:pPr>
              <w:pStyle w:val="null3"/>
              <w:ind w:firstLine="560"/>
              <w:jc w:val="both"/>
            </w:pPr>
            <w:r>
              <w:rPr>
                <w:rFonts w:ascii="宋体" w:hAnsi="宋体" w:cs="宋体" w:eastAsia="宋体"/>
                <w:sz w:val="28"/>
                <w:color w:val="000000"/>
              </w:rPr>
              <w:t xml:space="preserve"> </w:t>
            </w:r>
            <w:r>
              <w:rPr>
                <w:rFonts w:ascii="宋体" w:hAnsi="宋体" w:cs="宋体" w:eastAsia="宋体"/>
                <w:sz w:val="28"/>
                <w:color w:val="000000"/>
              </w:rPr>
              <w:t>有良好的数据库灾备解决方案。</w:t>
            </w:r>
          </w:p>
          <w:p>
            <w:pPr>
              <w:pStyle w:val="null3"/>
              <w:ind w:firstLine="562"/>
              <w:jc w:val="both"/>
            </w:pPr>
            <w:r>
              <w:rPr>
                <w:rFonts w:ascii="楷体_gb2312" w:hAnsi="楷体_gb2312" w:cs="楷体_gb2312" w:eastAsia="楷体_gb2312"/>
                <w:sz w:val="28"/>
                <w:b/>
                <w:color w:val="000000"/>
              </w:rPr>
              <w:t>（六）</w:t>
            </w:r>
            <w:r>
              <w:rPr>
                <w:rFonts w:ascii="楷体_gb2312" w:hAnsi="楷体_gb2312" w:cs="楷体_gb2312" w:eastAsia="楷体_gb2312"/>
                <w:sz w:val="28"/>
                <w:b/>
                <w:color w:val="000000"/>
              </w:rPr>
              <w:t>性能要求</w:t>
            </w:r>
          </w:p>
          <w:p>
            <w:pPr>
              <w:pStyle w:val="null3"/>
              <w:ind w:firstLine="560"/>
              <w:jc w:val="both"/>
            </w:pPr>
            <w:r>
              <w:rPr>
                <w:rFonts w:ascii="calibri" w:hAnsi="calibri" w:cs="calibri" w:eastAsia="calibri"/>
                <w:sz w:val="28"/>
              </w:rPr>
              <w:t>1)</w:t>
            </w:r>
            <w:r>
              <w:rPr>
                <w:rFonts w:ascii="宋体" w:hAnsi="宋体" w:cs="宋体" w:eastAsia="宋体"/>
                <w:sz w:val="28"/>
              </w:rPr>
              <w:t>系统支持在线用户≥</w:t>
            </w:r>
            <w:r>
              <w:rPr>
                <w:rFonts w:ascii="calibri" w:hAnsi="calibri" w:cs="calibri" w:eastAsia="calibri"/>
                <w:sz w:val="28"/>
              </w:rPr>
              <w:t>5000</w:t>
            </w:r>
            <w:r>
              <w:rPr>
                <w:rFonts w:ascii="宋体" w:hAnsi="宋体" w:cs="宋体" w:eastAsia="宋体"/>
                <w:sz w:val="28"/>
              </w:rPr>
              <w:t>人，并发用户≥</w:t>
            </w:r>
            <w:r>
              <w:rPr>
                <w:rFonts w:ascii="calibri" w:hAnsi="calibri" w:cs="calibri" w:eastAsia="calibri"/>
                <w:sz w:val="28"/>
              </w:rPr>
              <w:t>200</w:t>
            </w:r>
            <w:r>
              <w:rPr>
                <w:rFonts w:ascii="宋体" w:hAnsi="宋体" w:cs="宋体" w:eastAsia="宋体"/>
                <w:sz w:val="28"/>
              </w:rPr>
              <w:t>人；</w:t>
            </w:r>
          </w:p>
          <w:p>
            <w:pPr>
              <w:pStyle w:val="null3"/>
              <w:ind w:firstLine="560"/>
              <w:jc w:val="both"/>
            </w:pPr>
            <w:r>
              <w:rPr>
                <w:rFonts w:ascii="calibri" w:hAnsi="calibri" w:cs="calibri" w:eastAsia="calibri"/>
                <w:sz w:val="28"/>
              </w:rPr>
              <w:t>2)</w:t>
            </w:r>
            <w:r>
              <w:rPr>
                <w:rFonts w:ascii="宋体" w:hAnsi="宋体" w:cs="宋体" w:eastAsia="宋体"/>
                <w:sz w:val="28"/>
              </w:rPr>
              <w:t>检索客户端响应时间：≤</w:t>
            </w:r>
            <w:r>
              <w:rPr>
                <w:rFonts w:ascii="calibri" w:hAnsi="calibri" w:cs="calibri" w:eastAsia="calibri"/>
                <w:sz w:val="28"/>
              </w:rPr>
              <w:t>3</w:t>
            </w:r>
            <w:r>
              <w:rPr>
                <w:rFonts w:ascii="宋体" w:hAnsi="宋体" w:cs="宋体" w:eastAsia="宋体"/>
                <w:sz w:val="28"/>
              </w:rPr>
              <w:t>秒；</w:t>
            </w:r>
          </w:p>
          <w:p>
            <w:pPr>
              <w:pStyle w:val="null3"/>
              <w:ind w:firstLine="560"/>
              <w:jc w:val="both"/>
            </w:pPr>
            <w:r>
              <w:rPr>
                <w:rFonts w:ascii="calibri" w:hAnsi="calibri" w:cs="calibri" w:eastAsia="calibri"/>
                <w:sz w:val="28"/>
              </w:rPr>
              <w:t>3)</w:t>
            </w:r>
            <w:r>
              <w:rPr>
                <w:rFonts w:ascii="宋体" w:hAnsi="宋体" w:cs="宋体" w:eastAsia="宋体"/>
                <w:sz w:val="28"/>
              </w:rPr>
              <w:t>系统无故障运行时间大于</w:t>
            </w:r>
            <w:r>
              <w:rPr>
                <w:rFonts w:ascii="calibri" w:hAnsi="calibri" w:cs="calibri" w:eastAsia="calibri"/>
                <w:sz w:val="28"/>
              </w:rPr>
              <w:t>10000</w:t>
            </w:r>
            <w:r>
              <w:rPr>
                <w:rFonts w:ascii="宋体" w:hAnsi="宋体" w:cs="宋体" w:eastAsia="宋体"/>
                <w:sz w:val="28"/>
              </w:rPr>
              <w:t>小时；</w:t>
            </w:r>
          </w:p>
          <w:p>
            <w:pPr>
              <w:pStyle w:val="null3"/>
              <w:ind w:firstLine="560"/>
              <w:jc w:val="both"/>
            </w:pPr>
            <w:r>
              <w:rPr>
                <w:rFonts w:ascii="calibri" w:hAnsi="calibri" w:cs="calibri" w:eastAsia="calibri"/>
                <w:sz w:val="28"/>
              </w:rPr>
              <w:t>4)</w:t>
            </w:r>
            <w:r>
              <w:rPr>
                <w:rFonts w:ascii="宋体" w:hAnsi="宋体" w:cs="宋体" w:eastAsia="宋体"/>
                <w:sz w:val="28"/>
              </w:rPr>
              <w:t>系统恢复时间：系统恢复时间小于</w:t>
            </w:r>
            <w:r>
              <w:rPr>
                <w:rFonts w:ascii="calibri" w:hAnsi="calibri" w:cs="calibri" w:eastAsia="calibri"/>
                <w:sz w:val="28"/>
              </w:rPr>
              <w:t>4</w:t>
            </w:r>
            <w:r>
              <w:rPr>
                <w:rFonts w:ascii="宋体" w:hAnsi="宋体" w:cs="宋体" w:eastAsia="宋体"/>
                <w:sz w:val="28"/>
              </w:rPr>
              <w:t>小时；</w:t>
            </w:r>
          </w:p>
          <w:p>
            <w:pPr>
              <w:pStyle w:val="null3"/>
              <w:ind w:firstLine="562"/>
              <w:jc w:val="both"/>
            </w:pPr>
            <w:r>
              <w:rPr>
                <w:rFonts w:ascii="楷体_gb2312" w:hAnsi="楷体_gb2312" w:cs="楷体_gb2312" w:eastAsia="楷体_gb2312"/>
                <w:sz w:val="28"/>
                <w:b/>
                <w:color w:val="000000"/>
              </w:rPr>
              <w:t>（七）</w:t>
            </w:r>
            <w:r>
              <w:rPr>
                <w:rFonts w:ascii="楷体_gb2312" w:hAnsi="楷体_gb2312" w:cs="楷体_gb2312" w:eastAsia="楷体_gb2312"/>
                <w:sz w:val="28"/>
                <w:b/>
                <w:color w:val="000000"/>
              </w:rPr>
              <w:t>人员培训要求（平台培训）</w:t>
            </w:r>
          </w:p>
          <w:p>
            <w:pPr>
              <w:pStyle w:val="null3"/>
              <w:ind w:firstLine="560"/>
              <w:jc w:val="both"/>
            </w:pPr>
            <w:r>
              <w:rPr>
                <w:rFonts w:ascii="宋体" w:hAnsi="宋体" w:cs="宋体" w:eastAsia="宋体"/>
                <w:sz w:val="28"/>
                <w:color w:val="000000"/>
              </w:rPr>
              <w:t>提供完善的人员培训服务，开展信息化技术培训不少于</w:t>
            </w:r>
            <w:r>
              <w:rPr>
                <w:rFonts w:ascii="calibri" w:hAnsi="calibri" w:cs="calibri" w:eastAsia="calibri"/>
                <w:sz w:val="28"/>
                <w:color w:val="000000"/>
              </w:rPr>
              <w:t>3</w:t>
            </w:r>
            <w:r>
              <w:rPr>
                <w:rFonts w:ascii="宋体" w:hAnsi="宋体" w:cs="宋体" w:eastAsia="宋体"/>
                <w:sz w:val="28"/>
                <w:color w:val="000000"/>
              </w:rPr>
              <w:t>次，对医院</w:t>
            </w:r>
            <w:r>
              <w:rPr>
                <w:rFonts w:ascii="calibri" w:hAnsi="calibri" w:cs="calibri" w:eastAsia="calibri"/>
                <w:sz w:val="28"/>
                <w:color w:val="000000"/>
              </w:rPr>
              <w:t>IT</w:t>
            </w:r>
            <w:r>
              <w:rPr>
                <w:rFonts w:ascii="宋体" w:hAnsi="宋体" w:cs="宋体" w:eastAsia="宋体"/>
                <w:sz w:val="28"/>
                <w:color w:val="000000"/>
              </w:rPr>
              <w:t>人员、库房人员、药房人员、饮片供应商企业人员等进行追溯系统的应用和操作培训。培训后提供培训签到表、培训课件、照片等影像资料。</w:t>
            </w:r>
          </w:p>
          <w:p>
            <w:pPr>
              <w:pStyle w:val="null3"/>
              <w:ind w:firstLine="562"/>
              <w:jc w:val="both"/>
            </w:pPr>
            <w:r>
              <w:rPr>
                <w:rFonts w:ascii="楷体_gb2312" w:hAnsi="楷体_gb2312" w:cs="楷体_gb2312" w:eastAsia="楷体_gb2312"/>
                <w:sz w:val="28"/>
                <w:b/>
              </w:rPr>
              <w:t>（八）</w:t>
            </w:r>
            <w:r>
              <w:rPr>
                <w:rFonts w:ascii="楷体_gb2312" w:hAnsi="楷体_gb2312" w:cs="楷体_gb2312" w:eastAsia="楷体_gb2312"/>
                <w:sz w:val="28"/>
                <w:b/>
              </w:rPr>
              <w:t>软件文档交付内容</w:t>
            </w:r>
          </w:p>
          <w:p>
            <w:pPr>
              <w:pStyle w:val="null3"/>
              <w:ind w:firstLine="560"/>
              <w:jc w:val="both"/>
            </w:pPr>
            <w:r>
              <w:rPr>
                <w:rFonts w:ascii="宋体" w:hAnsi="宋体" w:cs="宋体" w:eastAsia="宋体"/>
                <w:sz w:val="28"/>
                <w:color w:val="000000"/>
              </w:rPr>
              <w:t>文档分别以光盘介质和纸介质提供。安装软件以光盘介质提供。包括设计文档、使用手册、测试报告、部署说明、系统运行维护文档。</w:t>
            </w:r>
          </w:p>
          <w:p>
            <w:pPr>
              <w:pStyle w:val="null3"/>
              <w:ind w:firstLine="562"/>
              <w:jc w:val="both"/>
            </w:pPr>
            <w:r>
              <w:rPr>
                <w:rFonts w:ascii="楷体_gb2312" w:hAnsi="楷体_gb2312" w:cs="楷体_gb2312" w:eastAsia="楷体_gb2312"/>
                <w:sz w:val="28"/>
                <w:b/>
                <w:color w:val="000000"/>
              </w:rPr>
              <w:t>（九）</w:t>
            </w:r>
            <w:r>
              <w:rPr>
                <w:rFonts w:ascii="楷体_gb2312" w:hAnsi="楷体_gb2312" w:cs="楷体_gb2312" w:eastAsia="楷体_gb2312"/>
                <w:sz w:val="28"/>
                <w:b/>
                <w:color w:val="000000"/>
              </w:rPr>
              <w:t>其他</w:t>
            </w:r>
          </w:p>
          <w:p>
            <w:pPr>
              <w:pStyle w:val="null3"/>
              <w:ind w:firstLine="560"/>
              <w:jc w:val="both"/>
            </w:pPr>
            <w:r>
              <w:rPr>
                <w:rFonts w:ascii="calibri" w:hAnsi="calibri" w:cs="calibri" w:eastAsia="calibri"/>
                <w:sz w:val="28"/>
                <w:color w:val="000000"/>
              </w:rPr>
              <w:t>1</w:t>
            </w:r>
            <w:r>
              <w:rPr>
                <w:rFonts w:ascii="宋体" w:hAnsi="宋体" w:cs="宋体" w:eastAsia="宋体"/>
                <w:sz w:val="28"/>
                <w:color w:val="000000"/>
              </w:rPr>
              <w:t>、接口对接</w:t>
            </w:r>
          </w:p>
          <w:p>
            <w:pPr>
              <w:pStyle w:val="null3"/>
              <w:ind w:firstLine="560"/>
              <w:jc w:val="both"/>
            </w:pPr>
            <w:r>
              <w:rPr>
                <w:rFonts w:ascii="宋体" w:hAnsi="宋体" w:cs="宋体" w:eastAsia="宋体"/>
                <w:sz w:val="28"/>
                <w:color w:val="000000"/>
              </w:rPr>
              <w:t>★为保障本项目与医院</w:t>
            </w:r>
            <w:r>
              <w:rPr>
                <w:rFonts w:ascii="calibri" w:hAnsi="calibri" w:cs="calibri" w:eastAsia="calibri"/>
                <w:sz w:val="28"/>
                <w:color w:val="000000"/>
              </w:rPr>
              <w:t>HIS</w:t>
            </w:r>
            <w:r>
              <w:rPr>
                <w:rFonts w:ascii="宋体" w:hAnsi="宋体" w:cs="宋体" w:eastAsia="宋体"/>
                <w:sz w:val="28"/>
                <w:color w:val="000000"/>
              </w:rPr>
              <w:t>系统对接、与陕西省中药材追溯服务平台对接，实现数据互通，需提供与医院</w:t>
            </w:r>
            <w:r>
              <w:rPr>
                <w:rFonts w:ascii="calibri" w:hAnsi="calibri" w:cs="calibri" w:eastAsia="calibri"/>
                <w:sz w:val="28"/>
                <w:color w:val="000000"/>
              </w:rPr>
              <w:t>HIS</w:t>
            </w:r>
            <w:r>
              <w:rPr>
                <w:rFonts w:ascii="宋体" w:hAnsi="宋体" w:cs="宋体" w:eastAsia="宋体"/>
                <w:sz w:val="28"/>
                <w:color w:val="000000"/>
              </w:rPr>
              <w:t>系统、陕西省中药材追溯服务平台实现无缝对接或保证无缝对接成功的承诺函</w:t>
            </w:r>
            <w:r>
              <w:rPr>
                <w:rFonts w:ascii="宋体" w:hAnsi="宋体" w:cs="宋体" w:eastAsia="宋体"/>
                <w:sz w:val="28"/>
                <w:color w:val="0000FF"/>
              </w:rPr>
              <w:t>。</w:t>
            </w:r>
            <w:r>
              <w:rPr>
                <w:rFonts w:ascii="宋体" w:hAnsi="宋体" w:cs="宋体" w:eastAsia="宋体"/>
                <w:sz w:val="28"/>
                <w:b/>
                <w:color w:val="000000"/>
              </w:rPr>
              <w:t>（本医院</w:t>
            </w:r>
            <w:r>
              <w:rPr>
                <w:rFonts w:ascii="calibri" w:hAnsi="calibri" w:cs="calibri" w:eastAsia="calibri"/>
                <w:sz w:val="28"/>
                <w:b/>
                <w:color w:val="000000"/>
              </w:rPr>
              <w:t>HIS</w:t>
            </w:r>
            <w:r>
              <w:rPr>
                <w:rFonts w:ascii="宋体" w:hAnsi="宋体" w:cs="宋体" w:eastAsia="宋体"/>
                <w:sz w:val="28"/>
                <w:b/>
                <w:color w:val="000000"/>
              </w:rPr>
              <w:t>系统厂家是重庆中联信息产业有限公司）。</w:t>
            </w:r>
          </w:p>
          <w:p>
            <w:pPr>
              <w:pStyle w:val="null3"/>
              <w:ind w:firstLine="560"/>
              <w:jc w:val="both"/>
            </w:pPr>
            <w:r>
              <w:rPr>
                <w:rFonts w:ascii="宋体" w:hAnsi="宋体" w:cs="宋体" w:eastAsia="宋体"/>
                <w:sz w:val="28"/>
                <w:color w:val="000000"/>
              </w:rPr>
              <w:t>★</w:t>
            </w:r>
            <w:r>
              <w:rPr>
                <w:rFonts w:ascii="宋体" w:hAnsi="宋体" w:cs="宋体" w:eastAsia="宋体"/>
                <w:sz w:val="28"/>
                <w:color w:val="000000"/>
              </w:rPr>
              <w:t>为保障本项目与医院现有煎药设备系统对接，需提供与医院煎药设备实现对接或保证对接成功的承诺函，保障医院饮片煎药追溯链条的完整性。</w:t>
            </w:r>
            <w:r>
              <w:rPr>
                <w:rFonts w:ascii="宋体" w:hAnsi="宋体" w:cs="宋体" w:eastAsia="宋体"/>
                <w:sz w:val="28"/>
                <w:b/>
                <w:color w:val="000000"/>
              </w:rPr>
              <w:t>（本医院煎药设备生产厂家是北京东华原医疗设备有限责任公司</w:t>
            </w:r>
            <w:r>
              <w:rPr>
                <w:rFonts w:ascii="宋体" w:hAnsi="宋体" w:cs="宋体" w:eastAsia="宋体"/>
                <w:sz w:val="28"/>
                <w:b/>
                <w:color w:val="000000"/>
              </w:rPr>
              <w:t>）</w:t>
            </w:r>
            <w:r>
              <w:rPr>
                <w:rFonts w:ascii="宋体" w:hAnsi="宋体" w:cs="宋体" w:eastAsia="宋体"/>
                <w:sz w:val="28"/>
                <w:b/>
                <w:color w:val="000000"/>
              </w:rPr>
              <w:t>。</w:t>
            </w:r>
          </w:p>
          <w:p>
            <w:pPr>
              <w:pStyle w:val="null3"/>
              <w:ind w:firstLine="560"/>
              <w:jc w:val="both"/>
            </w:pPr>
            <w:r>
              <w:rPr>
                <w:rFonts w:ascii="宋体" w:hAnsi="宋体" w:cs="宋体" w:eastAsia="宋体"/>
                <w:sz w:val="28"/>
                <w:color w:val="000000"/>
              </w:rPr>
              <w:t>★</w:t>
            </w:r>
            <w:r>
              <w:rPr>
                <w:rFonts w:ascii="宋体" w:hAnsi="宋体" w:cs="宋体" w:eastAsia="宋体"/>
                <w:sz w:val="28"/>
                <w:b/>
                <w:color w:val="000000"/>
              </w:rPr>
              <w:t>若因政策要求，需与政府其他系统对接，应提供免费对接。</w:t>
            </w:r>
          </w:p>
          <w:p>
            <w:pPr>
              <w:pStyle w:val="null3"/>
              <w:jc w:val="both"/>
            </w:pPr>
            <w:r>
              <w:rPr>
                <w:rFonts w:ascii="calibri" w:hAnsi="calibri" w:cs="calibri" w:eastAsia="calibri"/>
                <w:sz w:val="28"/>
                <w:b/>
                <w:color w:val="000000"/>
              </w:rPr>
              <w:t>2</w:t>
            </w:r>
            <w:r>
              <w:rPr>
                <w:rFonts w:ascii="宋体" w:hAnsi="宋体" w:cs="宋体" w:eastAsia="宋体"/>
                <w:sz w:val="28"/>
                <w:b/>
                <w:color w:val="000000"/>
              </w:rPr>
              <w:t>、本项目总报价需包含设备对接、系统接口费。</w:t>
            </w:r>
          </w:p>
          <w:p>
            <w:pPr>
              <w:pStyle w:val="null3"/>
              <w:jc w:val="both"/>
            </w:pP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签订采购合同后40个工作日内完成交付使用。</w:t>
      </w:r>
    </w:p>
    <w:p>
      <w:pPr>
        <w:pStyle w:val="null3"/>
        <w:outlineLvl w:val="3"/>
      </w:pPr>
      <w:r>
        <w:rPr>
          <w:sz w:val="24"/>
          <w:b/>
        </w:rPr>
        <w:t>3.4.2交货地点</w:t>
      </w:r>
    </w:p>
    <w:p>
      <w:pPr>
        <w:pStyle w:val="null3"/>
      </w:pPr>
      <w:r>
        <w:rPr/>
        <w:t>采购包1：</w:t>
      </w:r>
    </w:p>
    <w:p>
      <w:pPr>
        <w:pStyle w:val="null3"/>
      </w:pPr>
      <w:r>
        <w:rPr/>
        <w:t>陕西中医药大学附属医院</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甲方首次付款之前，乙方应提供合同总价款全额增值税发票。乙方逾期提供发票导致甲方逾期付款的，不视为甲方违约，甲方直接将货款通过银行转账的方式转入乙方指定的专用账号，验收合格一个月后 甲方在十五个日历日内向乙方支付合同总金额的60%</w:t>
      </w:r>
      <w:r>
        <w:rPr/>
        <w:t xml:space="preserve"> ，达到付款条件起 </w:t>
      </w:r>
      <w:r>
        <w:rPr/>
        <w:t>15</w:t>
      </w:r>
      <w:r>
        <w:rPr/>
        <w:t xml:space="preserve"> 日内，支付合同总金额的 </w:t>
      </w:r>
      <w:r>
        <w:rPr/>
        <w:t>60.00</w:t>
      </w:r>
      <w:r>
        <w:rPr/>
        <w:t>%。</w:t>
      </w:r>
    </w:p>
    <w:p>
      <w:pPr>
        <w:pStyle w:val="null3"/>
      </w:pPr>
      <w:r>
        <w:rPr/>
        <w:t>采购包1：</w:t>
      </w:r>
      <w:r>
        <w:rPr/>
        <w:t xml:space="preserve"> 付款条件说明： </w:t>
      </w:r>
      <w:r>
        <w:rPr/>
        <w:t>验收合格系统运行三个月后，甲方在十五个日历日内向乙方支付合同总金额的30%</w:t>
      </w:r>
      <w:r>
        <w:rPr/>
        <w:t xml:space="preserve"> ，达到付款条件起 </w:t>
      </w:r>
      <w:r>
        <w:rPr/>
        <w:t>15</w:t>
      </w:r>
      <w:r>
        <w:rPr/>
        <w:t xml:space="preserve"> 日内，支付合同总金额的 </w:t>
      </w:r>
      <w:r>
        <w:rPr/>
        <w:t>30.00</w:t>
      </w:r>
      <w:r>
        <w:rPr/>
        <w:t>%。</w:t>
      </w:r>
    </w:p>
    <w:p>
      <w:pPr>
        <w:pStyle w:val="null3"/>
      </w:pPr>
      <w:r>
        <w:rPr/>
        <w:t>采购包1：</w:t>
      </w:r>
      <w:r>
        <w:rPr/>
        <w:t xml:space="preserve"> 付款条件说明： </w:t>
      </w:r>
      <w:r>
        <w:rPr/>
        <w:t>验收合格项目服务满五年后，甲方在十五个日历日内向乙方支付合同总金额的10%</w:t>
      </w:r>
      <w:r>
        <w:rPr/>
        <w:t xml:space="preserve"> ，达到付款条件起 </w:t>
      </w:r>
      <w:r>
        <w:rPr/>
        <w:t>15</w:t>
      </w:r>
      <w:r>
        <w:rPr/>
        <w:t xml:space="preserve"> 日内，支付合同总金额的 </w:t>
      </w:r>
      <w:r>
        <w:rPr/>
        <w:t>10.00</w:t>
      </w:r>
      <w:r>
        <w:rPr/>
        <w:t>%。</w:t>
      </w:r>
    </w:p>
    <w:p>
      <w:pPr>
        <w:pStyle w:val="null3"/>
        <w:outlineLvl w:val="3"/>
      </w:pPr>
      <w:r>
        <w:rPr>
          <w:sz w:val="24"/>
          <w:b/>
        </w:rPr>
        <w:t>3.4.5验收标准和方法</w:t>
      </w:r>
    </w:p>
    <w:p>
      <w:pPr>
        <w:pStyle w:val="null3"/>
      </w:pPr>
      <w:r>
        <w:rPr/>
        <w:t>采购包1：</w:t>
      </w:r>
    </w:p>
    <w:p>
      <w:pPr>
        <w:pStyle w:val="null3"/>
      </w:pPr>
      <w:r>
        <w:rPr/>
        <w:t>根据招标文件、投标文件、合同及国家相关标准。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免费质保期为验收合格之日起 5 年。</w:t>
      </w:r>
    </w:p>
    <w:p>
      <w:pPr>
        <w:pStyle w:val="null3"/>
        <w:outlineLvl w:val="3"/>
      </w:pPr>
      <w:r>
        <w:rPr>
          <w:sz w:val="24"/>
          <w:b/>
        </w:rPr>
        <w:t>3.4.8违约责任与解决争议的方法</w:t>
      </w:r>
    </w:p>
    <w:p>
      <w:pPr>
        <w:pStyle w:val="null3"/>
      </w:pPr>
      <w:r>
        <w:rPr/>
        <w:t>采购包1：</w:t>
      </w:r>
    </w:p>
    <w:p>
      <w:pPr>
        <w:pStyle w:val="null3"/>
      </w:pPr>
      <w:r>
        <w:rPr/>
        <w:t>根据招标文件、投标文件、合同及国家相关标准。</w:t>
      </w:r>
    </w:p>
    <w:p>
      <w:pPr>
        <w:pStyle w:val="null3"/>
        <w:jc w:val="left"/>
        <w:outlineLvl w:val="2"/>
      </w:pPr>
      <w:r>
        <w:rPr>
          <w:sz w:val="28"/>
          <w:b/>
        </w:rPr>
        <w:t>3.5其他要求</w:t>
      </w:r>
    </w:p>
    <w:p>
      <w:pPr>
        <w:pStyle w:val="null3"/>
      </w:pPr>
      <w:r>
        <w:rPr/>
        <w:t>核心产品：医院中药饮片质量追溯系统</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具有履行合同所必需的设备和专业技术能力</w:t>
            </w:r>
          </w:p>
        </w:tc>
        <w:tc>
          <w:tcPr>
            <w:tcW w:type="dxa" w:w="3322"/>
          </w:tcPr>
          <w:p>
            <w:pPr>
              <w:pStyle w:val="null3"/>
            </w:pPr>
            <w:r>
              <w:rPr/>
              <w:t>具有履行合同所必需的设备和专业技术能力的书面声明;</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提供2024年1月以来任意一个月的依法缴纳税收的相关凭据（时间以税款所属日期为准），凭据应有税务机关或代收机关的公章或业务专用章。依法免税或无须缴纳税收的供应商，应提供相应证明文件;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提供2024年1月以来至少一个月的社会保障资金缴存单据或社保机构开具的社会保险参保缴费情况证明。依法不需要缴纳社会保障资金的供应商应提供相关文件证明;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参加政府采购活动前3年内在经营活动中没有重大违法记录</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法定代表人委托授权书</w:t>
            </w:r>
          </w:p>
        </w:tc>
        <w:tc>
          <w:tcPr>
            <w:tcW w:type="dxa" w:w="3322"/>
          </w:tcPr>
          <w:p>
            <w:pPr>
              <w:pStyle w:val="null3"/>
            </w:pPr>
            <w:r>
              <w:rPr/>
              <w:t>非法定代表人参加投标的，须提供法定代表人委托授权书，法定代表人参加投标时,只须提供法定代表人身份证明;</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非联合体投标声明</w:t>
            </w:r>
          </w:p>
        </w:tc>
        <w:tc>
          <w:tcPr>
            <w:tcW w:type="dxa" w:w="3322"/>
          </w:tcPr>
          <w:p>
            <w:pPr>
              <w:pStyle w:val="null3"/>
            </w:pPr>
            <w:r>
              <w:rPr/>
              <w:t>非联合体投标声明。</w:t>
            </w:r>
          </w:p>
        </w:tc>
        <w:tc>
          <w:tcPr>
            <w:tcW w:type="dxa" w:w="1661"/>
          </w:tcPr>
          <w:p>
            <w:pPr>
              <w:pStyle w:val="null3"/>
            </w:pPr>
            <w:r>
              <w:rPr/>
              <w:t>供应商资格要求</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投标文件封面</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投标报价未超过采购预算或最高限价(合格)， 投标报价超过采购预算或最高限价(不合格)</w:t>
            </w:r>
          </w:p>
        </w:tc>
        <w:tc>
          <w:tcPr>
            <w:tcW w:type="dxa" w:w="1661"/>
          </w:tcPr>
          <w:p>
            <w:pPr>
              <w:pStyle w:val="null3"/>
            </w:pPr>
            <w:r>
              <w:rPr/>
              <w:t>开标一览表 分项报价表 标的清单</w:t>
            </w:r>
          </w:p>
        </w:tc>
      </w:tr>
      <w:tr>
        <w:tc>
          <w:tcPr>
            <w:tcW w:type="dxa" w:w="831"/>
          </w:tcPr>
          <w:p>
            <w:pPr>
              <w:pStyle w:val="null3"/>
            </w:pPr>
            <w:r>
              <w:rPr/>
              <w:t>3</w:t>
            </w:r>
          </w:p>
        </w:tc>
        <w:tc>
          <w:tcPr>
            <w:tcW w:type="dxa" w:w="2492"/>
          </w:tcPr>
          <w:p>
            <w:pPr>
              <w:pStyle w:val="null3"/>
            </w:pPr>
            <w:r>
              <w:rPr/>
              <w:t>交货时间</w:t>
            </w:r>
          </w:p>
        </w:tc>
        <w:tc>
          <w:tcPr>
            <w:tcW w:type="dxa" w:w="3322"/>
          </w:tcPr>
          <w:p>
            <w:pPr>
              <w:pStyle w:val="null3"/>
            </w:pPr>
            <w:r>
              <w:rPr/>
              <w:t>交货时间满足招标文件要求(合格)， 交货时间不满足招标文件要求(不合格)</w:t>
            </w:r>
          </w:p>
        </w:tc>
        <w:tc>
          <w:tcPr>
            <w:tcW w:type="dxa" w:w="1661"/>
          </w:tcPr>
          <w:p>
            <w:pPr>
              <w:pStyle w:val="null3"/>
            </w:pPr>
            <w:r>
              <w:rPr/>
              <w:t>开标一览表 商务应答表 标的清单</w:t>
            </w:r>
          </w:p>
        </w:tc>
      </w:tr>
      <w:tr>
        <w:tc>
          <w:tcPr>
            <w:tcW w:type="dxa" w:w="831"/>
          </w:tcPr>
          <w:p>
            <w:pPr>
              <w:pStyle w:val="null3"/>
            </w:pPr>
            <w:r>
              <w:rPr/>
              <w:t>4</w:t>
            </w:r>
          </w:p>
        </w:tc>
        <w:tc>
          <w:tcPr>
            <w:tcW w:type="dxa" w:w="2492"/>
          </w:tcPr>
          <w:p>
            <w:pPr>
              <w:pStyle w:val="null3"/>
            </w:pPr>
            <w:r>
              <w:rPr/>
              <w:t>质量保修范围和保修期</w:t>
            </w:r>
          </w:p>
        </w:tc>
        <w:tc>
          <w:tcPr>
            <w:tcW w:type="dxa" w:w="3322"/>
          </w:tcPr>
          <w:p>
            <w:pPr>
              <w:pStyle w:val="null3"/>
            </w:pPr>
            <w:r>
              <w:rPr/>
              <w:t>质保期满足招标文件要求(合格)， 质保期不满足招标文件要求(不合格)</w:t>
            </w:r>
          </w:p>
        </w:tc>
        <w:tc>
          <w:tcPr>
            <w:tcW w:type="dxa" w:w="1661"/>
          </w:tcPr>
          <w:p>
            <w:pPr>
              <w:pStyle w:val="null3"/>
            </w:pPr>
            <w:r>
              <w:rPr/>
              <w:t>开标一览表 商务应答表 标的清单 投标文件封面</w:t>
            </w:r>
          </w:p>
        </w:tc>
      </w:tr>
      <w:tr>
        <w:tc>
          <w:tcPr>
            <w:tcW w:type="dxa" w:w="831"/>
          </w:tcPr>
          <w:p>
            <w:pPr>
              <w:pStyle w:val="null3"/>
            </w:pPr>
            <w:r>
              <w:rPr/>
              <w:t>5</w:t>
            </w:r>
          </w:p>
        </w:tc>
        <w:tc>
          <w:tcPr>
            <w:tcW w:type="dxa" w:w="2492"/>
          </w:tcPr>
          <w:p>
            <w:pPr>
              <w:pStyle w:val="null3"/>
            </w:pPr>
            <w:r>
              <w:rPr/>
              <w:t>投标文件的签署、盖章</w:t>
            </w:r>
          </w:p>
        </w:tc>
        <w:tc>
          <w:tcPr>
            <w:tcW w:type="dxa" w:w="3322"/>
          </w:tcPr>
          <w:p>
            <w:pPr>
              <w:pStyle w:val="null3"/>
            </w:pPr>
            <w:r>
              <w:rPr/>
              <w:t>投标文件的签署、盖章满足招标文件要求(合格)，投标文件的签署、盖章不满足招标文件要求(不合格)</w:t>
            </w:r>
          </w:p>
        </w:tc>
        <w:tc>
          <w:tcPr>
            <w:tcW w:type="dxa" w:w="1661"/>
          </w:tcPr>
          <w:p>
            <w:pPr>
              <w:pStyle w:val="null3"/>
            </w:pPr>
            <w:r>
              <w:rPr/>
              <w:t>开标一览表 产品技术参数表 分项报价表 商务应答表 供应商资格要求 标的清单</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投标有效期满足招标文件要求(合格)，投标文件无投标有效期或有效期不满足招标文件要求(不合格)</w:t>
            </w:r>
          </w:p>
        </w:tc>
        <w:tc>
          <w:tcPr>
            <w:tcW w:type="dxa" w:w="1661"/>
          </w:tcPr>
          <w:p>
            <w:pPr>
              <w:pStyle w:val="null3"/>
            </w:pPr>
            <w:r>
              <w:rPr/>
              <w:t>投标函</w:t>
            </w:r>
          </w:p>
        </w:tc>
      </w:tr>
      <w:tr>
        <w:tc>
          <w:tcPr>
            <w:tcW w:type="dxa" w:w="831"/>
          </w:tcPr>
          <w:p>
            <w:pPr>
              <w:pStyle w:val="null3"/>
            </w:pPr>
            <w:r>
              <w:rPr/>
              <w:t>7</w:t>
            </w:r>
          </w:p>
        </w:tc>
        <w:tc>
          <w:tcPr>
            <w:tcW w:type="dxa" w:w="2492"/>
          </w:tcPr>
          <w:p>
            <w:pPr>
              <w:pStyle w:val="null3"/>
            </w:pPr>
            <w:r>
              <w:rPr/>
              <w:t>投标保证金</w:t>
            </w:r>
          </w:p>
        </w:tc>
        <w:tc>
          <w:tcPr>
            <w:tcW w:type="dxa" w:w="3322"/>
          </w:tcPr>
          <w:p>
            <w:pPr>
              <w:pStyle w:val="null3"/>
            </w:pPr>
            <w:r>
              <w:rPr/>
              <w:t>按规定缴纳投标保证金的(合格)，未缴纳投标保证金或保证金缴纳少于招标文件要求(不合格)</w:t>
            </w:r>
          </w:p>
        </w:tc>
        <w:tc>
          <w:tcPr>
            <w:tcW w:type="dxa" w:w="1661"/>
          </w:tcPr>
          <w:p>
            <w:pPr>
              <w:pStyle w:val="null3"/>
            </w:pPr>
            <w:r>
              <w:rPr/>
              <w:t>供应商认为有必要说明的其他问题</w:t>
            </w:r>
          </w:p>
        </w:tc>
      </w:tr>
      <w:tr>
        <w:tc>
          <w:tcPr>
            <w:tcW w:type="dxa" w:w="831"/>
          </w:tcPr>
          <w:p>
            <w:pPr>
              <w:pStyle w:val="null3"/>
            </w:pPr>
            <w:r>
              <w:rPr/>
              <w:t>8</w:t>
            </w:r>
          </w:p>
        </w:tc>
        <w:tc>
          <w:tcPr>
            <w:tcW w:type="dxa" w:w="2492"/>
          </w:tcPr>
          <w:p>
            <w:pPr>
              <w:pStyle w:val="null3"/>
            </w:pPr>
            <w:r>
              <w:rPr/>
              <w:t>标的或数量</w:t>
            </w:r>
          </w:p>
        </w:tc>
        <w:tc>
          <w:tcPr>
            <w:tcW w:type="dxa" w:w="3322"/>
          </w:tcPr>
          <w:p>
            <w:pPr>
              <w:pStyle w:val="null3"/>
            </w:pPr>
            <w:r>
              <w:rPr/>
              <w:t>投标文件标的或数量满足采购要求（合格）；投标文件标的或数量不满足采购要求（不合格）</w:t>
            </w:r>
          </w:p>
        </w:tc>
        <w:tc>
          <w:tcPr>
            <w:tcW w:type="dxa" w:w="1661"/>
          </w:tcPr>
          <w:p>
            <w:pPr>
              <w:pStyle w:val="null3"/>
            </w:pPr>
            <w:r>
              <w:rPr/>
              <w:t>开标一览表 产品技术参数表 分项报价表 标的清单</w:t>
            </w:r>
          </w:p>
        </w:tc>
      </w:tr>
      <w:tr>
        <w:tc>
          <w:tcPr>
            <w:tcW w:type="dxa" w:w="831"/>
          </w:tcPr>
          <w:p>
            <w:pPr>
              <w:pStyle w:val="null3"/>
            </w:pPr>
            <w:r>
              <w:rPr/>
              <w:t>9</w:t>
            </w:r>
          </w:p>
        </w:tc>
        <w:tc>
          <w:tcPr>
            <w:tcW w:type="dxa" w:w="2492"/>
          </w:tcPr>
          <w:p>
            <w:pPr>
              <w:pStyle w:val="null3"/>
            </w:pPr>
            <w:r>
              <w:rPr/>
              <w:t>法律、法规和招标文件规定的其他无效情形</w:t>
            </w:r>
          </w:p>
        </w:tc>
        <w:tc>
          <w:tcPr>
            <w:tcW w:type="dxa" w:w="3322"/>
          </w:tcPr>
          <w:p>
            <w:pPr>
              <w:pStyle w:val="null3"/>
            </w:pPr>
            <w:r>
              <w:rPr/>
              <w:t>不存在法律、法规和招标文件规定的其他无效情形(合格)，存在法律、法规和招标文件规定的其他无效情形(不合格)</w:t>
            </w:r>
          </w:p>
        </w:tc>
        <w:tc>
          <w:tcPr>
            <w:tcW w:type="dxa" w:w="1661"/>
          </w:tcPr>
          <w:p>
            <w:pPr>
              <w:pStyle w:val="null3"/>
            </w:pPr>
            <w:r>
              <w:rPr/>
              <w:t>开标一览表 产品技术参数表 分项报价表 投标函 商务应答表 供应商认为有必要说明的其他问题 供应商资格要求 标的清单 投标人应提交的相关资格证明材料</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完全符合、响应采购文件技术要求，没有负偏离的得10分；每负偏离一项扣1分，扣完为止。 评审依据为技术参数偏离表及相应的证明材料（包括但不限于官网和系统功能截图等技术支持性文件（资料））</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技术方案</w:t>
            </w:r>
          </w:p>
        </w:tc>
        <w:tc>
          <w:tcPr>
            <w:tcW w:type="dxa" w:w="2492"/>
          </w:tcPr>
          <w:p>
            <w:pPr>
              <w:pStyle w:val="null3"/>
            </w:pPr>
            <w:r>
              <w:rPr/>
              <w:t>针对本项目有具体服务方案，内容包含：①需求分析方案； ②总体设计方案；③安装调试方案； ④系统建设方案； ⑤接口方案。 每项最高得2分（未提供不得分），最高得10分。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实施方案</w:t>
            </w:r>
          </w:p>
        </w:tc>
        <w:tc>
          <w:tcPr>
            <w:tcW w:type="dxa" w:w="2492"/>
          </w:tcPr>
          <w:p>
            <w:pPr>
              <w:pStyle w:val="null3"/>
            </w:pPr>
            <w:r>
              <w:rPr/>
              <w:t>针对本项目提供具体可行的总体实施方案，包括①计划进度安排；②项目实施过程中质量保证；③系统信息安全保障措施；④部署和测试方案；⑤管理和协调方案；⑥项目验收方案；⑦应急预案；⑧工作重点与难点分析及对应措施。从方案全面性、科学合理性、可操作性等方面综合评价，每项最高得1.5分（未提供不得分），最高得12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现场演示</w:t>
            </w:r>
          </w:p>
        </w:tc>
        <w:tc>
          <w:tcPr>
            <w:tcW w:type="dxa" w:w="2492"/>
          </w:tcPr>
          <w:p>
            <w:pPr>
              <w:pStyle w:val="null3"/>
            </w:pPr>
            <w:r>
              <w:rPr/>
              <w:t>1.入库：演示内容包括来货饮片溯源、入库登记，可以查看饮片来货明细、饮片溯源信息，方便医院进行验收及入库登记。最高得1分，未演示不得分。 2.出库： 演示内容包括饮片调拨出库溯源，可以登记出库时间、出库流向、出库饮片明细记录。最高得1分，未演示不得分。 3.省平台对接：演示内容包括和省中药材追溯服务平台对接，可以查看确认供应商饮片追溯信息，可以将溯源处方及溯源饮片关联信息对接到省平台。最高得1分，未演示不得分。 4.处方对接：演示内容包括和医院his系统对接，可以查看his系统推送的处方数据，查看对接失败记录，可以按照处方号、时间查询对接处方。最高得1分，未演示不得分。 5.收方：演示内容包括收方管理，系统可以扫描处方条码进行收方登记，根据患者处方信息，打印取药凭证。最高得1分，未演示不得分。 6.处方开始调配：演示内容包括查看处方信息、开始调配、结束调配操作，记录调配开始时间、结束时间、调配人等信息。最高得1分，未演示不得分。 7.发药叫号提醒：演示内容包括扫码发药叫号提醒，显示大屏显示可取药患者信息，语音播报提醒内容。最高得1分，未演示不得分。 8.发药状态：演示内容包括查看叫号记录发药状态，可以再次操作叫号提醒。最高得1分，未演示不得分。 9.发药寄存：演示内容包括发药暂存上架，针对已叫号未取药的处方，进行扫码寄存，绑定声光电提醒设备，完成寄存。最高得1分，未演示不得分。 10.声光寻药发药：演示内容包括声光寻药，使用手持设备扫描处方条码，呼叫声光电设备进行闪灯和蜂鸣提醒定位，进行发药操作，可以查看发药记录。最高得1分，未演示不得分。 11.煎药管理：演示内容包括煎药管理、打印煎药凭证，通过系统进行煎药过程追溯记录。最高得1分，未演示不得分。 12.煎药机对接：演示内容包括煎药机管理，煎药机煎药数据对接，可以查看煎药信息。最高得1分，未演示不得分。 13.配送公司对接：演示内容包括提供处方配送信息查询，包括配送公司、单号、状态信息。最高得1分，未演示不得分。 14.患者查询：演示内容包括患者处方查询，查看处方信息、取药状态、处方饮片溯源信息、药材溯源信息等。最高得1分，未演示不得分。 15.处方统计：演示内容包括累计处方数量、各月份处方数量、处方扫码数量统计、饮片使用量统计等。最高得1分，未演示不得分。 最高计15分。 备注：供应商演示人员须在演示环节开始后（演示环节开始后30分钟内未到场视为放弃演示）在西安市雁塔区科技路30号合力紫郡B座21层会议室按照招标文件要求进行现场操作演示，供应商须使用真实环境下的系统进行现场演示，不接受采用ppt、截图等代替所投产品进行演示，否则此项不得分。各供应商演示时间不得超过20分钟，请各供应商自行安排演示时间和内容。同时供应商自行负责演示所必须的电脑、投屏转接头等，否则相关不利风险由投标人自行承担，没有现场演示的得0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供应商认为有必要说明的其他问题</w:t>
            </w:r>
          </w:p>
        </w:tc>
      </w:tr>
      <w:tr>
        <w:tc>
          <w:tcPr>
            <w:tcW w:type="dxa" w:w="831"/>
            <w:vMerge/>
          </w:tcPr>
          <w:p/>
        </w:tc>
        <w:tc>
          <w:tcPr>
            <w:tcW w:type="dxa" w:w="1661"/>
          </w:tcPr>
          <w:p>
            <w:pPr>
              <w:pStyle w:val="null3"/>
            </w:pPr>
            <w:r>
              <w:rPr/>
              <w:t>项目团队人员</w:t>
            </w:r>
          </w:p>
        </w:tc>
        <w:tc>
          <w:tcPr>
            <w:tcW w:type="dxa" w:w="2492"/>
          </w:tcPr>
          <w:p>
            <w:pPr>
              <w:pStyle w:val="null3"/>
            </w:pPr>
            <w:r>
              <w:rPr/>
              <w:t>1.拟负责本次项目的团队人员组成情况（本项目实施相关的技术人员数量及对应证书材料）。项目技术人员具有网络安全工程师（或以上）、信息系统项目管理工程师（或以上）、PMP工程师（或以上）、系统架构设计师、软件架构工程师（或以上）相关技能证书或职称证书的，每提供一个证书得1分、一个人最高得1分，最高得4分；未提供不计分。 2.项目负责人：本项目配备的项目负责人具有类似项目业绩，以合同复印件为准（需体现项目负责人名字），提供一份得1分，最高计1分。 备注：提供人员自2024年1月1日以来任意一个月在本单位的社保缴纳证明，否则不得分。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项目团队人员</w:t>
            </w:r>
          </w:p>
        </w:tc>
      </w:tr>
      <w:tr>
        <w:tc>
          <w:tcPr>
            <w:tcW w:type="dxa" w:w="831"/>
            <w:vMerge/>
          </w:tcPr>
          <w:p/>
        </w:tc>
        <w:tc>
          <w:tcPr>
            <w:tcW w:type="dxa" w:w="1661"/>
          </w:tcPr>
          <w:p>
            <w:pPr>
              <w:pStyle w:val="null3"/>
            </w:pPr>
            <w:r>
              <w:rPr/>
              <w:t>知识产权证明材料</w:t>
            </w:r>
          </w:p>
        </w:tc>
        <w:tc>
          <w:tcPr>
            <w:tcW w:type="dxa" w:w="2492"/>
          </w:tcPr>
          <w:p>
            <w:pPr>
              <w:pStyle w:val="null3"/>
            </w:pPr>
            <w:r>
              <w:rPr/>
              <w:t>投标人具有中药饮片追溯、中药处方流转、代煎追溯、处方调剂、中药大数据等相关描述的知识产权证明材料，每提供一个证明得0.5分，本项最高得2分。（提供有效证书复印件）</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知识产权证明材料</w:t>
            </w:r>
          </w:p>
        </w:tc>
      </w:tr>
      <w:tr>
        <w:tc>
          <w:tcPr>
            <w:tcW w:type="dxa" w:w="831"/>
            <w:vMerge/>
          </w:tcPr>
          <w:p/>
        </w:tc>
        <w:tc>
          <w:tcPr>
            <w:tcW w:type="dxa" w:w="1661"/>
          </w:tcPr>
          <w:p>
            <w:pPr>
              <w:pStyle w:val="null3"/>
            </w:pPr>
            <w:r>
              <w:rPr/>
              <w:t>售后服务</w:t>
            </w:r>
          </w:p>
        </w:tc>
        <w:tc>
          <w:tcPr>
            <w:tcW w:type="dxa" w:w="2492"/>
          </w:tcPr>
          <w:p>
            <w:pPr>
              <w:pStyle w:val="null3"/>
            </w:pPr>
            <w:r>
              <w:rPr/>
              <w:t>投标人具有具体可行的售后服务方案，包含①服务机构、人员②系统软件的更新升级承诺、③故障维修到场处理时间及本地化技术服务④质保期内具体运维方案。每项最高得2分（不提供不得分），最高得8分。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培训方案</w:t>
            </w:r>
          </w:p>
        </w:tc>
        <w:tc>
          <w:tcPr>
            <w:tcW w:type="dxa" w:w="2492"/>
          </w:tcPr>
          <w:p>
            <w:pPr>
              <w:pStyle w:val="null3"/>
            </w:pPr>
            <w:r>
              <w:rPr/>
              <w:t>投标人提供①培训课程内容和计划、培训人员②项目整体培训方案和对溯源平台的培训方案；每项最高得1.5分（不提供不得分），最高得3分。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业绩</w:t>
            </w:r>
          </w:p>
        </w:tc>
        <w:tc>
          <w:tcPr>
            <w:tcW w:type="dxa" w:w="2492"/>
          </w:tcPr>
          <w:p>
            <w:pPr>
              <w:pStyle w:val="null3"/>
            </w:pPr>
            <w:r>
              <w:rPr/>
              <w:t>提供投标人2021年9月1日至今类似项目合同（以合同签订日期为准，需提供复印件），每提供1个得1分，最高得5分。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价格分采用低价优先法计算，满足招标文件要求且投标价格最低的投标报价为评标基准价，其价格分为满分（30分）。其他投标人的价格分统一按照下列公式计算： 投标报价得分=（评标基准价/投标报价）×报价分值 ；</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详见附件：技术方案</w:t>
      </w:r>
    </w:p>
    <w:p>
      <w:pPr>
        <w:pStyle w:val="null3"/>
        <w:ind w:firstLine="960"/>
      </w:pPr>
      <w:r>
        <w:rPr/>
        <w:t>详见附件：实施方案</w:t>
      </w:r>
    </w:p>
    <w:p>
      <w:pPr>
        <w:pStyle w:val="null3"/>
        <w:ind w:firstLine="960"/>
      </w:pPr>
      <w:r>
        <w:rPr/>
        <w:t>详见附件：供应商认为有必要说明的其他问题</w:t>
      </w:r>
    </w:p>
    <w:p>
      <w:pPr>
        <w:pStyle w:val="null3"/>
        <w:ind w:firstLine="960"/>
      </w:pPr>
      <w:r>
        <w:rPr/>
        <w:t>详见附件：项目团队人员</w:t>
      </w:r>
    </w:p>
    <w:p>
      <w:pPr>
        <w:pStyle w:val="null3"/>
        <w:ind w:firstLine="960"/>
      </w:pPr>
      <w:r>
        <w:rPr/>
        <w:t>详见附件：知识产权证明材料</w:t>
      </w:r>
    </w:p>
    <w:p>
      <w:pPr>
        <w:pStyle w:val="null3"/>
        <w:ind w:firstLine="960"/>
      </w:pPr>
      <w:r>
        <w:rPr/>
        <w:t>详见附件：售后服务</w:t>
      </w:r>
    </w:p>
    <w:p>
      <w:pPr>
        <w:pStyle w:val="null3"/>
        <w:ind w:firstLine="960"/>
      </w:pPr>
      <w:r>
        <w:rPr/>
        <w:t>详见附件：培训方案</w:t>
      </w:r>
    </w:p>
    <w:p>
      <w:pPr>
        <w:pStyle w:val="null3"/>
        <w:ind w:firstLine="960"/>
      </w:pPr>
      <w:r>
        <w:rPr/>
        <w:t>详见附件：业绩一览表</w:t>
      </w:r>
    </w:p>
    <w:p>
      <w:pPr>
        <w:pStyle w:val="null3"/>
        <w:ind w:firstLine="960"/>
      </w:pPr>
      <w:r>
        <w:rPr/>
        <w:t>详见附件：产品技术参数表</w:t>
      </w:r>
    </w:p>
    <w:p>
      <w:pPr>
        <w:pStyle w:val="null3"/>
        <w:ind w:firstLine="960"/>
      </w:pPr>
      <w:r>
        <w:rPr/>
        <w:t>详见附件：供应商资格要求</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详见附件：合同模版.docx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