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AF476DC">
      <w:pPr>
        <w:spacing w:line="360" w:lineRule="auto"/>
        <w:ind w:firstLine="1680" w:firstLineChars="600"/>
        <w:rPr>
          <w:rFonts w:ascii="宋体" w:hAnsi="宋体" w:cs="仿宋"/>
          <w:sz w:val="28"/>
          <w:szCs w:val="28"/>
        </w:rPr>
      </w:pPr>
    </w:p>
    <w:p w14:paraId="7DE0F35F">
      <w:pPr>
        <w:spacing w:line="360" w:lineRule="auto"/>
        <w:rPr>
          <w:rFonts w:ascii="宋体" w:hAnsi="宋体" w:cs="仿宋"/>
          <w:sz w:val="28"/>
          <w:szCs w:val="28"/>
        </w:rPr>
      </w:pPr>
    </w:p>
    <w:p w14:paraId="78B3BBF5">
      <w:pPr>
        <w:tabs>
          <w:tab w:val="left" w:pos="5670"/>
        </w:tabs>
        <w:autoSpaceDE w:val="0"/>
        <w:autoSpaceDN w:val="0"/>
        <w:adjustRightInd w:val="0"/>
        <w:spacing w:line="360" w:lineRule="auto"/>
        <w:jc w:val="center"/>
        <w:rPr>
          <w:rFonts w:ascii="宋体" w:hAnsi="宋体" w:cs="宋体"/>
          <w:b/>
          <w:bCs/>
          <w:sz w:val="48"/>
          <w:szCs w:val="44"/>
          <w:lang w:val="zh-CN"/>
        </w:rPr>
      </w:pPr>
    </w:p>
    <w:p w14:paraId="136EE727">
      <w:pPr>
        <w:tabs>
          <w:tab w:val="left" w:pos="5670"/>
        </w:tabs>
        <w:autoSpaceDE w:val="0"/>
        <w:autoSpaceDN w:val="0"/>
        <w:adjustRightInd w:val="0"/>
        <w:spacing w:line="360" w:lineRule="auto"/>
        <w:jc w:val="center"/>
        <w:rPr>
          <w:rFonts w:ascii="宋体" w:hAnsi="宋体" w:cs="宋体"/>
          <w:b/>
          <w:bCs/>
          <w:sz w:val="48"/>
          <w:szCs w:val="44"/>
          <w:lang w:val="zh-CN"/>
        </w:rPr>
      </w:pPr>
      <w:r>
        <w:rPr>
          <w:rFonts w:hint="eastAsia" w:ascii="宋体" w:hAnsi="宋体" w:cs="宋体"/>
          <w:b/>
          <w:bCs/>
          <w:sz w:val="48"/>
          <w:szCs w:val="44"/>
          <w:lang w:val="zh-CN"/>
        </w:rPr>
        <w:t>陕西中医药大学附属医院</w:t>
      </w:r>
    </w:p>
    <w:p w14:paraId="32F18602">
      <w:pPr>
        <w:ind w:left="-105" w:leftChars="-50" w:right="-105" w:rightChars="-50"/>
        <w:jc w:val="center"/>
        <w:rPr>
          <w:rFonts w:ascii="宋体" w:hAnsi="宋体"/>
          <w:b/>
          <w:sz w:val="48"/>
          <w:szCs w:val="48"/>
        </w:rPr>
      </w:pPr>
      <w:r>
        <w:rPr>
          <w:rFonts w:hint="eastAsia" w:ascii="宋体" w:hAnsi="宋体"/>
          <w:b/>
          <w:sz w:val="48"/>
          <w:szCs w:val="48"/>
        </w:rPr>
        <w:t>中药质量提升项目</w:t>
      </w:r>
      <w:bookmarkStart w:id="0" w:name="_GoBack"/>
      <w:bookmarkEnd w:id="0"/>
    </w:p>
    <w:p w14:paraId="2D84D7FA">
      <w:pPr>
        <w:spacing w:line="360" w:lineRule="auto"/>
        <w:ind w:firstLine="1084" w:firstLineChars="300"/>
        <w:jc w:val="center"/>
        <w:rPr>
          <w:rFonts w:ascii="宋体" w:hAnsi="宋体" w:cs="仿宋"/>
          <w:b/>
          <w:bCs/>
          <w:sz w:val="36"/>
          <w:szCs w:val="36"/>
        </w:rPr>
      </w:pPr>
    </w:p>
    <w:p w14:paraId="66ADACE9">
      <w:pPr>
        <w:tabs>
          <w:tab w:val="left" w:pos="5670"/>
        </w:tabs>
        <w:autoSpaceDE w:val="0"/>
        <w:autoSpaceDN w:val="0"/>
        <w:adjustRightInd w:val="0"/>
        <w:spacing w:line="360" w:lineRule="auto"/>
        <w:jc w:val="center"/>
        <w:rPr>
          <w:rFonts w:ascii="宋体" w:hAnsi="宋体" w:cs="宋体"/>
          <w:b/>
          <w:bCs/>
          <w:sz w:val="48"/>
          <w:szCs w:val="44"/>
          <w:lang w:val="zh-CN"/>
        </w:rPr>
      </w:pPr>
    </w:p>
    <w:p w14:paraId="5DD25202">
      <w:pPr>
        <w:tabs>
          <w:tab w:val="left" w:pos="5670"/>
        </w:tabs>
        <w:autoSpaceDE w:val="0"/>
        <w:autoSpaceDN w:val="0"/>
        <w:adjustRightInd w:val="0"/>
        <w:spacing w:line="360" w:lineRule="auto"/>
        <w:jc w:val="center"/>
        <w:rPr>
          <w:rFonts w:ascii="宋体" w:hAnsi="宋体" w:cs="宋体"/>
          <w:b/>
          <w:bCs/>
          <w:sz w:val="48"/>
          <w:szCs w:val="44"/>
          <w:lang w:val="zh-CN"/>
        </w:rPr>
      </w:pPr>
    </w:p>
    <w:p w14:paraId="67027AE5">
      <w:pPr>
        <w:tabs>
          <w:tab w:val="left" w:pos="5670"/>
        </w:tabs>
        <w:autoSpaceDE w:val="0"/>
        <w:autoSpaceDN w:val="0"/>
        <w:adjustRightInd w:val="0"/>
        <w:spacing w:line="360" w:lineRule="auto"/>
        <w:jc w:val="center"/>
        <w:rPr>
          <w:rFonts w:ascii="宋体" w:hAnsi="宋体" w:cs="宋体"/>
          <w:b/>
          <w:bCs/>
          <w:sz w:val="48"/>
          <w:szCs w:val="44"/>
          <w:lang w:val="zh-CN"/>
        </w:rPr>
      </w:pPr>
      <w:r>
        <w:rPr>
          <w:rFonts w:hint="eastAsia" w:ascii="宋体" w:hAnsi="宋体" w:cs="宋体"/>
          <w:b/>
          <w:bCs/>
          <w:sz w:val="48"/>
          <w:szCs w:val="44"/>
          <w:lang w:val="zh-CN"/>
        </w:rPr>
        <w:t>采购合同</w:t>
      </w:r>
    </w:p>
    <w:p w14:paraId="2B3D2D31">
      <w:pPr>
        <w:spacing w:line="360" w:lineRule="auto"/>
        <w:ind w:firstLine="720" w:firstLineChars="300"/>
        <w:rPr>
          <w:rFonts w:ascii="宋体" w:hAnsi="宋体" w:cs="仿宋"/>
          <w:sz w:val="24"/>
        </w:rPr>
      </w:pPr>
    </w:p>
    <w:p w14:paraId="24B8A782">
      <w:pPr>
        <w:spacing w:line="360" w:lineRule="auto"/>
        <w:ind w:firstLine="720" w:firstLineChars="300"/>
        <w:rPr>
          <w:rFonts w:ascii="宋体" w:hAnsi="宋体" w:cs="仿宋"/>
          <w:sz w:val="24"/>
        </w:rPr>
      </w:pPr>
    </w:p>
    <w:p w14:paraId="37F3D5E6">
      <w:pPr>
        <w:spacing w:line="360" w:lineRule="auto"/>
        <w:ind w:firstLine="720" w:firstLineChars="300"/>
        <w:rPr>
          <w:rFonts w:ascii="宋体" w:hAnsi="宋体" w:cs="仿宋"/>
          <w:sz w:val="24"/>
        </w:rPr>
      </w:pPr>
    </w:p>
    <w:p w14:paraId="6D2C6F9E">
      <w:pPr>
        <w:spacing w:line="360" w:lineRule="auto"/>
        <w:ind w:firstLine="720" w:firstLineChars="300"/>
        <w:rPr>
          <w:rFonts w:ascii="宋体" w:hAnsi="宋体" w:cs="仿宋"/>
          <w:sz w:val="24"/>
        </w:rPr>
      </w:pPr>
    </w:p>
    <w:p w14:paraId="1DDD2770">
      <w:pPr>
        <w:spacing w:line="360" w:lineRule="auto"/>
        <w:ind w:firstLine="720" w:firstLineChars="300"/>
        <w:rPr>
          <w:rFonts w:ascii="宋体" w:hAnsi="宋体" w:cs="仿宋"/>
          <w:sz w:val="24"/>
        </w:rPr>
      </w:pPr>
    </w:p>
    <w:p w14:paraId="1398D322">
      <w:pPr>
        <w:spacing w:line="360" w:lineRule="auto"/>
        <w:ind w:firstLine="720" w:firstLineChars="300"/>
        <w:rPr>
          <w:rFonts w:ascii="宋体" w:hAnsi="宋体" w:cs="仿宋"/>
          <w:sz w:val="24"/>
        </w:rPr>
      </w:pPr>
    </w:p>
    <w:p w14:paraId="0EEF6270">
      <w:pPr>
        <w:spacing w:line="360" w:lineRule="auto"/>
        <w:ind w:firstLine="720" w:firstLineChars="300"/>
        <w:rPr>
          <w:rFonts w:ascii="宋体" w:hAnsi="宋体" w:cs="仿宋"/>
          <w:sz w:val="24"/>
        </w:rPr>
      </w:pPr>
    </w:p>
    <w:p w14:paraId="6EE3F626">
      <w:pPr>
        <w:spacing w:line="360" w:lineRule="auto"/>
        <w:ind w:firstLine="720" w:firstLineChars="300"/>
        <w:rPr>
          <w:rFonts w:ascii="宋体" w:hAnsi="宋体" w:cs="仿宋"/>
          <w:sz w:val="24"/>
        </w:rPr>
      </w:pPr>
    </w:p>
    <w:p w14:paraId="5A70D758">
      <w:pPr>
        <w:spacing w:line="360" w:lineRule="auto"/>
        <w:ind w:firstLine="720" w:firstLineChars="300"/>
        <w:rPr>
          <w:rFonts w:ascii="宋体" w:hAnsi="宋体" w:cs="仿宋"/>
          <w:sz w:val="24"/>
        </w:rPr>
      </w:pPr>
      <w:r>
        <w:rPr>
          <w:rFonts w:hint="eastAsia" w:ascii="宋体" w:hAnsi="宋体" w:cs="仿宋"/>
          <w:sz w:val="24"/>
        </w:rPr>
        <w:t xml:space="preserve">         合同编号：</w:t>
      </w:r>
    </w:p>
    <w:p w14:paraId="7C41F122">
      <w:pPr>
        <w:spacing w:line="360" w:lineRule="auto"/>
        <w:ind w:firstLine="720" w:firstLineChars="300"/>
        <w:rPr>
          <w:rFonts w:ascii="宋体" w:hAnsi="宋体" w:cs="仿宋"/>
          <w:sz w:val="24"/>
        </w:rPr>
      </w:pPr>
      <w:r>
        <w:rPr>
          <w:rFonts w:hint="eastAsia" w:ascii="宋体" w:hAnsi="宋体" w:cs="仿宋"/>
          <w:sz w:val="24"/>
        </w:rPr>
        <w:t xml:space="preserve">         签约地点：</w:t>
      </w:r>
    </w:p>
    <w:p w14:paraId="642BFC79">
      <w:pPr>
        <w:spacing w:line="360" w:lineRule="auto"/>
        <w:ind w:firstLine="720" w:firstLineChars="300"/>
        <w:rPr>
          <w:rFonts w:ascii="宋体" w:hAnsi="宋体" w:cs="仿宋"/>
          <w:sz w:val="24"/>
        </w:rPr>
      </w:pPr>
      <w:r>
        <w:rPr>
          <w:rFonts w:hint="eastAsia" w:ascii="宋体" w:hAnsi="宋体" w:cs="仿宋"/>
          <w:sz w:val="24"/>
        </w:rPr>
        <w:t xml:space="preserve">         甲    方：陕西中医药大学附属医院</w:t>
      </w:r>
      <w:r>
        <w:rPr>
          <w:rFonts w:ascii="宋体" w:hAnsi="宋体" w:cs="仿宋"/>
          <w:sz w:val="24"/>
        </w:rPr>
        <w:t xml:space="preserve"> </w:t>
      </w:r>
    </w:p>
    <w:p w14:paraId="21A09151">
      <w:pPr>
        <w:spacing w:line="360" w:lineRule="auto"/>
        <w:ind w:firstLine="720" w:firstLineChars="300"/>
        <w:rPr>
          <w:rFonts w:hint="eastAsia" w:ascii="宋体" w:hAnsi="宋体" w:cs="仿宋"/>
          <w:sz w:val="24"/>
        </w:rPr>
      </w:pPr>
      <w:r>
        <w:rPr>
          <w:rFonts w:hint="eastAsia" w:ascii="宋体" w:hAnsi="宋体" w:cs="仿宋"/>
          <w:sz w:val="24"/>
        </w:rPr>
        <w:t xml:space="preserve">         乙    方：</w:t>
      </w:r>
    </w:p>
    <w:p w14:paraId="537D1487">
      <w:pPr>
        <w:spacing w:line="360" w:lineRule="auto"/>
        <w:ind w:firstLine="720" w:firstLineChars="300"/>
        <w:rPr>
          <w:rFonts w:ascii="宋体" w:hAnsi="宋体" w:cs="仿宋"/>
          <w:sz w:val="24"/>
        </w:rPr>
      </w:pPr>
      <w:r>
        <w:rPr>
          <w:rFonts w:hint="eastAsia" w:ascii="宋体" w:hAnsi="宋体" w:cs="仿宋"/>
          <w:sz w:val="24"/>
        </w:rPr>
        <w:t xml:space="preserve">         签约日期：      年     月    日</w:t>
      </w:r>
    </w:p>
    <w:p w14:paraId="4FA174B4">
      <w:pPr>
        <w:pStyle w:val="27"/>
        <w:spacing w:line="360" w:lineRule="auto"/>
        <w:ind w:firstLine="640"/>
        <w:rPr>
          <w:rFonts w:ascii="宋体" w:hAnsi="宋体"/>
        </w:rPr>
      </w:pPr>
    </w:p>
    <w:p w14:paraId="144C7FE9">
      <w:pPr>
        <w:rPr>
          <w:rFonts w:ascii="宋体" w:hAnsi="宋体"/>
        </w:rPr>
      </w:pPr>
    </w:p>
    <w:p w14:paraId="70151DC4">
      <w:pPr>
        <w:spacing w:line="360" w:lineRule="auto"/>
        <w:jc w:val="center"/>
        <w:rPr>
          <w:rFonts w:ascii="宋体" w:hAnsi="宋体" w:cs="仿宋"/>
          <w:b/>
          <w:bCs/>
          <w:sz w:val="32"/>
          <w:szCs w:val="32"/>
        </w:rPr>
      </w:pPr>
      <w:r>
        <w:rPr>
          <w:rFonts w:hint="eastAsia" w:ascii="宋体" w:hAnsi="宋体" w:cs="仿宋"/>
          <w:b/>
          <w:bCs/>
          <w:sz w:val="32"/>
          <w:szCs w:val="32"/>
        </w:rPr>
        <w:br w:type="page"/>
      </w:r>
      <w:r>
        <w:rPr>
          <w:rFonts w:hint="eastAsia" w:ascii="宋体" w:hAnsi="宋体" w:cs="仿宋"/>
          <w:b/>
          <w:bCs/>
          <w:sz w:val="32"/>
          <w:szCs w:val="32"/>
        </w:rPr>
        <w:t>采购合同</w:t>
      </w:r>
    </w:p>
    <w:p w14:paraId="1086FE82">
      <w:pPr>
        <w:spacing w:line="400" w:lineRule="exact"/>
        <w:ind w:right="-298"/>
        <w:jc w:val="center"/>
        <w:rPr>
          <w:rFonts w:ascii="宋体" w:hAnsi="宋体"/>
          <w:sz w:val="24"/>
        </w:rPr>
      </w:pPr>
      <w:r>
        <w:rPr>
          <w:rFonts w:hint="eastAsia" w:ascii="宋体" w:hAnsi="宋体"/>
          <w:sz w:val="24"/>
        </w:rPr>
        <w:t xml:space="preserve">        </w:t>
      </w:r>
    </w:p>
    <w:p w14:paraId="0A06F9A9">
      <w:pPr>
        <w:spacing w:line="360" w:lineRule="auto"/>
        <w:rPr>
          <w:rFonts w:ascii="宋体" w:hAnsi="宋体" w:cs="仿宋"/>
          <w:sz w:val="24"/>
        </w:rPr>
      </w:pPr>
      <w:r>
        <w:rPr>
          <w:rFonts w:hint="eastAsia" w:ascii="宋体" w:hAnsi="宋体" w:cs="仿宋"/>
          <w:sz w:val="24"/>
        </w:rPr>
        <w:t>甲方（需方）：陕西中医药大学附属医院</w:t>
      </w:r>
    </w:p>
    <w:p w14:paraId="1A771F01">
      <w:pPr>
        <w:spacing w:line="360" w:lineRule="auto"/>
        <w:rPr>
          <w:rFonts w:ascii="宋体" w:hAnsi="宋体" w:cs="仿宋"/>
          <w:sz w:val="24"/>
          <w:lang w:val="zh-CN"/>
        </w:rPr>
      </w:pPr>
      <w:r>
        <w:rPr>
          <w:rFonts w:hint="eastAsia" w:ascii="宋体" w:hAnsi="宋体" w:cs="仿宋"/>
          <w:sz w:val="24"/>
        </w:rPr>
        <w:t>乙方（供方）：</w:t>
      </w:r>
    </w:p>
    <w:p w14:paraId="4AAD68D3">
      <w:pPr>
        <w:spacing w:beforeLines="100" w:line="360" w:lineRule="auto"/>
        <w:ind w:firstLine="480" w:firstLineChars="200"/>
        <w:jc w:val="left"/>
        <w:rPr>
          <w:rFonts w:ascii="宋体" w:hAnsi="宋体" w:cs="仿宋"/>
          <w:sz w:val="24"/>
        </w:rPr>
      </w:pPr>
      <w:r>
        <w:rPr>
          <w:rFonts w:hint="eastAsia" w:ascii="宋体" w:hAnsi="宋体" w:cs="仿宋"/>
          <w:sz w:val="24"/>
        </w:rPr>
        <w:t>甲、乙双方基于公平、公正、平等的原则，依据《中华人民共和国民法典》之相关规定，现经甲、乙双方友好协商，就</w:t>
      </w:r>
      <w:r>
        <w:rPr>
          <w:rFonts w:hint="eastAsia" w:ascii="宋体" w:hAnsi="宋体" w:cs="仿宋"/>
          <w:sz w:val="24"/>
          <w:u w:val="single"/>
        </w:rPr>
        <w:t>陕西中医药大学附属医院</w:t>
      </w:r>
      <w:r>
        <w:rPr>
          <w:rFonts w:hint="eastAsia" w:ascii="宋体" w:hAnsi="宋体" w:cs="仿宋"/>
          <w:sz w:val="24"/>
          <w:u w:val="single"/>
          <w:lang w:eastAsia="zh-CN"/>
        </w:rPr>
        <w:t>中药质量提升项目</w:t>
      </w:r>
      <w:r>
        <w:rPr>
          <w:rFonts w:hint="eastAsia" w:ascii="宋体" w:hAnsi="宋体" w:cs="仿宋"/>
          <w:sz w:val="24"/>
        </w:rPr>
        <w:t>达成以下合同条款：</w:t>
      </w:r>
    </w:p>
    <w:p w14:paraId="3EFAEF6E">
      <w:pPr>
        <w:spacing w:line="360" w:lineRule="auto"/>
        <w:ind w:firstLine="482" w:firstLineChars="200"/>
        <w:rPr>
          <w:rFonts w:ascii="宋体" w:hAnsi="宋体" w:cs="仿宋"/>
          <w:b/>
          <w:sz w:val="24"/>
        </w:rPr>
      </w:pPr>
      <w:r>
        <w:rPr>
          <w:rFonts w:hint="eastAsia" w:ascii="宋体" w:hAnsi="宋体" w:cs="仿宋"/>
          <w:b/>
          <w:sz w:val="24"/>
        </w:rPr>
        <w:t>第一条：产品清单</w:t>
      </w:r>
    </w:p>
    <w:p w14:paraId="030DAE3D">
      <w:pPr>
        <w:spacing w:line="360" w:lineRule="auto"/>
        <w:ind w:firstLine="480" w:firstLineChars="200"/>
        <w:rPr>
          <w:rFonts w:ascii="宋体" w:hAnsi="宋体" w:cs="仿宋"/>
          <w:sz w:val="24"/>
        </w:rPr>
      </w:pPr>
      <w:r>
        <w:rPr>
          <w:rFonts w:hint="eastAsia" w:ascii="宋体" w:hAnsi="宋体" w:cs="仿宋"/>
          <w:sz w:val="24"/>
        </w:rPr>
        <w:t>乙方按如下清单向甲方提供产品：</w:t>
      </w:r>
    </w:p>
    <w:p w14:paraId="38477837">
      <w:pPr>
        <w:spacing w:line="400" w:lineRule="exact"/>
        <w:ind w:firstLine="6240" w:firstLineChars="2600"/>
        <w:rPr>
          <w:rFonts w:ascii="宋体" w:hAnsi="宋体" w:cs="仿宋"/>
          <w:szCs w:val="21"/>
        </w:rPr>
      </w:pPr>
      <w:r>
        <w:rPr>
          <w:rFonts w:hint="eastAsia" w:ascii="宋体" w:hAnsi="宋体" w:cs="仿宋"/>
          <w:sz w:val="24"/>
        </w:rPr>
        <w:t xml:space="preserve">   </w:t>
      </w:r>
      <w:r>
        <w:rPr>
          <w:rFonts w:hint="eastAsia" w:ascii="宋体" w:hAnsi="宋体" w:cs="仿宋"/>
          <w:szCs w:val="21"/>
        </w:rPr>
        <w:t>单位：人民币元</w:t>
      </w:r>
    </w:p>
    <w:tbl>
      <w:tblPr>
        <w:tblStyle w:val="28"/>
        <w:tblW w:w="5000" w:type="pct"/>
        <w:tblInd w:w="0" w:type="dxa"/>
        <w:tblLayout w:type="autofit"/>
        <w:tblCellMar>
          <w:top w:w="0" w:type="dxa"/>
          <w:left w:w="15" w:type="dxa"/>
          <w:bottom w:w="0" w:type="dxa"/>
          <w:right w:w="15" w:type="dxa"/>
        </w:tblCellMar>
      </w:tblPr>
      <w:tblGrid>
        <w:gridCol w:w="693"/>
        <w:gridCol w:w="1617"/>
        <w:gridCol w:w="2154"/>
        <w:gridCol w:w="1254"/>
        <w:gridCol w:w="1002"/>
        <w:gridCol w:w="1616"/>
      </w:tblGrid>
      <w:tr w14:paraId="5BA24DA8">
        <w:tblPrEx>
          <w:tblCellMar>
            <w:top w:w="0" w:type="dxa"/>
            <w:left w:w="15" w:type="dxa"/>
            <w:bottom w:w="0" w:type="dxa"/>
            <w:right w:w="15" w:type="dxa"/>
          </w:tblCellMar>
        </w:tblPrEx>
        <w:tc>
          <w:tcPr>
            <w:tcW w:w="416" w:type="pct"/>
            <w:tcBorders>
              <w:top w:val="single" w:color="000000" w:sz="8" w:space="0"/>
              <w:left w:val="single" w:color="000000" w:sz="8" w:space="0"/>
              <w:bottom w:val="single" w:color="000000" w:sz="4" w:space="0"/>
              <w:right w:val="single" w:color="000000" w:sz="4" w:space="0"/>
            </w:tcBorders>
            <w:vAlign w:val="center"/>
          </w:tcPr>
          <w:p w14:paraId="7CD839EA">
            <w:pPr>
              <w:autoSpaceDN w:val="0"/>
              <w:jc w:val="center"/>
              <w:textAlignment w:val="center"/>
              <w:rPr>
                <w:rFonts w:ascii="宋体" w:hAnsi="宋体"/>
                <w:b/>
                <w:color w:val="000000"/>
                <w:szCs w:val="21"/>
              </w:rPr>
            </w:pPr>
            <w:r>
              <w:rPr>
                <w:rFonts w:ascii="宋体" w:hAnsi="宋体"/>
                <w:b/>
                <w:color w:val="000000"/>
                <w:szCs w:val="21"/>
              </w:rPr>
              <w:t>序号</w:t>
            </w:r>
          </w:p>
        </w:tc>
        <w:tc>
          <w:tcPr>
            <w:tcW w:w="970" w:type="pct"/>
            <w:tcBorders>
              <w:top w:val="single" w:color="000000" w:sz="8" w:space="0"/>
              <w:left w:val="single" w:color="000000" w:sz="4" w:space="0"/>
              <w:bottom w:val="single" w:color="000000" w:sz="4" w:space="0"/>
              <w:right w:val="single" w:color="000000" w:sz="4" w:space="0"/>
            </w:tcBorders>
            <w:vAlign w:val="center"/>
          </w:tcPr>
          <w:p w14:paraId="604A1DF9">
            <w:pPr>
              <w:autoSpaceDN w:val="0"/>
              <w:jc w:val="center"/>
              <w:textAlignment w:val="center"/>
              <w:rPr>
                <w:rFonts w:ascii="宋体" w:hAnsi="宋体"/>
                <w:b/>
                <w:color w:val="000000"/>
                <w:szCs w:val="21"/>
              </w:rPr>
            </w:pPr>
            <w:r>
              <w:rPr>
                <w:rFonts w:ascii="宋体" w:hAnsi="宋体"/>
                <w:b/>
                <w:color w:val="000000"/>
                <w:szCs w:val="21"/>
              </w:rPr>
              <w:t>产品名称</w:t>
            </w:r>
          </w:p>
        </w:tc>
        <w:tc>
          <w:tcPr>
            <w:tcW w:w="1292" w:type="pct"/>
            <w:tcBorders>
              <w:top w:val="single" w:color="000000" w:sz="8" w:space="0"/>
              <w:left w:val="single" w:color="000000" w:sz="4" w:space="0"/>
              <w:bottom w:val="single" w:color="000000" w:sz="4" w:space="0"/>
              <w:right w:val="single" w:color="000000" w:sz="4" w:space="0"/>
            </w:tcBorders>
            <w:vAlign w:val="center"/>
          </w:tcPr>
          <w:p w14:paraId="7059E745">
            <w:pPr>
              <w:autoSpaceDN w:val="0"/>
              <w:jc w:val="center"/>
              <w:textAlignment w:val="center"/>
              <w:rPr>
                <w:rFonts w:ascii="宋体" w:hAnsi="宋体"/>
                <w:b/>
                <w:color w:val="000000"/>
                <w:szCs w:val="21"/>
              </w:rPr>
            </w:pPr>
            <w:r>
              <w:rPr>
                <w:rFonts w:ascii="宋体" w:hAnsi="宋体"/>
                <w:b/>
                <w:color w:val="000000"/>
                <w:szCs w:val="21"/>
              </w:rPr>
              <w:t>品牌型号</w:t>
            </w:r>
          </w:p>
        </w:tc>
        <w:tc>
          <w:tcPr>
            <w:tcW w:w="752" w:type="pct"/>
            <w:tcBorders>
              <w:top w:val="single" w:color="000000" w:sz="8" w:space="0"/>
              <w:left w:val="single" w:color="000000" w:sz="4" w:space="0"/>
              <w:bottom w:val="single" w:color="000000" w:sz="4" w:space="0"/>
              <w:right w:val="single" w:color="000000" w:sz="4" w:space="0"/>
            </w:tcBorders>
            <w:vAlign w:val="center"/>
          </w:tcPr>
          <w:p w14:paraId="54DF02F0">
            <w:pPr>
              <w:autoSpaceDN w:val="0"/>
              <w:jc w:val="center"/>
              <w:textAlignment w:val="center"/>
              <w:rPr>
                <w:rFonts w:ascii="宋体" w:hAnsi="宋体"/>
                <w:b/>
                <w:color w:val="000000"/>
                <w:szCs w:val="21"/>
              </w:rPr>
            </w:pPr>
            <w:r>
              <w:rPr>
                <w:rFonts w:ascii="宋体" w:hAnsi="宋体"/>
                <w:b/>
                <w:color w:val="000000"/>
                <w:szCs w:val="21"/>
              </w:rPr>
              <w:t>单价</w:t>
            </w:r>
          </w:p>
        </w:tc>
        <w:tc>
          <w:tcPr>
            <w:tcW w:w="601" w:type="pct"/>
            <w:tcBorders>
              <w:top w:val="single" w:color="000000" w:sz="8" w:space="0"/>
              <w:left w:val="single" w:color="000000" w:sz="4" w:space="0"/>
              <w:bottom w:val="single" w:color="000000" w:sz="4" w:space="0"/>
              <w:right w:val="single" w:color="000000" w:sz="4" w:space="0"/>
            </w:tcBorders>
            <w:vAlign w:val="center"/>
          </w:tcPr>
          <w:p w14:paraId="008795AA">
            <w:pPr>
              <w:autoSpaceDN w:val="0"/>
              <w:jc w:val="center"/>
              <w:textAlignment w:val="center"/>
              <w:rPr>
                <w:rFonts w:ascii="宋体" w:hAnsi="宋体"/>
                <w:b/>
                <w:color w:val="000000"/>
                <w:szCs w:val="21"/>
              </w:rPr>
            </w:pPr>
            <w:r>
              <w:rPr>
                <w:rFonts w:ascii="宋体" w:hAnsi="宋体"/>
                <w:b/>
                <w:color w:val="000000"/>
                <w:szCs w:val="21"/>
              </w:rPr>
              <w:t>数量/单位</w:t>
            </w:r>
          </w:p>
        </w:tc>
        <w:tc>
          <w:tcPr>
            <w:tcW w:w="970" w:type="pct"/>
            <w:tcBorders>
              <w:top w:val="single" w:color="000000" w:sz="8" w:space="0"/>
              <w:left w:val="single" w:color="000000" w:sz="4" w:space="0"/>
              <w:bottom w:val="single" w:color="000000" w:sz="4" w:space="0"/>
              <w:right w:val="single" w:color="000000" w:sz="8" w:space="0"/>
            </w:tcBorders>
            <w:vAlign w:val="center"/>
          </w:tcPr>
          <w:p w14:paraId="254DB16E">
            <w:pPr>
              <w:autoSpaceDN w:val="0"/>
              <w:jc w:val="center"/>
              <w:textAlignment w:val="center"/>
              <w:rPr>
                <w:rFonts w:ascii="宋体" w:hAnsi="宋体"/>
                <w:b/>
                <w:color w:val="000000"/>
                <w:szCs w:val="21"/>
              </w:rPr>
            </w:pPr>
            <w:r>
              <w:rPr>
                <w:rFonts w:ascii="宋体" w:hAnsi="宋体"/>
                <w:b/>
                <w:color w:val="000000"/>
                <w:szCs w:val="21"/>
              </w:rPr>
              <w:t>总价</w:t>
            </w:r>
          </w:p>
        </w:tc>
      </w:tr>
      <w:tr w14:paraId="28965D13">
        <w:tblPrEx>
          <w:tblCellMar>
            <w:top w:w="0" w:type="dxa"/>
            <w:left w:w="15" w:type="dxa"/>
            <w:bottom w:w="0" w:type="dxa"/>
            <w:right w:w="15" w:type="dxa"/>
          </w:tblCellMar>
        </w:tblPrEx>
        <w:tc>
          <w:tcPr>
            <w:tcW w:w="416" w:type="pct"/>
            <w:tcBorders>
              <w:top w:val="single" w:color="000000" w:sz="4" w:space="0"/>
              <w:left w:val="single" w:color="000000" w:sz="8" w:space="0"/>
              <w:bottom w:val="single" w:color="000000" w:sz="4" w:space="0"/>
              <w:right w:val="single" w:color="000000" w:sz="4" w:space="0"/>
            </w:tcBorders>
            <w:vAlign w:val="center"/>
          </w:tcPr>
          <w:p w14:paraId="090D77E6">
            <w:pPr>
              <w:autoSpaceDN w:val="0"/>
              <w:jc w:val="center"/>
              <w:textAlignment w:val="center"/>
              <w:rPr>
                <w:rFonts w:ascii="宋体" w:hAnsi="宋体"/>
                <w:color w:val="000000"/>
                <w:szCs w:val="21"/>
              </w:rPr>
            </w:pPr>
            <w:r>
              <w:rPr>
                <w:rFonts w:ascii="宋体" w:hAnsi="宋体"/>
                <w:color w:val="000000"/>
                <w:szCs w:val="21"/>
              </w:rPr>
              <w:t>1.</w:t>
            </w:r>
          </w:p>
        </w:tc>
        <w:tc>
          <w:tcPr>
            <w:tcW w:w="970" w:type="pct"/>
            <w:tcBorders>
              <w:top w:val="single" w:color="000000" w:sz="4" w:space="0"/>
              <w:left w:val="single" w:color="000000" w:sz="4" w:space="0"/>
              <w:bottom w:val="single" w:color="000000" w:sz="4" w:space="0"/>
              <w:right w:val="single" w:color="000000" w:sz="4" w:space="0"/>
            </w:tcBorders>
            <w:vAlign w:val="center"/>
          </w:tcPr>
          <w:p w14:paraId="36855DA6">
            <w:pPr>
              <w:autoSpaceDN w:val="0"/>
              <w:jc w:val="center"/>
              <w:textAlignment w:val="center"/>
              <w:rPr>
                <w:rFonts w:ascii="宋体" w:hAnsi="宋体"/>
                <w:color w:val="000000"/>
                <w:szCs w:val="21"/>
              </w:rPr>
            </w:pPr>
          </w:p>
        </w:tc>
        <w:tc>
          <w:tcPr>
            <w:tcW w:w="1292" w:type="pct"/>
            <w:tcBorders>
              <w:top w:val="single" w:color="000000" w:sz="4" w:space="0"/>
              <w:left w:val="single" w:color="000000" w:sz="4" w:space="0"/>
              <w:bottom w:val="single" w:color="000000" w:sz="4" w:space="0"/>
              <w:right w:val="single" w:color="000000" w:sz="4" w:space="0"/>
            </w:tcBorders>
            <w:vAlign w:val="center"/>
          </w:tcPr>
          <w:p w14:paraId="5CE92872">
            <w:pPr>
              <w:autoSpaceDN w:val="0"/>
              <w:jc w:val="center"/>
              <w:textAlignment w:val="center"/>
              <w:rPr>
                <w:rFonts w:ascii="宋体" w:hAnsi="宋体"/>
                <w:color w:val="000000"/>
                <w:szCs w:val="21"/>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64200574">
            <w:pPr>
              <w:autoSpaceDN w:val="0"/>
              <w:jc w:val="center"/>
              <w:textAlignment w:val="center"/>
              <w:rPr>
                <w:rFonts w:ascii="宋体" w:hAnsi="宋体"/>
                <w:color w:val="000000"/>
                <w:szCs w:val="21"/>
              </w:rPr>
            </w:pPr>
          </w:p>
        </w:tc>
        <w:tc>
          <w:tcPr>
            <w:tcW w:w="601" w:type="pct"/>
            <w:tcBorders>
              <w:top w:val="single" w:color="000000" w:sz="4" w:space="0"/>
              <w:left w:val="single" w:color="000000" w:sz="4" w:space="0"/>
              <w:bottom w:val="single" w:color="000000" w:sz="4" w:space="0"/>
              <w:right w:val="single" w:color="000000" w:sz="4" w:space="0"/>
            </w:tcBorders>
            <w:vAlign w:val="center"/>
          </w:tcPr>
          <w:p w14:paraId="0942797C">
            <w:pPr>
              <w:autoSpaceDN w:val="0"/>
              <w:jc w:val="center"/>
              <w:textAlignment w:val="center"/>
              <w:rPr>
                <w:rFonts w:ascii="宋体" w:hAnsi="宋体"/>
                <w:color w:val="000000"/>
                <w:szCs w:val="21"/>
              </w:rPr>
            </w:pPr>
          </w:p>
        </w:tc>
        <w:tc>
          <w:tcPr>
            <w:tcW w:w="970" w:type="pct"/>
            <w:tcBorders>
              <w:top w:val="single" w:color="000000" w:sz="4" w:space="0"/>
              <w:left w:val="single" w:color="000000" w:sz="4" w:space="0"/>
              <w:bottom w:val="single" w:color="000000" w:sz="4" w:space="0"/>
              <w:right w:val="single" w:color="000000" w:sz="8" w:space="0"/>
            </w:tcBorders>
            <w:vAlign w:val="center"/>
          </w:tcPr>
          <w:p w14:paraId="71D2AC38">
            <w:pPr>
              <w:autoSpaceDN w:val="0"/>
              <w:jc w:val="center"/>
              <w:textAlignment w:val="center"/>
              <w:rPr>
                <w:rFonts w:ascii="宋体" w:hAnsi="宋体"/>
                <w:color w:val="000000"/>
                <w:szCs w:val="21"/>
              </w:rPr>
            </w:pPr>
          </w:p>
        </w:tc>
      </w:tr>
      <w:tr w14:paraId="15746C38">
        <w:tblPrEx>
          <w:tblCellMar>
            <w:top w:w="0" w:type="dxa"/>
            <w:left w:w="15" w:type="dxa"/>
            <w:bottom w:w="0" w:type="dxa"/>
            <w:right w:w="15" w:type="dxa"/>
          </w:tblCellMar>
        </w:tblPrEx>
        <w:tc>
          <w:tcPr>
            <w:tcW w:w="416" w:type="pct"/>
            <w:tcBorders>
              <w:top w:val="single" w:color="000000" w:sz="4" w:space="0"/>
              <w:left w:val="single" w:color="000000" w:sz="8" w:space="0"/>
              <w:bottom w:val="single" w:color="000000" w:sz="4" w:space="0"/>
              <w:right w:val="single" w:color="000000" w:sz="4" w:space="0"/>
            </w:tcBorders>
            <w:vAlign w:val="center"/>
          </w:tcPr>
          <w:p w14:paraId="3E578D3D">
            <w:pPr>
              <w:autoSpaceDN w:val="0"/>
              <w:jc w:val="center"/>
              <w:textAlignment w:val="center"/>
              <w:rPr>
                <w:rFonts w:ascii="宋体" w:hAnsi="宋体"/>
                <w:color w:val="000000"/>
                <w:szCs w:val="21"/>
              </w:rPr>
            </w:pPr>
            <w:r>
              <w:rPr>
                <w:rFonts w:ascii="宋体" w:hAnsi="宋体"/>
                <w:color w:val="000000"/>
                <w:szCs w:val="21"/>
              </w:rPr>
              <w:t>2.</w:t>
            </w:r>
          </w:p>
        </w:tc>
        <w:tc>
          <w:tcPr>
            <w:tcW w:w="970" w:type="pct"/>
            <w:tcBorders>
              <w:top w:val="single" w:color="000000" w:sz="4" w:space="0"/>
              <w:left w:val="single" w:color="000000" w:sz="4" w:space="0"/>
              <w:bottom w:val="single" w:color="000000" w:sz="4" w:space="0"/>
              <w:right w:val="single" w:color="000000" w:sz="4" w:space="0"/>
            </w:tcBorders>
            <w:vAlign w:val="center"/>
          </w:tcPr>
          <w:p w14:paraId="35FAD207">
            <w:pPr>
              <w:autoSpaceDN w:val="0"/>
              <w:jc w:val="center"/>
              <w:textAlignment w:val="center"/>
              <w:rPr>
                <w:rFonts w:ascii="宋体" w:hAnsi="宋体"/>
                <w:color w:val="000000"/>
                <w:szCs w:val="21"/>
              </w:rPr>
            </w:pPr>
          </w:p>
        </w:tc>
        <w:tc>
          <w:tcPr>
            <w:tcW w:w="1292" w:type="pct"/>
            <w:tcBorders>
              <w:top w:val="single" w:color="000000" w:sz="4" w:space="0"/>
              <w:left w:val="single" w:color="000000" w:sz="4" w:space="0"/>
              <w:bottom w:val="single" w:color="000000" w:sz="4" w:space="0"/>
              <w:right w:val="single" w:color="000000" w:sz="4" w:space="0"/>
            </w:tcBorders>
            <w:vAlign w:val="center"/>
          </w:tcPr>
          <w:p w14:paraId="48297E34">
            <w:pPr>
              <w:autoSpaceDN w:val="0"/>
              <w:jc w:val="center"/>
              <w:textAlignment w:val="center"/>
              <w:rPr>
                <w:rFonts w:ascii="宋体" w:hAnsi="宋体"/>
                <w:color w:val="000000"/>
                <w:szCs w:val="21"/>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3FA4B432">
            <w:pPr>
              <w:autoSpaceDN w:val="0"/>
              <w:jc w:val="center"/>
              <w:textAlignment w:val="center"/>
              <w:rPr>
                <w:rFonts w:ascii="宋体" w:hAnsi="宋体"/>
                <w:color w:val="000000"/>
                <w:szCs w:val="21"/>
              </w:rPr>
            </w:pPr>
          </w:p>
        </w:tc>
        <w:tc>
          <w:tcPr>
            <w:tcW w:w="601" w:type="pct"/>
            <w:tcBorders>
              <w:top w:val="single" w:color="000000" w:sz="4" w:space="0"/>
              <w:left w:val="single" w:color="000000" w:sz="4" w:space="0"/>
              <w:bottom w:val="single" w:color="000000" w:sz="4" w:space="0"/>
              <w:right w:val="single" w:color="000000" w:sz="4" w:space="0"/>
            </w:tcBorders>
            <w:vAlign w:val="center"/>
          </w:tcPr>
          <w:p w14:paraId="24D450A4">
            <w:pPr>
              <w:autoSpaceDN w:val="0"/>
              <w:jc w:val="center"/>
              <w:textAlignment w:val="center"/>
              <w:rPr>
                <w:rFonts w:ascii="宋体" w:hAnsi="宋体"/>
                <w:color w:val="000000"/>
                <w:szCs w:val="21"/>
              </w:rPr>
            </w:pPr>
          </w:p>
        </w:tc>
        <w:tc>
          <w:tcPr>
            <w:tcW w:w="970" w:type="pct"/>
            <w:tcBorders>
              <w:top w:val="single" w:color="000000" w:sz="4" w:space="0"/>
              <w:left w:val="single" w:color="000000" w:sz="4" w:space="0"/>
              <w:bottom w:val="single" w:color="000000" w:sz="4" w:space="0"/>
              <w:right w:val="single" w:color="000000" w:sz="8" w:space="0"/>
            </w:tcBorders>
            <w:vAlign w:val="center"/>
          </w:tcPr>
          <w:p w14:paraId="27846512">
            <w:pPr>
              <w:autoSpaceDN w:val="0"/>
              <w:jc w:val="center"/>
              <w:textAlignment w:val="center"/>
              <w:rPr>
                <w:rFonts w:ascii="宋体" w:hAnsi="宋体"/>
                <w:color w:val="000000"/>
                <w:szCs w:val="21"/>
              </w:rPr>
            </w:pPr>
          </w:p>
        </w:tc>
      </w:tr>
      <w:tr w14:paraId="365E50FA">
        <w:tblPrEx>
          <w:tblCellMar>
            <w:top w:w="0" w:type="dxa"/>
            <w:left w:w="15" w:type="dxa"/>
            <w:bottom w:w="0" w:type="dxa"/>
            <w:right w:w="15" w:type="dxa"/>
          </w:tblCellMar>
        </w:tblPrEx>
        <w:tc>
          <w:tcPr>
            <w:tcW w:w="416" w:type="pct"/>
            <w:tcBorders>
              <w:top w:val="single" w:color="000000" w:sz="4" w:space="0"/>
              <w:left w:val="single" w:color="000000" w:sz="8" w:space="0"/>
              <w:bottom w:val="single" w:color="000000" w:sz="4" w:space="0"/>
              <w:right w:val="single" w:color="000000" w:sz="4" w:space="0"/>
            </w:tcBorders>
            <w:vAlign w:val="center"/>
          </w:tcPr>
          <w:p w14:paraId="33BD2C14">
            <w:pPr>
              <w:autoSpaceDN w:val="0"/>
              <w:jc w:val="center"/>
              <w:textAlignment w:val="center"/>
              <w:rPr>
                <w:rFonts w:ascii="宋体" w:hAnsi="宋体"/>
                <w:color w:val="000000"/>
                <w:szCs w:val="21"/>
              </w:rPr>
            </w:pPr>
            <w:r>
              <w:rPr>
                <w:rFonts w:ascii="宋体" w:hAnsi="宋体"/>
                <w:color w:val="000000"/>
                <w:szCs w:val="21"/>
              </w:rPr>
              <w:t>3.</w:t>
            </w:r>
          </w:p>
        </w:tc>
        <w:tc>
          <w:tcPr>
            <w:tcW w:w="970" w:type="pct"/>
            <w:tcBorders>
              <w:top w:val="single" w:color="000000" w:sz="4" w:space="0"/>
              <w:left w:val="single" w:color="000000" w:sz="4" w:space="0"/>
              <w:bottom w:val="single" w:color="000000" w:sz="4" w:space="0"/>
              <w:right w:val="single" w:color="000000" w:sz="4" w:space="0"/>
            </w:tcBorders>
            <w:vAlign w:val="center"/>
          </w:tcPr>
          <w:p w14:paraId="7C2CD2DC">
            <w:pPr>
              <w:autoSpaceDN w:val="0"/>
              <w:jc w:val="center"/>
              <w:textAlignment w:val="center"/>
              <w:rPr>
                <w:rFonts w:ascii="宋体" w:hAnsi="宋体"/>
                <w:color w:val="000000"/>
                <w:szCs w:val="21"/>
              </w:rPr>
            </w:pPr>
          </w:p>
        </w:tc>
        <w:tc>
          <w:tcPr>
            <w:tcW w:w="1292" w:type="pct"/>
            <w:tcBorders>
              <w:top w:val="single" w:color="000000" w:sz="4" w:space="0"/>
              <w:left w:val="single" w:color="000000" w:sz="4" w:space="0"/>
              <w:bottom w:val="single" w:color="000000" w:sz="4" w:space="0"/>
              <w:right w:val="single" w:color="000000" w:sz="4" w:space="0"/>
            </w:tcBorders>
            <w:vAlign w:val="center"/>
          </w:tcPr>
          <w:p w14:paraId="5F82D0F6">
            <w:pPr>
              <w:autoSpaceDN w:val="0"/>
              <w:jc w:val="center"/>
              <w:textAlignment w:val="center"/>
              <w:rPr>
                <w:rFonts w:ascii="宋体" w:hAnsi="宋体"/>
                <w:color w:val="000000"/>
                <w:szCs w:val="21"/>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253D60C4">
            <w:pPr>
              <w:autoSpaceDN w:val="0"/>
              <w:jc w:val="center"/>
              <w:textAlignment w:val="center"/>
              <w:rPr>
                <w:rFonts w:ascii="宋体" w:hAnsi="宋体"/>
                <w:color w:val="000000"/>
                <w:szCs w:val="21"/>
              </w:rPr>
            </w:pPr>
          </w:p>
        </w:tc>
        <w:tc>
          <w:tcPr>
            <w:tcW w:w="601" w:type="pct"/>
            <w:tcBorders>
              <w:top w:val="single" w:color="000000" w:sz="4" w:space="0"/>
              <w:left w:val="single" w:color="000000" w:sz="4" w:space="0"/>
              <w:bottom w:val="single" w:color="000000" w:sz="4" w:space="0"/>
              <w:right w:val="single" w:color="000000" w:sz="4" w:space="0"/>
            </w:tcBorders>
            <w:vAlign w:val="center"/>
          </w:tcPr>
          <w:p w14:paraId="7972D114">
            <w:pPr>
              <w:autoSpaceDN w:val="0"/>
              <w:jc w:val="center"/>
              <w:textAlignment w:val="center"/>
              <w:rPr>
                <w:rFonts w:ascii="宋体" w:hAnsi="宋体"/>
                <w:color w:val="000000"/>
                <w:szCs w:val="21"/>
              </w:rPr>
            </w:pPr>
          </w:p>
        </w:tc>
        <w:tc>
          <w:tcPr>
            <w:tcW w:w="970" w:type="pct"/>
            <w:tcBorders>
              <w:top w:val="single" w:color="000000" w:sz="4" w:space="0"/>
              <w:left w:val="single" w:color="000000" w:sz="4" w:space="0"/>
              <w:bottom w:val="single" w:color="000000" w:sz="4" w:space="0"/>
              <w:right w:val="single" w:color="000000" w:sz="8" w:space="0"/>
            </w:tcBorders>
            <w:vAlign w:val="center"/>
          </w:tcPr>
          <w:p w14:paraId="2A21BFE2">
            <w:pPr>
              <w:autoSpaceDN w:val="0"/>
              <w:jc w:val="center"/>
              <w:textAlignment w:val="center"/>
              <w:rPr>
                <w:rFonts w:ascii="宋体" w:hAnsi="宋体"/>
                <w:color w:val="000000"/>
                <w:szCs w:val="21"/>
              </w:rPr>
            </w:pPr>
          </w:p>
        </w:tc>
      </w:tr>
      <w:tr w14:paraId="59A44FCD">
        <w:tblPrEx>
          <w:tblCellMar>
            <w:top w:w="0" w:type="dxa"/>
            <w:left w:w="15" w:type="dxa"/>
            <w:bottom w:w="0" w:type="dxa"/>
            <w:right w:w="15" w:type="dxa"/>
          </w:tblCellMar>
        </w:tblPrEx>
        <w:tc>
          <w:tcPr>
            <w:tcW w:w="416" w:type="pct"/>
            <w:tcBorders>
              <w:top w:val="single" w:color="000000" w:sz="4" w:space="0"/>
              <w:left w:val="single" w:color="000000" w:sz="8" w:space="0"/>
              <w:bottom w:val="single" w:color="000000" w:sz="4" w:space="0"/>
              <w:right w:val="single" w:color="000000" w:sz="4" w:space="0"/>
            </w:tcBorders>
            <w:vAlign w:val="center"/>
          </w:tcPr>
          <w:p w14:paraId="53462178">
            <w:pPr>
              <w:autoSpaceDN w:val="0"/>
              <w:jc w:val="center"/>
              <w:textAlignment w:val="center"/>
              <w:rPr>
                <w:rFonts w:ascii="宋体" w:hAnsi="宋体"/>
                <w:color w:val="000000"/>
                <w:szCs w:val="21"/>
              </w:rPr>
            </w:pPr>
            <w:r>
              <w:rPr>
                <w:rFonts w:hint="eastAsia" w:ascii="宋体" w:hAnsi="宋体"/>
                <w:color w:val="000000"/>
                <w:szCs w:val="21"/>
              </w:rPr>
              <w:t>4</w:t>
            </w:r>
            <w:r>
              <w:rPr>
                <w:rFonts w:ascii="宋体" w:hAnsi="宋体"/>
                <w:color w:val="000000"/>
                <w:szCs w:val="21"/>
              </w:rPr>
              <w:t>.</w:t>
            </w:r>
          </w:p>
        </w:tc>
        <w:tc>
          <w:tcPr>
            <w:tcW w:w="970" w:type="pct"/>
            <w:tcBorders>
              <w:top w:val="single" w:color="000000" w:sz="4" w:space="0"/>
              <w:left w:val="single" w:color="000000" w:sz="4" w:space="0"/>
              <w:bottom w:val="single" w:color="000000" w:sz="4" w:space="0"/>
              <w:right w:val="single" w:color="000000" w:sz="4" w:space="0"/>
            </w:tcBorders>
            <w:vAlign w:val="center"/>
          </w:tcPr>
          <w:p w14:paraId="364C591C">
            <w:pPr>
              <w:autoSpaceDN w:val="0"/>
              <w:jc w:val="center"/>
              <w:textAlignment w:val="center"/>
              <w:rPr>
                <w:rFonts w:ascii="宋体" w:hAnsi="宋体"/>
                <w:color w:val="000000"/>
                <w:szCs w:val="21"/>
              </w:rPr>
            </w:pPr>
          </w:p>
        </w:tc>
        <w:tc>
          <w:tcPr>
            <w:tcW w:w="1292" w:type="pct"/>
            <w:tcBorders>
              <w:top w:val="single" w:color="000000" w:sz="4" w:space="0"/>
              <w:left w:val="single" w:color="000000" w:sz="4" w:space="0"/>
              <w:bottom w:val="single" w:color="000000" w:sz="4" w:space="0"/>
              <w:right w:val="single" w:color="000000" w:sz="4" w:space="0"/>
            </w:tcBorders>
            <w:vAlign w:val="center"/>
          </w:tcPr>
          <w:p w14:paraId="6F025997">
            <w:pPr>
              <w:autoSpaceDN w:val="0"/>
              <w:jc w:val="center"/>
              <w:textAlignment w:val="center"/>
              <w:rPr>
                <w:rFonts w:ascii="宋体" w:hAnsi="宋体"/>
                <w:color w:val="000000"/>
                <w:szCs w:val="21"/>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4393A84E">
            <w:pPr>
              <w:autoSpaceDN w:val="0"/>
              <w:jc w:val="center"/>
              <w:textAlignment w:val="center"/>
              <w:rPr>
                <w:rFonts w:ascii="宋体" w:hAnsi="宋体"/>
                <w:color w:val="000000"/>
                <w:szCs w:val="21"/>
              </w:rPr>
            </w:pPr>
          </w:p>
        </w:tc>
        <w:tc>
          <w:tcPr>
            <w:tcW w:w="601" w:type="pct"/>
            <w:tcBorders>
              <w:top w:val="single" w:color="000000" w:sz="4" w:space="0"/>
              <w:left w:val="single" w:color="000000" w:sz="4" w:space="0"/>
              <w:bottom w:val="single" w:color="000000" w:sz="4" w:space="0"/>
              <w:right w:val="single" w:color="000000" w:sz="4" w:space="0"/>
            </w:tcBorders>
            <w:vAlign w:val="center"/>
          </w:tcPr>
          <w:p w14:paraId="23B39830">
            <w:pPr>
              <w:autoSpaceDN w:val="0"/>
              <w:jc w:val="center"/>
              <w:textAlignment w:val="center"/>
              <w:rPr>
                <w:rFonts w:ascii="宋体" w:hAnsi="宋体"/>
                <w:color w:val="000000"/>
                <w:szCs w:val="21"/>
              </w:rPr>
            </w:pPr>
          </w:p>
        </w:tc>
        <w:tc>
          <w:tcPr>
            <w:tcW w:w="970" w:type="pct"/>
            <w:tcBorders>
              <w:top w:val="single" w:color="000000" w:sz="4" w:space="0"/>
              <w:left w:val="single" w:color="000000" w:sz="4" w:space="0"/>
              <w:bottom w:val="single" w:color="000000" w:sz="4" w:space="0"/>
              <w:right w:val="single" w:color="000000" w:sz="8" w:space="0"/>
            </w:tcBorders>
            <w:vAlign w:val="center"/>
          </w:tcPr>
          <w:p w14:paraId="1FA6ACB8">
            <w:pPr>
              <w:autoSpaceDN w:val="0"/>
              <w:jc w:val="center"/>
              <w:textAlignment w:val="center"/>
              <w:rPr>
                <w:rFonts w:ascii="宋体" w:hAnsi="宋体"/>
                <w:color w:val="000000"/>
                <w:szCs w:val="21"/>
              </w:rPr>
            </w:pPr>
          </w:p>
        </w:tc>
      </w:tr>
      <w:tr w14:paraId="416F4F60">
        <w:tblPrEx>
          <w:tblCellMar>
            <w:top w:w="0" w:type="dxa"/>
            <w:left w:w="15" w:type="dxa"/>
            <w:bottom w:w="0" w:type="dxa"/>
            <w:right w:w="15" w:type="dxa"/>
          </w:tblCellMar>
        </w:tblPrEx>
        <w:tc>
          <w:tcPr>
            <w:tcW w:w="416" w:type="pct"/>
            <w:tcBorders>
              <w:top w:val="single" w:color="000000" w:sz="4" w:space="0"/>
              <w:left w:val="single" w:color="000000" w:sz="8" w:space="0"/>
              <w:bottom w:val="single" w:color="000000" w:sz="4" w:space="0"/>
              <w:right w:val="single" w:color="000000" w:sz="4" w:space="0"/>
            </w:tcBorders>
            <w:vAlign w:val="center"/>
          </w:tcPr>
          <w:p w14:paraId="145D3D31">
            <w:pPr>
              <w:autoSpaceDN w:val="0"/>
              <w:jc w:val="center"/>
              <w:textAlignment w:val="center"/>
              <w:rPr>
                <w:rFonts w:ascii="宋体" w:hAnsi="宋体"/>
                <w:color w:val="000000"/>
                <w:szCs w:val="21"/>
              </w:rPr>
            </w:pPr>
            <w:r>
              <w:rPr>
                <w:rFonts w:hint="eastAsia" w:ascii="宋体" w:hAnsi="宋体"/>
                <w:color w:val="000000"/>
                <w:szCs w:val="21"/>
              </w:rPr>
              <w:t>5</w:t>
            </w:r>
            <w:r>
              <w:rPr>
                <w:rFonts w:ascii="宋体" w:hAnsi="宋体"/>
                <w:color w:val="000000"/>
                <w:szCs w:val="21"/>
              </w:rPr>
              <w:t>.</w:t>
            </w:r>
          </w:p>
        </w:tc>
        <w:tc>
          <w:tcPr>
            <w:tcW w:w="970" w:type="pct"/>
            <w:tcBorders>
              <w:top w:val="single" w:color="000000" w:sz="4" w:space="0"/>
              <w:left w:val="single" w:color="000000" w:sz="4" w:space="0"/>
              <w:bottom w:val="single" w:color="000000" w:sz="4" w:space="0"/>
              <w:right w:val="single" w:color="000000" w:sz="4" w:space="0"/>
            </w:tcBorders>
            <w:vAlign w:val="center"/>
          </w:tcPr>
          <w:p w14:paraId="100D737B">
            <w:pPr>
              <w:autoSpaceDN w:val="0"/>
              <w:jc w:val="center"/>
              <w:textAlignment w:val="center"/>
              <w:rPr>
                <w:rFonts w:ascii="宋体" w:hAnsi="宋体"/>
                <w:color w:val="000000"/>
                <w:szCs w:val="21"/>
              </w:rPr>
            </w:pPr>
          </w:p>
        </w:tc>
        <w:tc>
          <w:tcPr>
            <w:tcW w:w="1292" w:type="pct"/>
            <w:tcBorders>
              <w:top w:val="single" w:color="000000" w:sz="4" w:space="0"/>
              <w:left w:val="single" w:color="000000" w:sz="4" w:space="0"/>
              <w:bottom w:val="single" w:color="000000" w:sz="4" w:space="0"/>
              <w:right w:val="single" w:color="000000" w:sz="4" w:space="0"/>
            </w:tcBorders>
            <w:vAlign w:val="center"/>
          </w:tcPr>
          <w:p w14:paraId="6BE0D51A">
            <w:pPr>
              <w:autoSpaceDN w:val="0"/>
              <w:jc w:val="center"/>
              <w:textAlignment w:val="center"/>
              <w:rPr>
                <w:rFonts w:ascii="宋体" w:hAnsi="宋体"/>
                <w:color w:val="000000"/>
                <w:szCs w:val="21"/>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6020285B">
            <w:pPr>
              <w:autoSpaceDN w:val="0"/>
              <w:jc w:val="center"/>
              <w:textAlignment w:val="center"/>
              <w:rPr>
                <w:rFonts w:ascii="宋体" w:hAnsi="宋体"/>
                <w:color w:val="000000"/>
                <w:szCs w:val="21"/>
              </w:rPr>
            </w:pPr>
          </w:p>
        </w:tc>
        <w:tc>
          <w:tcPr>
            <w:tcW w:w="601" w:type="pct"/>
            <w:tcBorders>
              <w:top w:val="single" w:color="000000" w:sz="4" w:space="0"/>
              <w:left w:val="single" w:color="000000" w:sz="4" w:space="0"/>
              <w:bottom w:val="single" w:color="000000" w:sz="4" w:space="0"/>
              <w:right w:val="single" w:color="000000" w:sz="4" w:space="0"/>
            </w:tcBorders>
            <w:vAlign w:val="center"/>
          </w:tcPr>
          <w:p w14:paraId="45AA0C22">
            <w:pPr>
              <w:autoSpaceDN w:val="0"/>
              <w:jc w:val="center"/>
              <w:textAlignment w:val="center"/>
              <w:rPr>
                <w:rFonts w:ascii="宋体" w:hAnsi="宋体"/>
                <w:color w:val="000000"/>
                <w:szCs w:val="21"/>
              </w:rPr>
            </w:pPr>
          </w:p>
        </w:tc>
        <w:tc>
          <w:tcPr>
            <w:tcW w:w="970" w:type="pct"/>
            <w:tcBorders>
              <w:top w:val="single" w:color="000000" w:sz="4" w:space="0"/>
              <w:left w:val="single" w:color="000000" w:sz="4" w:space="0"/>
              <w:bottom w:val="single" w:color="000000" w:sz="4" w:space="0"/>
              <w:right w:val="single" w:color="000000" w:sz="8" w:space="0"/>
            </w:tcBorders>
            <w:vAlign w:val="center"/>
          </w:tcPr>
          <w:p w14:paraId="4522CF37">
            <w:pPr>
              <w:autoSpaceDN w:val="0"/>
              <w:jc w:val="center"/>
              <w:textAlignment w:val="center"/>
              <w:rPr>
                <w:rFonts w:ascii="宋体" w:hAnsi="宋体"/>
                <w:color w:val="000000"/>
                <w:szCs w:val="21"/>
              </w:rPr>
            </w:pPr>
          </w:p>
        </w:tc>
      </w:tr>
      <w:tr w14:paraId="7CFCEA8D">
        <w:tblPrEx>
          <w:tblCellMar>
            <w:top w:w="0" w:type="dxa"/>
            <w:left w:w="15" w:type="dxa"/>
            <w:bottom w:w="0" w:type="dxa"/>
            <w:right w:w="15" w:type="dxa"/>
          </w:tblCellMar>
        </w:tblPrEx>
        <w:tc>
          <w:tcPr>
            <w:tcW w:w="416" w:type="pct"/>
            <w:tcBorders>
              <w:top w:val="single" w:color="000000" w:sz="4" w:space="0"/>
              <w:left w:val="single" w:color="000000" w:sz="8" w:space="0"/>
              <w:bottom w:val="single" w:color="000000" w:sz="4" w:space="0"/>
              <w:right w:val="single" w:color="000000" w:sz="4" w:space="0"/>
            </w:tcBorders>
            <w:vAlign w:val="center"/>
          </w:tcPr>
          <w:p w14:paraId="20F4E6EB">
            <w:pPr>
              <w:autoSpaceDN w:val="0"/>
              <w:jc w:val="center"/>
              <w:textAlignment w:val="center"/>
              <w:rPr>
                <w:rFonts w:ascii="宋体" w:hAnsi="宋体"/>
                <w:color w:val="000000"/>
                <w:szCs w:val="21"/>
              </w:rPr>
            </w:pPr>
            <w:r>
              <w:rPr>
                <w:rFonts w:hint="eastAsia" w:ascii="宋体" w:hAnsi="宋体"/>
                <w:color w:val="000000"/>
                <w:szCs w:val="21"/>
              </w:rPr>
              <w:t>6</w:t>
            </w:r>
            <w:r>
              <w:rPr>
                <w:rFonts w:ascii="宋体" w:hAnsi="宋体"/>
                <w:color w:val="000000"/>
                <w:szCs w:val="21"/>
              </w:rPr>
              <w:t>.</w:t>
            </w:r>
          </w:p>
        </w:tc>
        <w:tc>
          <w:tcPr>
            <w:tcW w:w="970" w:type="pct"/>
            <w:tcBorders>
              <w:top w:val="single" w:color="000000" w:sz="4" w:space="0"/>
              <w:left w:val="single" w:color="000000" w:sz="4" w:space="0"/>
              <w:bottom w:val="single" w:color="000000" w:sz="4" w:space="0"/>
              <w:right w:val="single" w:color="000000" w:sz="4" w:space="0"/>
            </w:tcBorders>
            <w:vAlign w:val="center"/>
          </w:tcPr>
          <w:p w14:paraId="0A3641EC">
            <w:pPr>
              <w:autoSpaceDN w:val="0"/>
              <w:jc w:val="center"/>
              <w:textAlignment w:val="center"/>
              <w:rPr>
                <w:rFonts w:ascii="宋体" w:hAnsi="宋体"/>
                <w:color w:val="000000"/>
                <w:szCs w:val="21"/>
              </w:rPr>
            </w:pPr>
          </w:p>
        </w:tc>
        <w:tc>
          <w:tcPr>
            <w:tcW w:w="1292" w:type="pct"/>
            <w:tcBorders>
              <w:top w:val="single" w:color="000000" w:sz="4" w:space="0"/>
              <w:left w:val="single" w:color="000000" w:sz="4" w:space="0"/>
              <w:bottom w:val="single" w:color="000000" w:sz="4" w:space="0"/>
              <w:right w:val="single" w:color="000000" w:sz="4" w:space="0"/>
            </w:tcBorders>
            <w:vAlign w:val="center"/>
          </w:tcPr>
          <w:p w14:paraId="1F3A13FE">
            <w:pPr>
              <w:autoSpaceDN w:val="0"/>
              <w:jc w:val="center"/>
              <w:textAlignment w:val="center"/>
              <w:rPr>
                <w:rFonts w:ascii="宋体" w:hAnsi="宋体"/>
                <w:color w:val="000000"/>
                <w:szCs w:val="21"/>
              </w:rPr>
            </w:pPr>
          </w:p>
        </w:tc>
        <w:tc>
          <w:tcPr>
            <w:tcW w:w="752" w:type="pct"/>
            <w:tcBorders>
              <w:top w:val="single" w:color="000000" w:sz="4" w:space="0"/>
              <w:left w:val="single" w:color="000000" w:sz="4" w:space="0"/>
              <w:bottom w:val="single" w:color="000000" w:sz="4" w:space="0"/>
              <w:right w:val="single" w:color="000000" w:sz="4" w:space="0"/>
            </w:tcBorders>
            <w:vAlign w:val="center"/>
          </w:tcPr>
          <w:p w14:paraId="7EF8C957">
            <w:pPr>
              <w:autoSpaceDN w:val="0"/>
              <w:jc w:val="center"/>
              <w:textAlignment w:val="center"/>
              <w:rPr>
                <w:rFonts w:ascii="宋体" w:hAnsi="宋体"/>
                <w:color w:val="000000"/>
                <w:szCs w:val="21"/>
              </w:rPr>
            </w:pPr>
          </w:p>
        </w:tc>
        <w:tc>
          <w:tcPr>
            <w:tcW w:w="601" w:type="pct"/>
            <w:tcBorders>
              <w:top w:val="single" w:color="000000" w:sz="4" w:space="0"/>
              <w:left w:val="single" w:color="000000" w:sz="4" w:space="0"/>
              <w:bottom w:val="single" w:color="000000" w:sz="4" w:space="0"/>
              <w:right w:val="single" w:color="000000" w:sz="4" w:space="0"/>
            </w:tcBorders>
            <w:vAlign w:val="center"/>
          </w:tcPr>
          <w:p w14:paraId="1044D435">
            <w:pPr>
              <w:autoSpaceDN w:val="0"/>
              <w:jc w:val="center"/>
              <w:textAlignment w:val="center"/>
              <w:rPr>
                <w:rFonts w:ascii="宋体" w:hAnsi="宋体"/>
                <w:color w:val="000000"/>
                <w:szCs w:val="21"/>
              </w:rPr>
            </w:pPr>
          </w:p>
        </w:tc>
        <w:tc>
          <w:tcPr>
            <w:tcW w:w="970" w:type="pct"/>
            <w:tcBorders>
              <w:top w:val="single" w:color="000000" w:sz="4" w:space="0"/>
              <w:left w:val="single" w:color="000000" w:sz="4" w:space="0"/>
              <w:bottom w:val="single" w:color="000000" w:sz="4" w:space="0"/>
              <w:right w:val="single" w:color="000000" w:sz="8" w:space="0"/>
            </w:tcBorders>
            <w:vAlign w:val="center"/>
          </w:tcPr>
          <w:p w14:paraId="7862A1ED">
            <w:pPr>
              <w:autoSpaceDN w:val="0"/>
              <w:jc w:val="center"/>
              <w:textAlignment w:val="center"/>
              <w:rPr>
                <w:rFonts w:ascii="宋体" w:hAnsi="宋体"/>
                <w:color w:val="000000"/>
                <w:szCs w:val="21"/>
              </w:rPr>
            </w:pPr>
          </w:p>
        </w:tc>
      </w:tr>
      <w:tr w14:paraId="1BCC861B">
        <w:tblPrEx>
          <w:tblCellMar>
            <w:top w:w="0" w:type="dxa"/>
            <w:left w:w="15" w:type="dxa"/>
            <w:bottom w:w="0" w:type="dxa"/>
            <w:right w:w="15" w:type="dxa"/>
          </w:tblCellMar>
        </w:tblPrEx>
        <w:tc>
          <w:tcPr>
            <w:tcW w:w="416" w:type="pct"/>
            <w:tcBorders>
              <w:top w:val="single" w:color="000000" w:sz="4" w:space="0"/>
              <w:left w:val="single" w:color="000000" w:sz="8" w:space="0"/>
              <w:bottom w:val="single" w:color="000000" w:sz="8" w:space="0"/>
              <w:right w:val="single" w:color="000000" w:sz="4" w:space="0"/>
            </w:tcBorders>
            <w:vAlign w:val="center"/>
          </w:tcPr>
          <w:p w14:paraId="7C2B2BAC">
            <w:pPr>
              <w:autoSpaceDN w:val="0"/>
              <w:jc w:val="center"/>
              <w:textAlignment w:val="center"/>
              <w:rPr>
                <w:rFonts w:ascii="宋体" w:hAnsi="宋体"/>
                <w:color w:val="000000"/>
                <w:szCs w:val="21"/>
              </w:rPr>
            </w:pPr>
            <w:r>
              <w:rPr>
                <w:rFonts w:ascii="宋体" w:hAnsi="宋体"/>
                <w:color w:val="000000"/>
                <w:szCs w:val="21"/>
              </w:rPr>
              <w:t>7.</w:t>
            </w:r>
          </w:p>
        </w:tc>
        <w:tc>
          <w:tcPr>
            <w:tcW w:w="4584" w:type="pct"/>
            <w:gridSpan w:val="5"/>
            <w:tcBorders>
              <w:top w:val="single" w:color="000000" w:sz="4" w:space="0"/>
              <w:left w:val="single" w:color="000000" w:sz="4" w:space="0"/>
              <w:bottom w:val="single" w:color="000000" w:sz="8" w:space="0"/>
              <w:right w:val="single" w:color="000000" w:sz="8" w:space="0"/>
            </w:tcBorders>
            <w:vAlign w:val="center"/>
          </w:tcPr>
          <w:p w14:paraId="753EB930">
            <w:pPr>
              <w:autoSpaceDN w:val="0"/>
              <w:jc w:val="center"/>
              <w:textAlignment w:val="center"/>
              <w:rPr>
                <w:rFonts w:ascii="宋体" w:hAnsi="宋体"/>
                <w:b/>
                <w:color w:val="000000"/>
                <w:szCs w:val="21"/>
              </w:rPr>
            </w:pPr>
          </w:p>
        </w:tc>
      </w:tr>
    </w:tbl>
    <w:p w14:paraId="248BDE17">
      <w:pPr>
        <w:spacing w:line="360" w:lineRule="auto"/>
        <w:ind w:firstLine="482" w:firstLineChars="200"/>
        <w:rPr>
          <w:rFonts w:ascii="宋体" w:hAnsi="宋体" w:cs="仿宋"/>
          <w:b/>
          <w:sz w:val="24"/>
        </w:rPr>
      </w:pPr>
      <w:r>
        <w:rPr>
          <w:rFonts w:hint="eastAsia" w:ascii="宋体" w:hAnsi="宋体" w:cs="仿宋"/>
          <w:b/>
          <w:sz w:val="24"/>
        </w:rPr>
        <w:t>第二条：合同价款</w:t>
      </w:r>
    </w:p>
    <w:p w14:paraId="1A7606F4">
      <w:pPr>
        <w:spacing w:line="360" w:lineRule="auto"/>
        <w:ind w:firstLine="480" w:firstLineChars="200"/>
        <w:rPr>
          <w:rFonts w:hint="eastAsia" w:ascii="宋体" w:hAnsi="宋体" w:cs="仿宋"/>
          <w:sz w:val="24"/>
        </w:rPr>
      </w:pPr>
      <w:r>
        <w:rPr>
          <w:rFonts w:hint="eastAsia" w:ascii="宋体" w:hAnsi="宋体" w:cs="仿宋"/>
          <w:sz w:val="24"/>
        </w:rPr>
        <w:t>1、合同总金额：</w:t>
      </w:r>
    </w:p>
    <w:p w14:paraId="5E925CF1">
      <w:pPr>
        <w:spacing w:line="360" w:lineRule="auto"/>
        <w:ind w:firstLine="360" w:firstLineChars="150"/>
        <w:rPr>
          <w:rFonts w:ascii="宋体" w:hAnsi="宋体" w:cs="仿宋"/>
          <w:sz w:val="24"/>
        </w:rPr>
      </w:pPr>
      <w:r>
        <w:rPr>
          <w:rFonts w:hint="eastAsia" w:ascii="宋体" w:hAnsi="宋体" w:cs="仿宋"/>
          <w:sz w:val="24"/>
        </w:rPr>
        <w:t xml:space="preserve"> 2、合同总金额包含产品供应价、运杂费（含仓储费、运费、装卸费、保险费）、安装调试费、培训费、税金及其它不可预见费用，该总金额为固定价款，不受市场变化影响。</w:t>
      </w:r>
    </w:p>
    <w:p w14:paraId="5DFF8980">
      <w:pPr>
        <w:spacing w:line="360" w:lineRule="auto"/>
        <w:ind w:firstLine="482" w:firstLineChars="200"/>
        <w:rPr>
          <w:rFonts w:ascii="宋体" w:hAnsi="宋体" w:cs="仿宋"/>
          <w:b/>
          <w:sz w:val="24"/>
        </w:rPr>
      </w:pPr>
      <w:r>
        <w:rPr>
          <w:rFonts w:hint="eastAsia" w:ascii="宋体" w:hAnsi="宋体" w:cs="仿宋"/>
          <w:b/>
          <w:sz w:val="24"/>
        </w:rPr>
        <w:t>第三条：交货地点</w:t>
      </w:r>
    </w:p>
    <w:p w14:paraId="5C7EF45F">
      <w:pPr>
        <w:spacing w:line="360" w:lineRule="auto"/>
        <w:ind w:firstLine="480" w:firstLineChars="200"/>
        <w:rPr>
          <w:rFonts w:ascii="宋体" w:hAnsi="宋体" w:cs="仿宋"/>
          <w:sz w:val="24"/>
          <w:u w:val="single"/>
        </w:rPr>
      </w:pPr>
      <w:r>
        <w:rPr>
          <w:rFonts w:hint="eastAsia" w:ascii="宋体" w:hAnsi="宋体" w:cs="仿宋"/>
          <w:sz w:val="24"/>
          <w:u w:val="single"/>
        </w:rPr>
        <w:t xml:space="preserve">陕西中医药大学附属医院  </w:t>
      </w:r>
    </w:p>
    <w:p w14:paraId="29D046CF">
      <w:pPr>
        <w:spacing w:line="360" w:lineRule="auto"/>
        <w:ind w:firstLine="482" w:firstLineChars="200"/>
        <w:rPr>
          <w:rFonts w:ascii="宋体" w:hAnsi="宋体" w:cs="仿宋"/>
          <w:b/>
          <w:sz w:val="24"/>
        </w:rPr>
      </w:pPr>
      <w:r>
        <w:rPr>
          <w:rFonts w:hint="eastAsia" w:ascii="宋体" w:hAnsi="宋体" w:cs="仿宋"/>
          <w:b/>
          <w:sz w:val="24"/>
        </w:rPr>
        <w:t>第四条：工期</w:t>
      </w:r>
    </w:p>
    <w:p w14:paraId="10392548">
      <w:pPr>
        <w:pStyle w:val="36"/>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宋体" w:hAnsi="宋体" w:cs="仿宋"/>
          <w:sz w:val="24"/>
          <w:szCs w:val="24"/>
        </w:rPr>
      </w:pPr>
      <w:r>
        <w:rPr>
          <w:rFonts w:hint="eastAsia" w:ascii="宋体" w:hAnsi="宋体" w:cs="仿宋"/>
          <w:sz w:val="24"/>
          <w:szCs w:val="24"/>
        </w:rPr>
        <w:t>合同签订后</w:t>
      </w:r>
      <w:r>
        <w:rPr>
          <w:rFonts w:hint="eastAsia" w:ascii="宋体" w:hAnsi="宋体" w:cs="仿宋"/>
          <w:sz w:val="24"/>
          <w:szCs w:val="24"/>
          <w:u w:val="single"/>
        </w:rPr>
        <w:t xml:space="preserve">   </w:t>
      </w:r>
      <w:r>
        <w:rPr>
          <w:rFonts w:hint="eastAsia" w:ascii="宋体" w:hAnsi="宋体" w:cs="仿宋"/>
          <w:sz w:val="24"/>
          <w:szCs w:val="24"/>
        </w:rPr>
        <w:t>天内货到并且安装调试完毕，达到验收标准。</w:t>
      </w:r>
    </w:p>
    <w:p w14:paraId="331C824E">
      <w:pPr>
        <w:spacing w:line="360" w:lineRule="auto"/>
        <w:ind w:firstLine="482" w:firstLineChars="200"/>
        <w:rPr>
          <w:rFonts w:ascii="宋体" w:hAnsi="宋体" w:cs="仿宋"/>
          <w:b/>
          <w:sz w:val="24"/>
        </w:rPr>
      </w:pPr>
      <w:r>
        <w:rPr>
          <w:rFonts w:hint="eastAsia" w:ascii="宋体" w:hAnsi="宋体" w:cs="仿宋"/>
          <w:b/>
          <w:sz w:val="24"/>
        </w:rPr>
        <w:t>第五条：货款结算方式</w:t>
      </w:r>
    </w:p>
    <w:p w14:paraId="7D2B082A">
      <w:pPr>
        <w:spacing w:line="360" w:lineRule="auto"/>
        <w:ind w:firstLine="480" w:firstLineChars="200"/>
        <w:rPr>
          <w:rFonts w:ascii="宋体" w:hAnsi="宋体" w:cs="仿宋"/>
          <w:sz w:val="24"/>
          <w:u w:val="single"/>
        </w:rPr>
      </w:pPr>
      <w:r>
        <w:rPr>
          <w:rFonts w:hint="eastAsia" w:ascii="宋体" w:hAnsi="宋体" w:cs="仿宋"/>
          <w:sz w:val="24"/>
        </w:rPr>
        <w:t>1、付款方式：</w:t>
      </w:r>
      <w:r>
        <w:rPr>
          <w:rFonts w:hint="eastAsia" w:ascii="宋体" w:hAnsi="宋体" w:cs="仿宋"/>
          <w:sz w:val="24"/>
          <w:u w:val="single"/>
        </w:rPr>
        <w:t>甲方首次付款之前，乙方应提供合同总价款全额增值税发票。乙方逾期提供发票导致甲方逾期付款的，不视为甲方违约，甲方直接将货款通过银行转账的方式转入乙方指定的专用账号，验收合格一个月后 甲方在十五个日历日内向乙方支付合同总金额的60%</w:t>
      </w:r>
      <w:r>
        <w:rPr>
          <w:rFonts w:hint="eastAsia" w:ascii="宋体" w:hAnsi="宋体" w:cs="仿宋"/>
          <w:sz w:val="24"/>
          <w:u w:val="single"/>
          <w:lang w:eastAsia="zh-CN"/>
        </w:rPr>
        <w:t>；</w:t>
      </w:r>
      <w:r>
        <w:rPr>
          <w:rFonts w:hint="eastAsia" w:ascii="宋体" w:hAnsi="宋体" w:cs="仿宋"/>
          <w:sz w:val="24"/>
          <w:u w:val="single"/>
        </w:rPr>
        <w:t>验收合格系统运行三个月后，甲方在十五个日历日内向乙方支付合同总金额的30%</w:t>
      </w:r>
      <w:r>
        <w:rPr>
          <w:rFonts w:hint="eastAsia" w:ascii="宋体" w:hAnsi="宋体" w:cs="仿宋"/>
          <w:b/>
          <w:bCs/>
          <w:sz w:val="24"/>
          <w:u w:val="single"/>
        </w:rPr>
        <w:t xml:space="preserve"> </w:t>
      </w:r>
      <w:r>
        <w:rPr>
          <w:rFonts w:hint="eastAsia" w:ascii="宋体" w:hAnsi="宋体" w:cs="仿宋"/>
          <w:sz w:val="24"/>
          <w:u w:val="single"/>
        </w:rPr>
        <w:t>；验收合格项目服务满五年后，甲方在十五个日历日内向乙方支付合同总金额的10%</w:t>
      </w:r>
      <w:r>
        <w:rPr>
          <w:rFonts w:hint="eastAsia" w:ascii="宋体" w:hAnsi="宋体" w:cs="仿宋"/>
          <w:sz w:val="24"/>
          <w:u w:val="single"/>
          <w:lang w:eastAsia="zh-CN"/>
        </w:rPr>
        <w:t>。</w:t>
      </w:r>
    </w:p>
    <w:p w14:paraId="7AD73A5F">
      <w:pPr>
        <w:pStyle w:val="36"/>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宋体" w:hAnsi="宋体" w:cs="仿宋"/>
          <w:sz w:val="24"/>
          <w:szCs w:val="24"/>
        </w:rPr>
      </w:pPr>
      <w:r>
        <w:rPr>
          <w:rFonts w:hint="eastAsia" w:ascii="宋体" w:hAnsi="宋体" w:cs="仿宋"/>
          <w:sz w:val="24"/>
          <w:szCs w:val="24"/>
        </w:rPr>
        <w:t>2、支付方式：甲方直接将货款通过银行转账的方式转入乙方指定的专用账号。</w:t>
      </w:r>
    </w:p>
    <w:p w14:paraId="09A5FDB6">
      <w:pPr>
        <w:pStyle w:val="36"/>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宋体" w:hAnsi="宋体" w:cs="仿宋"/>
          <w:sz w:val="24"/>
          <w:szCs w:val="24"/>
        </w:rPr>
      </w:pPr>
      <w:r>
        <w:rPr>
          <w:rFonts w:hint="eastAsia" w:ascii="宋体" w:hAnsi="宋体" w:cs="仿宋"/>
          <w:sz w:val="24"/>
          <w:szCs w:val="24"/>
        </w:rPr>
        <w:t>乙方专用账户名为：</w:t>
      </w:r>
    </w:p>
    <w:p w14:paraId="7324B162">
      <w:pPr>
        <w:pStyle w:val="36"/>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宋体" w:hAnsi="宋体" w:cs="仿宋"/>
          <w:sz w:val="24"/>
          <w:szCs w:val="24"/>
        </w:rPr>
      </w:pPr>
      <w:r>
        <w:rPr>
          <w:rFonts w:hint="eastAsia" w:ascii="宋体" w:hAnsi="宋体" w:cs="仿宋"/>
          <w:sz w:val="24"/>
          <w:szCs w:val="24"/>
        </w:rPr>
        <w:t>账号为：</w:t>
      </w:r>
    </w:p>
    <w:p w14:paraId="29A719E2">
      <w:pPr>
        <w:pStyle w:val="36"/>
        <w:tabs>
          <w:tab w:val="left" w:pos="945"/>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宋体" w:hAnsi="宋体" w:cs="仿宋"/>
          <w:sz w:val="24"/>
          <w:szCs w:val="24"/>
          <w:u w:val="single"/>
        </w:rPr>
      </w:pPr>
      <w:r>
        <w:rPr>
          <w:rFonts w:hint="eastAsia" w:ascii="宋体" w:hAnsi="宋体" w:cs="仿宋"/>
          <w:sz w:val="24"/>
          <w:szCs w:val="24"/>
        </w:rPr>
        <w:t>开户行为：</w:t>
      </w:r>
    </w:p>
    <w:p w14:paraId="42BFF02A">
      <w:pPr>
        <w:spacing w:line="360" w:lineRule="auto"/>
        <w:ind w:firstLine="480" w:firstLineChars="200"/>
        <w:rPr>
          <w:rFonts w:ascii="宋体" w:hAnsi="宋体" w:cs="仿宋"/>
          <w:kern w:val="0"/>
          <w:sz w:val="24"/>
          <w:szCs w:val="24"/>
        </w:rPr>
      </w:pPr>
      <w:r>
        <w:rPr>
          <w:rFonts w:hint="eastAsia" w:ascii="宋体" w:hAnsi="宋体" w:cs="仿宋"/>
          <w:kern w:val="0"/>
          <w:sz w:val="24"/>
          <w:szCs w:val="24"/>
        </w:rPr>
        <w:t>3、甲方首次付款之前，乙方应提供合同总价款全额增值税发票。乙方逾期提供发票导致甲方逾期付款的，不视为甲方违约。</w:t>
      </w:r>
    </w:p>
    <w:p w14:paraId="05080424">
      <w:pPr>
        <w:spacing w:line="360" w:lineRule="auto"/>
        <w:ind w:firstLine="482" w:firstLineChars="200"/>
        <w:rPr>
          <w:rFonts w:ascii="宋体" w:hAnsi="宋体" w:cs="仿宋"/>
          <w:b/>
          <w:sz w:val="24"/>
          <w:szCs w:val="24"/>
        </w:rPr>
      </w:pPr>
      <w:r>
        <w:rPr>
          <w:rFonts w:hint="eastAsia" w:ascii="宋体" w:hAnsi="宋体" w:cs="仿宋"/>
          <w:b/>
          <w:kern w:val="0"/>
          <w:sz w:val="24"/>
          <w:szCs w:val="24"/>
        </w:rPr>
        <w:t>第六条</w:t>
      </w:r>
      <w:r>
        <w:rPr>
          <w:rFonts w:hint="eastAsia" w:ascii="宋体" w:hAnsi="宋体" w:cs="仿宋"/>
          <w:b/>
          <w:sz w:val="24"/>
          <w:szCs w:val="24"/>
        </w:rPr>
        <w:t>：甲方的权利和义务</w:t>
      </w:r>
    </w:p>
    <w:p w14:paraId="09BB8B0E">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1、甲方有权要求乙方提供相应的资质（企业资质证书、安全生产许可证、质量体系认证证书以及人员资质和版权资质）。</w:t>
      </w:r>
    </w:p>
    <w:p w14:paraId="034F3351">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2、甲方有权要求乙方按合同约定时间交付产品。</w:t>
      </w:r>
    </w:p>
    <w:p w14:paraId="3108DBC1">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3、甲方负责配合乙方提供进场实施所需要的本项目相关的电源环境、网络环境等基础设施，积极配合乙方提出的配合请求，提供必须的工具软件，提供乙方提出的其他合理的工作条件，及时按照合同约定方式对乙方提供的执行文档进行确认。</w:t>
      </w:r>
    </w:p>
    <w:p w14:paraId="6E90B2BC">
      <w:pPr>
        <w:spacing w:line="360" w:lineRule="auto"/>
        <w:ind w:firstLine="480" w:firstLineChars="200"/>
        <w:rPr>
          <w:rFonts w:ascii="宋体" w:hAnsi="宋体" w:cs="仿宋"/>
          <w:sz w:val="24"/>
          <w:szCs w:val="24"/>
        </w:rPr>
      </w:pPr>
      <w:r>
        <w:rPr>
          <w:rFonts w:hint="eastAsia" w:ascii="宋体" w:hAnsi="宋体" w:cs="仿宋"/>
          <w:sz w:val="24"/>
          <w:szCs w:val="24"/>
        </w:rPr>
        <w:t>4、负责提供培训场地，组织参加培训的人员按时出席，并配合乙方对受训人员进行考核。</w:t>
      </w:r>
    </w:p>
    <w:p w14:paraId="1178048E">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5、依据合同协助乙方完成验收等相关事宜并按照合同要求支付费用。</w:t>
      </w:r>
    </w:p>
    <w:p w14:paraId="25F1C8B0">
      <w:pPr>
        <w:spacing w:line="360" w:lineRule="auto"/>
        <w:ind w:firstLine="482" w:firstLineChars="200"/>
        <w:rPr>
          <w:rFonts w:ascii="宋体" w:hAnsi="宋体" w:cs="仿宋"/>
          <w:b/>
          <w:kern w:val="0"/>
          <w:sz w:val="24"/>
          <w:szCs w:val="24"/>
        </w:rPr>
      </w:pPr>
      <w:r>
        <w:rPr>
          <w:rFonts w:hint="eastAsia" w:ascii="宋体" w:hAnsi="宋体" w:cs="仿宋"/>
          <w:b/>
          <w:kern w:val="0"/>
          <w:sz w:val="24"/>
          <w:szCs w:val="24"/>
        </w:rPr>
        <w:t>第七条：乙方的权利和义务</w:t>
      </w:r>
    </w:p>
    <w:p w14:paraId="2D32F0E7">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1、乙方有权要求甲方为乙方履行本合同提供便利，要求甲方提供必须的相关资料。</w:t>
      </w:r>
    </w:p>
    <w:p w14:paraId="7F10B4D8">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2、乙方有权要求甲方按本合同约定支付费用。</w:t>
      </w:r>
    </w:p>
    <w:p w14:paraId="533A865D">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3、乙方保证其所交付的产品没有侵犯任何第三人的知识产权和商业秘密。</w:t>
      </w:r>
    </w:p>
    <w:p w14:paraId="27757B3F">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4、乙方应按合同约定提供项目相关的技术文档材料，及时交付产品。</w:t>
      </w:r>
    </w:p>
    <w:p w14:paraId="1F8AD7AA">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5、对双方共同确认的甲方受训人员提供集中培训服务。</w:t>
      </w:r>
    </w:p>
    <w:p w14:paraId="1A67B6E0">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6、按照双方确认的期限负责产品的安装、测试、调试工作及后续的维护工作。</w:t>
      </w:r>
    </w:p>
    <w:p w14:paraId="16EC784B">
      <w:pPr>
        <w:spacing w:line="360" w:lineRule="auto"/>
        <w:ind w:firstLine="482" w:firstLineChars="200"/>
        <w:rPr>
          <w:rFonts w:ascii="宋体" w:hAnsi="宋体" w:cs="仿宋"/>
          <w:b/>
          <w:color w:val="000000"/>
          <w:sz w:val="24"/>
        </w:rPr>
      </w:pPr>
      <w:r>
        <w:rPr>
          <w:rFonts w:hint="eastAsia" w:ascii="宋体" w:hAnsi="宋体" w:cs="仿宋"/>
          <w:b/>
          <w:color w:val="000000"/>
          <w:sz w:val="24"/>
        </w:rPr>
        <w:t>第八条：产品的验收</w:t>
      </w:r>
    </w:p>
    <w:p w14:paraId="5B94AC7C">
      <w:pPr>
        <w:numPr>
          <w:ilvl w:val="0"/>
          <w:numId w:val="4"/>
        </w:numPr>
        <w:spacing w:line="360" w:lineRule="auto"/>
        <w:ind w:firstLine="480" w:firstLineChars="200"/>
        <w:rPr>
          <w:rFonts w:ascii="宋体" w:hAnsi="宋体" w:cs="仿宋"/>
          <w:color w:val="000000"/>
          <w:sz w:val="24"/>
        </w:rPr>
      </w:pPr>
      <w:r>
        <w:rPr>
          <w:rFonts w:hint="eastAsia" w:ascii="宋体" w:hAnsi="宋体" w:cs="仿宋"/>
          <w:color w:val="000000"/>
          <w:sz w:val="24"/>
        </w:rPr>
        <w:t>该项目所有产品经过调试，依据招标文件、投标文件、合同并能够满足甲方要求后，甲方须在乙方提出书面验收申请之日起</w:t>
      </w:r>
      <w:r>
        <w:rPr>
          <w:rFonts w:hint="eastAsia" w:ascii="宋体" w:hAnsi="宋体" w:cs="仿宋"/>
          <w:color w:val="000000"/>
          <w:sz w:val="24"/>
          <w:u w:val="single"/>
        </w:rPr>
        <w:t xml:space="preserve"> 7 </w:t>
      </w:r>
      <w:r>
        <w:rPr>
          <w:rFonts w:hint="eastAsia" w:ascii="宋体" w:hAnsi="宋体" w:cs="仿宋"/>
          <w:color w:val="000000"/>
          <w:sz w:val="24"/>
        </w:rPr>
        <w:t>个工作日内（节假日顺延）组织验收工作，</w:t>
      </w:r>
      <w:r>
        <w:rPr>
          <w:rFonts w:ascii="宋体" w:hAnsi="宋体" w:cs="仿宋"/>
          <w:color w:val="000000"/>
          <w:sz w:val="24"/>
          <w:u w:val="single"/>
        </w:rPr>
        <w:t>7</w:t>
      </w:r>
      <w:r>
        <w:rPr>
          <w:rFonts w:hint="eastAsia" w:ascii="宋体" w:hAnsi="宋体" w:cs="仿宋"/>
          <w:color w:val="000000"/>
          <w:sz w:val="24"/>
        </w:rPr>
        <w:t>个工作日内完成验收工作。验收由甲方指定单位进行验收，验收合格后出具书面验收合格证明，作为对产品的最终认可。</w:t>
      </w:r>
    </w:p>
    <w:p w14:paraId="62D6BD54">
      <w:pPr>
        <w:numPr>
          <w:ilvl w:val="0"/>
          <w:numId w:val="4"/>
        </w:numPr>
        <w:spacing w:line="360" w:lineRule="auto"/>
        <w:ind w:firstLine="480" w:firstLineChars="200"/>
        <w:rPr>
          <w:rFonts w:ascii="宋体" w:hAnsi="宋体" w:cs="仿宋"/>
        </w:rPr>
      </w:pPr>
      <w:r>
        <w:rPr>
          <w:rFonts w:hint="eastAsia" w:ascii="宋体" w:hAnsi="宋体" w:cs="仿宋"/>
          <w:color w:val="000000"/>
          <w:sz w:val="24"/>
        </w:rPr>
        <w:t>若甲方认为乙方交付的产品存在不符合合同约定情形的，甲方应在收到乙方验收申请后20日内提出书面异议，乙方应在双方确认的期限内用符合本合同约定的产品更换或整改产品，乙方承担更换或整改产品产生的所有费用，乙方更换或整改产品后再次申请验收，如甲方未在约定时间内完成验收工作、未提出书面异议，则视为项目验收合格。</w:t>
      </w:r>
    </w:p>
    <w:p w14:paraId="26521280">
      <w:pPr>
        <w:numPr>
          <w:ilvl w:val="0"/>
          <w:numId w:val="4"/>
        </w:numPr>
        <w:spacing w:line="360" w:lineRule="auto"/>
        <w:ind w:firstLine="480" w:firstLineChars="200"/>
        <w:rPr>
          <w:rFonts w:ascii="宋体" w:hAnsi="宋体" w:cs="仿宋"/>
          <w:sz w:val="24"/>
          <w:szCs w:val="24"/>
        </w:rPr>
      </w:pPr>
      <w:r>
        <w:rPr>
          <w:rFonts w:hint="eastAsia" w:ascii="宋体" w:hAnsi="宋体" w:cs="仿宋"/>
          <w:color w:val="000000"/>
          <w:sz w:val="24"/>
        </w:rPr>
        <w:t>本项目实施过程中，项目的内容、要求、验收、使用标准以采购文件要求为依据，若甲方中途变更方案或产品以及由此引起的相应费用的变化，双方另行协商达成一致意见后以书面形式确定。</w:t>
      </w:r>
    </w:p>
    <w:p w14:paraId="20184DE4">
      <w:pPr>
        <w:spacing w:line="360" w:lineRule="auto"/>
        <w:ind w:firstLine="482" w:firstLineChars="200"/>
        <w:rPr>
          <w:rFonts w:ascii="宋体" w:hAnsi="宋体" w:cs="仿宋"/>
          <w:b/>
          <w:color w:val="000000"/>
          <w:sz w:val="24"/>
        </w:rPr>
      </w:pPr>
      <w:r>
        <w:rPr>
          <w:rFonts w:hint="eastAsia" w:ascii="宋体" w:hAnsi="宋体" w:cs="仿宋"/>
          <w:b/>
          <w:color w:val="000000"/>
          <w:sz w:val="24"/>
        </w:rPr>
        <w:t>第九条：售后服务</w:t>
      </w:r>
    </w:p>
    <w:p w14:paraId="765E16B0">
      <w:pPr>
        <w:spacing w:line="360" w:lineRule="auto"/>
        <w:ind w:firstLine="480" w:firstLineChars="200"/>
        <w:jc w:val="left"/>
        <w:rPr>
          <w:rFonts w:ascii="宋体" w:hAnsi="宋体" w:cs="仿宋"/>
          <w:color w:val="000000"/>
          <w:sz w:val="24"/>
        </w:rPr>
      </w:pPr>
      <w:r>
        <w:rPr>
          <w:rFonts w:hint="eastAsia" w:ascii="宋体" w:hAnsi="宋体" w:cs="仿宋"/>
          <w:color w:val="000000"/>
          <w:sz w:val="24"/>
        </w:rPr>
        <w:t>1、乙方承诺负责本项目系统集成和中标文件中所阐述产品均为最新版本。</w:t>
      </w:r>
    </w:p>
    <w:p w14:paraId="3A381260">
      <w:pPr>
        <w:spacing w:line="360" w:lineRule="auto"/>
        <w:ind w:firstLine="480" w:firstLineChars="200"/>
        <w:jc w:val="left"/>
        <w:rPr>
          <w:rFonts w:ascii="宋体" w:hAnsi="宋体" w:cs="仿宋"/>
          <w:color w:val="000000"/>
          <w:sz w:val="24"/>
        </w:rPr>
      </w:pPr>
      <w:r>
        <w:rPr>
          <w:rFonts w:hint="eastAsia" w:ascii="宋体" w:hAnsi="宋体" w:cs="仿宋"/>
          <w:color w:val="000000"/>
          <w:sz w:val="24"/>
        </w:rPr>
        <w:t>2、乙方承诺保证不影响甲方正常业务和保证数据完整的前提下进行实施工作。并承担由此工作带来的所有责任和造成的经济损失。</w:t>
      </w:r>
    </w:p>
    <w:p w14:paraId="03C5BDCB">
      <w:pPr>
        <w:spacing w:line="360" w:lineRule="auto"/>
        <w:ind w:firstLine="480" w:firstLineChars="200"/>
        <w:jc w:val="left"/>
        <w:rPr>
          <w:rFonts w:ascii="宋体" w:hAnsi="宋体" w:cs="仿宋"/>
          <w:color w:val="000000"/>
          <w:sz w:val="24"/>
        </w:rPr>
      </w:pPr>
      <w:r>
        <w:rPr>
          <w:rFonts w:hint="eastAsia" w:ascii="宋体" w:hAnsi="宋体" w:cs="仿宋"/>
          <w:color w:val="000000"/>
          <w:sz w:val="24"/>
        </w:rPr>
        <w:t>3、乙方承诺，整体项目验收合格后进入质保期，质保期为三年。</w:t>
      </w:r>
    </w:p>
    <w:p w14:paraId="640B2648">
      <w:pPr>
        <w:spacing w:line="360" w:lineRule="auto"/>
        <w:ind w:firstLine="480" w:firstLineChars="200"/>
        <w:jc w:val="left"/>
        <w:rPr>
          <w:rFonts w:ascii="宋体" w:hAnsi="宋体" w:cs="仿宋"/>
          <w:color w:val="000000"/>
          <w:sz w:val="24"/>
        </w:rPr>
      </w:pPr>
      <w:r>
        <w:rPr>
          <w:rFonts w:hint="eastAsia" w:ascii="宋体" w:hAnsi="宋体" w:cs="仿宋"/>
          <w:color w:val="000000"/>
          <w:sz w:val="24"/>
        </w:rPr>
        <w:t>4、乙方承诺，保修、质保期内的维护内容包括：软件的版本升级，系统补丁免费升级。1小时内响应，2小时到场、4小时内排除故障。服务的方式：电话、邮件、现场，按照甲方要求的方式完成。</w:t>
      </w:r>
    </w:p>
    <w:p w14:paraId="78FA49AB">
      <w:pPr>
        <w:spacing w:line="360" w:lineRule="auto"/>
        <w:ind w:firstLine="480" w:firstLineChars="200"/>
        <w:jc w:val="left"/>
        <w:rPr>
          <w:rFonts w:ascii="宋体" w:hAnsi="宋体" w:cs="仿宋"/>
          <w:color w:val="000000"/>
          <w:sz w:val="24"/>
        </w:rPr>
      </w:pPr>
      <w:r>
        <w:rPr>
          <w:rFonts w:hint="eastAsia" w:ascii="宋体" w:hAnsi="宋体" w:cs="仿宋"/>
          <w:color w:val="000000"/>
          <w:sz w:val="24"/>
        </w:rPr>
        <w:t>5、乙方承诺，指定专业项目经理专职负责整体项目实施。甲方有权要求乙方更换项目专职经理。</w:t>
      </w:r>
    </w:p>
    <w:p w14:paraId="7F5D2303">
      <w:pPr>
        <w:spacing w:line="360" w:lineRule="auto"/>
        <w:ind w:firstLine="480" w:firstLineChars="200"/>
        <w:jc w:val="left"/>
        <w:rPr>
          <w:rFonts w:ascii="宋体" w:hAnsi="宋体" w:cs="仿宋"/>
          <w:color w:val="000000"/>
          <w:sz w:val="24"/>
        </w:rPr>
      </w:pPr>
      <w:r>
        <w:rPr>
          <w:rFonts w:hint="eastAsia" w:ascii="宋体" w:hAnsi="宋体" w:cs="仿宋"/>
          <w:color w:val="000000"/>
          <w:sz w:val="24"/>
        </w:rPr>
        <w:t>6、乙方承诺，当产品不能正常运行时，应在接到甲方通知后1小时内响应，提供电话、网络远程等技术支持，如果通过以上方式仍不能正常运行的，乙方必须在2小时内到达现场进行维护。</w:t>
      </w:r>
    </w:p>
    <w:p w14:paraId="233FB0CA">
      <w:pPr>
        <w:spacing w:line="360" w:lineRule="auto"/>
        <w:ind w:firstLine="480" w:firstLineChars="200"/>
        <w:jc w:val="left"/>
        <w:rPr>
          <w:rFonts w:ascii="宋体" w:hAnsi="宋体" w:cs="仿宋"/>
          <w:color w:val="000000"/>
          <w:sz w:val="24"/>
        </w:rPr>
      </w:pPr>
      <w:r>
        <w:rPr>
          <w:rFonts w:hint="eastAsia" w:ascii="宋体" w:hAnsi="宋体" w:cs="仿宋"/>
          <w:color w:val="000000"/>
          <w:sz w:val="24"/>
        </w:rPr>
        <w:t>7、乙方承诺，在系统投入使用前，必须对各应用系统相关人员进行免费业务技术培训，对甲方信息科管理人员免费提供具有针对性的系统培训，以保证系统各项功能让甲方完全掌握，培训期限至甲方受训人员完全掌握产品各项功能为止。培训方式由双方商定，若需异地培训，因异地培训产生的所有费用由乙方承担。</w:t>
      </w:r>
    </w:p>
    <w:p w14:paraId="3B23AD9A">
      <w:pPr>
        <w:spacing w:line="360" w:lineRule="auto"/>
        <w:ind w:firstLine="480" w:firstLineChars="200"/>
        <w:jc w:val="left"/>
        <w:rPr>
          <w:rFonts w:ascii="宋体" w:hAnsi="宋体" w:cs="仿宋"/>
          <w:color w:val="000000"/>
          <w:sz w:val="24"/>
        </w:rPr>
      </w:pPr>
      <w:r>
        <w:rPr>
          <w:rFonts w:hint="eastAsia" w:ascii="宋体" w:hAnsi="宋体" w:cs="仿宋"/>
          <w:color w:val="000000"/>
          <w:sz w:val="24"/>
        </w:rPr>
        <w:t>8、保修、质保期内，维修费用、乙方维修人员的差旅费及其它相关费用均由乙方承担。</w:t>
      </w:r>
    </w:p>
    <w:p w14:paraId="66543361">
      <w:pPr>
        <w:spacing w:line="360" w:lineRule="auto"/>
        <w:ind w:firstLine="480" w:firstLineChars="200"/>
        <w:jc w:val="left"/>
        <w:rPr>
          <w:rFonts w:ascii="宋体" w:hAnsi="宋体" w:cs="仿宋"/>
          <w:color w:val="000000"/>
          <w:sz w:val="24"/>
        </w:rPr>
      </w:pPr>
      <w:r>
        <w:rPr>
          <w:rFonts w:hint="eastAsia" w:ascii="宋体" w:hAnsi="宋体" w:cs="仿宋"/>
          <w:color w:val="000000"/>
          <w:sz w:val="24"/>
        </w:rPr>
        <w:t>9、乙方提供产品应无任何瑕疵，如在使用过程中本产品存在隐蔽瑕疵造成医疗事故而引发的纠纷，由乙方全额负责赔偿，并免费为甲方修复瑕疵或更新换代，期间产生的费用均由乙方承担。</w:t>
      </w:r>
    </w:p>
    <w:p w14:paraId="1BAB7293">
      <w:pPr>
        <w:spacing w:line="360" w:lineRule="auto"/>
        <w:ind w:firstLine="480" w:firstLineChars="200"/>
        <w:jc w:val="left"/>
        <w:rPr>
          <w:rFonts w:ascii="宋体" w:hAnsi="宋体" w:cs="仿宋"/>
          <w:color w:val="000000"/>
          <w:sz w:val="24"/>
        </w:rPr>
      </w:pPr>
      <w:r>
        <w:rPr>
          <w:rFonts w:hint="eastAsia" w:ascii="宋体" w:hAnsi="宋体" w:cs="仿宋"/>
          <w:color w:val="000000"/>
          <w:sz w:val="24"/>
        </w:rPr>
        <w:t>10、保修、质保期后为有偿服务，甲乙双方可另行签订服务协议，原则上不超过合同总额的7%。</w:t>
      </w:r>
    </w:p>
    <w:p w14:paraId="7905C62C">
      <w:pPr>
        <w:spacing w:line="360" w:lineRule="auto"/>
        <w:ind w:firstLine="482" w:firstLineChars="200"/>
        <w:rPr>
          <w:rFonts w:ascii="宋体" w:hAnsi="宋体" w:cs="仿宋"/>
          <w:b/>
          <w:kern w:val="0"/>
          <w:sz w:val="24"/>
          <w:szCs w:val="24"/>
        </w:rPr>
      </w:pPr>
      <w:r>
        <w:rPr>
          <w:rFonts w:hint="eastAsia" w:ascii="宋体" w:hAnsi="宋体" w:cs="仿宋"/>
          <w:b/>
          <w:kern w:val="0"/>
          <w:sz w:val="24"/>
          <w:szCs w:val="24"/>
        </w:rPr>
        <w:t>第十条：知识产权及保密条款</w:t>
      </w:r>
    </w:p>
    <w:p w14:paraId="6A652C1D">
      <w:pPr>
        <w:numPr>
          <w:ilvl w:val="0"/>
          <w:numId w:val="5"/>
        </w:numPr>
        <w:spacing w:line="360" w:lineRule="auto"/>
        <w:ind w:firstLine="480" w:firstLineChars="200"/>
        <w:jc w:val="left"/>
        <w:rPr>
          <w:rFonts w:ascii="宋体" w:hAnsi="宋体" w:cs="仿宋"/>
          <w:color w:val="000000"/>
          <w:sz w:val="24"/>
        </w:rPr>
      </w:pPr>
      <w:r>
        <w:rPr>
          <w:rFonts w:hint="eastAsia" w:ascii="宋体" w:hAnsi="宋体" w:cs="仿宋"/>
          <w:color w:val="000000"/>
          <w:sz w:val="24"/>
        </w:rPr>
        <w:t>乙方保证其提供本合同项下的产品具备相应资质，为履行本合同而使用的产品不存在权利瑕疵或侵害第三人利益的情形。</w:t>
      </w:r>
    </w:p>
    <w:p w14:paraId="1E6EF1BE">
      <w:pPr>
        <w:pStyle w:val="27"/>
        <w:tabs>
          <w:tab w:val="left" w:pos="6240"/>
        </w:tabs>
        <w:spacing w:line="360" w:lineRule="auto"/>
        <w:ind w:firstLine="480"/>
        <w:rPr>
          <w:rFonts w:ascii="宋体" w:hAnsi="宋体" w:cs="仿宋"/>
          <w:color w:val="000000"/>
          <w:sz w:val="24"/>
          <w:szCs w:val="24"/>
        </w:rPr>
      </w:pPr>
      <w:r>
        <w:rPr>
          <w:rFonts w:hint="eastAsia" w:ascii="宋体" w:hAnsi="宋体" w:cs="仿宋"/>
          <w:color w:val="000000"/>
          <w:sz w:val="24"/>
        </w:rPr>
        <w:t>2、</w:t>
      </w:r>
      <w:r>
        <w:rPr>
          <w:rFonts w:hint="eastAsia" w:ascii="宋体" w:hAnsi="宋体" w:cs="仿宋"/>
          <w:color w:val="000000"/>
          <w:sz w:val="24"/>
          <w:szCs w:val="24"/>
        </w:rPr>
        <w:t>本项目涉及的保密内容包括技术信息、经营信息等，双方都有责任对对方提供的技术情报、资料数据及商业秘密保密，不得向第三方泄露。</w:t>
      </w:r>
    </w:p>
    <w:p w14:paraId="16B88F3C">
      <w:pPr>
        <w:pStyle w:val="23"/>
        <w:spacing w:line="360" w:lineRule="auto"/>
        <w:ind w:firstLineChars="200"/>
        <w:jc w:val="left"/>
        <w:rPr>
          <w:rFonts w:cs="仿宋"/>
          <w:color w:val="000000"/>
          <w:kern w:val="2"/>
          <w:sz w:val="24"/>
          <w:szCs w:val="24"/>
        </w:rPr>
      </w:pPr>
      <w:r>
        <w:rPr>
          <w:rFonts w:hint="eastAsia" w:cs="仿宋"/>
          <w:color w:val="000000"/>
          <w:kern w:val="2"/>
          <w:sz w:val="24"/>
          <w:szCs w:val="24"/>
        </w:rPr>
        <w:t>3、未经对方同意，任何一方不得以任何形式公开本合同及附件内容。双方在未征得对方同意的情况下，不得向第三方泄露在项目中接触到的需要保密的信息和资料。不得为任何本合同之外的其他目的而自行使用或允许他人使用从对方获得的信息（包括但不限于所有的报告、摘录、纪要、文件、计划、报表、复印件等）。</w:t>
      </w:r>
    </w:p>
    <w:p w14:paraId="7D452A8E">
      <w:pPr>
        <w:pStyle w:val="23"/>
        <w:spacing w:line="360" w:lineRule="auto"/>
        <w:ind w:firstLineChars="200"/>
        <w:jc w:val="left"/>
        <w:rPr>
          <w:rFonts w:cs="仿宋"/>
          <w:color w:val="000000"/>
          <w:kern w:val="2"/>
          <w:sz w:val="24"/>
          <w:szCs w:val="24"/>
        </w:rPr>
      </w:pPr>
      <w:r>
        <w:rPr>
          <w:rFonts w:hint="eastAsia" w:cs="仿宋"/>
          <w:color w:val="000000"/>
          <w:kern w:val="2"/>
          <w:sz w:val="24"/>
          <w:szCs w:val="24"/>
        </w:rPr>
        <w:t>4、负有保密义务的人员范围为甲乙双方参与及知悉项目的所有人员，双方负有永久保密义务。</w:t>
      </w:r>
    </w:p>
    <w:p w14:paraId="35AB2B7A">
      <w:pPr>
        <w:pStyle w:val="23"/>
        <w:spacing w:line="360" w:lineRule="auto"/>
        <w:ind w:firstLineChars="200"/>
        <w:jc w:val="left"/>
        <w:rPr>
          <w:rFonts w:cs="仿宋"/>
          <w:color w:val="000000"/>
          <w:kern w:val="2"/>
          <w:sz w:val="24"/>
          <w:szCs w:val="24"/>
        </w:rPr>
      </w:pPr>
      <w:r>
        <w:rPr>
          <w:rFonts w:hint="eastAsia" w:cs="仿宋"/>
          <w:color w:val="000000"/>
          <w:kern w:val="2"/>
          <w:sz w:val="24"/>
          <w:szCs w:val="24"/>
        </w:rPr>
        <w:t>5、本项目项下产生数据资料、统计资料等电子信息所有权属于甲方，未经甲方书面同意，乙方不得以任何方式使用或变相使用，不得以任何方式向第三方披露，否则，乙方应当向甲方赔偿损失。</w:t>
      </w:r>
    </w:p>
    <w:p w14:paraId="4E57063F">
      <w:pPr>
        <w:spacing w:line="360" w:lineRule="auto"/>
        <w:ind w:firstLine="482" w:firstLineChars="200"/>
        <w:rPr>
          <w:rFonts w:ascii="宋体" w:hAnsi="宋体" w:cs="仿宋"/>
          <w:b/>
          <w:kern w:val="0"/>
          <w:sz w:val="24"/>
          <w:szCs w:val="24"/>
        </w:rPr>
      </w:pPr>
      <w:r>
        <w:rPr>
          <w:rFonts w:hint="eastAsia" w:ascii="宋体" w:hAnsi="宋体" w:cs="仿宋"/>
          <w:b/>
          <w:kern w:val="0"/>
          <w:sz w:val="24"/>
          <w:szCs w:val="24"/>
        </w:rPr>
        <w:t>第十一条：违约责任</w:t>
      </w:r>
    </w:p>
    <w:p w14:paraId="7E2082C0">
      <w:pPr>
        <w:pStyle w:val="36"/>
        <w:tabs>
          <w:tab w:val="clear" w:pos="0"/>
          <w:tab w:val="clear" w:pos="959"/>
          <w:tab w:val="clear" w:pos="1918"/>
          <w:tab w:val="clear" w:pos="2877"/>
          <w:tab w:val="clear" w:pos="3836"/>
          <w:tab w:val="clear" w:pos="4795"/>
          <w:tab w:val="clear" w:pos="5754"/>
          <w:tab w:val="clear" w:pos="6713"/>
          <w:tab w:val="clear" w:pos="7672"/>
          <w:tab w:val="clear" w:pos="8631"/>
          <w:tab w:val="clear" w:pos="9590"/>
        </w:tabs>
        <w:snapToGrid w:val="0"/>
        <w:spacing w:line="360" w:lineRule="auto"/>
        <w:ind w:firstLine="480" w:firstLineChars="200"/>
        <w:rPr>
          <w:rFonts w:ascii="宋体" w:hAnsi="宋体" w:cs="仿宋"/>
          <w:sz w:val="24"/>
        </w:rPr>
      </w:pPr>
      <w:r>
        <w:rPr>
          <w:rFonts w:hint="eastAsia" w:ascii="宋体" w:hAnsi="宋体" w:cs="仿宋"/>
          <w:sz w:val="24"/>
        </w:rPr>
        <w:t>1、乙方如未按照本合同约定时间完成安装、调试等义务，每逾期一天应向甲方支付本合同总价款</w:t>
      </w:r>
      <w:r>
        <w:rPr>
          <w:rFonts w:hint="eastAsia" w:ascii="宋体" w:hAnsi="宋体" w:cs="仿宋"/>
          <w:sz w:val="24"/>
          <w:u w:val="single"/>
        </w:rPr>
        <w:t xml:space="preserve"> 0.2 </w:t>
      </w:r>
      <w:r>
        <w:rPr>
          <w:rFonts w:hint="eastAsia" w:ascii="宋体" w:hAnsi="宋体" w:cs="仿宋"/>
          <w:sz w:val="24"/>
        </w:rPr>
        <w:t>‰的违约金。乙方逾期超过</w:t>
      </w:r>
      <w:r>
        <w:rPr>
          <w:rFonts w:hint="eastAsia" w:ascii="宋体" w:hAnsi="宋体" w:cs="仿宋"/>
          <w:sz w:val="24"/>
          <w:u w:val="single"/>
        </w:rPr>
        <w:t xml:space="preserve"> 30 </w:t>
      </w:r>
      <w:r>
        <w:rPr>
          <w:rFonts w:hint="eastAsia" w:ascii="宋体" w:hAnsi="宋体" w:cs="仿宋"/>
          <w:sz w:val="24"/>
        </w:rPr>
        <w:t>天的，甲方有权解除合同。</w:t>
      </w:r>
    </w:p>
    <w:p w14:paraId="2AC74F03">
      <w:pPr>
        <w:spacing w:line="360" w:lineRule="auto"/>
        <w:ind w:firstLine="480" w:firstLineChars="200"/>
        <w:rPr>
          <w:rFonts w:ascii="宋体" w:hAnsi="宋体" w:cs="仿宋"/>
          <w:sz w:val="24"/>
        </w:rPr>
      </w:pPr>
      <w:r>
        <w:rPr>
          <w:rFonts w:hint="eastAsia" w:ascii="宋体" w:hAnsi="宋体" w:cs="仿宋"/>
          <w:color w:val="000000"/>
          <w:sz w:val="24"/>
        </w:rPr>
        <w:t>2、</w:t>
      </w:r>
      <w:r>
        <w:rPr>
          <w:rFonts w:hint="eastAsia" w:ascii="宋体" w:hAnsi="宋体" w:cs="仿宋"/>
          <w:sz w:val="24"/>
        </w:rPr>
        <w:t>如乙方交付的产品数量、品种、规格、质量不符合国家标准和合同约定的，由乙方负责包换、退货，并承担由此给甲方造成的所有经济损失。</w:t>
      </w:r>
      <w:r>
        <w:rPr>
          <w:rFonts w:hint="eastAsia" w:ascii="宋体" w:hAnsi="宋体" w:cs="仿宋"/>
          <w:color w:val="000000"/>
          <w:sz w:val="24"/>
        </w:rPr>
        <w:t>乙方未按合同要求提供产品，经</w:t>
      </w:r>
      <w:r>
        <w:rPr>
          <w:rFonts w:ascii="宋体" w:hAnsi="宋体" w:cs="仿宋"/>
          <w:color w:val="000000"/>
          <w:sz w:val="24"/>
          <w:u w:val="single"/>
        </w:rPr>
        <w:t>3</w:t>
      </w:r>
      <w:r>
        <w:rPr>
          <w:rFonts w:hint="eastAsia" w:ascii="宋体" w:hAnsi="宋体" w:cs="仿宋"/>
          <w:color w:val="000000"/>
          <w:sz w:val="24"/>
        </w:rPr>
        <w:t>次验收仍不合格的，或提供虚假材料，甲方有权解除合同，乙方除应赔偿给甲方造成的所有经济损失外，还应向甲方支付合同总价款10%的违约金。</w:t>
      </w:r>
    </w:p>
    <w:p w14:paraId="67936C05">
      <w:pPr>
        <w:spacing w:line="360" w:lineRule="auto"/>
        <w:ind w:firstLine="480" w:firstLineChars="200"/>
        <w:rPr>
          <w:rFonts w:ascii="宋体" w:hAnsi="宋体" w:cs="仿宋"/>
          <w:sz w:val="24"/>
        </w:rPr>
      </w:pPr>
      <w:r>
        <w:rPr>
          <w:rFonts w:hint="eastAsia" w:ascii="宋体" w:hAnsi="宋体" w:cs="仿宋"/>
          <w:sz w:val="24"/>
        </w:rPr>
        <w:t>3、乙方确保甲方购买的产品拥有合法的知识产权（即为正版软件），如因甲方购买、使用该软件引起与其它第三方发生法律、经济纠纷的，乙方应主动承担全部责任，积极参与处理因软件引起的与其他第三方发生法律、经济责任，承担因此给甲方造成的全部损失（包括但不限于给第三方赔偿的所有费用、律师费、交通费、诉讼费等）。同时甲方有权解除合同，乙方除应退还甲方支付的所有款项外，还应向甲方支付合同价款总额</w:t>
      </w:r>
      <w:r>
        <w:rPr>
          <w:rFonts w:hint="eastAsia" w:ascii="宋体" w:hAnsi="宋体" w:cs="仿宋"/>
          <w:sz w:val="24"/>
          <w:u w:val="single"/>
        </w:rPr>
        <w:t>10</w:t>
      </w:r>
      <w:r>
        <w:rPr>
          <w:rFonts w:hint="eastAsia" w:ascii="宋体" w:hAnsi="宋体" w:cs="仿宋"/>
          <w:sz w:val="24"/>
        </w:rPr>
        <w:t>%违约金。</w:t>
      </w:r>
    </w:p>
    <w:p w14:paraId="71FAA1D1">
      <w:pPr>
        <w:pStyle w:val="35"/>
        <w:spacing w:line="360" w:lineRule="auto"/>
        <w:ind w:firstLine="480" w:firstLineChars="200"/>
        <w:rPr>
          <w:rFonts w:ascii="宋体" w:hAnsi="宋体" w:eastAsia="宋体" w:cs="仿宋"/>
          <w:kern w:val="2"/>
          <w:sz w:val="24"/>
        </w:rPr>
      </w:pPr>
      <w:r>
        <w:rPr>
          <w:rFonts w:hint="eastAsia" w:ascii="宋体" w:hAnsi="宋体" w:eastAsia="宋体" w:cs="仿宋"/>
          <w:kern w:val="2"/>
          <w:sz w:val="24"/>
        </w:rPr>
        <w:t>4、质保期之内，乙方如未在约定时间响应、到场或者排除障碍的，则每次承担</w:t>
      </w:r>
      <w:r>
        <w:rPr>
          <w:rFonts w:hint="eastAsia" w:ascii="宋体" w:hAnsi="宋体" w:eastAsia="宋体" w:cs="仿宋"/>
          <w:kern w:val="2"/>
          <w:sz w:val="24"/>
          <w:u w:val="single"/>
        </w:rPr>
        <w:t xml:space="preserve"> </w:t>
      </w:r>
      <w:r>
        <w:rPr>
          <w:rFonts w:ascii="宋体" w:hAnsi="宋体" w:eastAsia="宋体" w:cs="仿宋"/>
          <w:kern w:val="2"/>
          <w:sz w:val="24"/>
          <w:u w:val="single"/>
        </w:rPr>
        <w:t>200</w:t>
      </w:r>
      <w:r>
        <w:rPr>
          <w:rFonts w:hint="eastAsia" w:ascii="宋体" w:hAnsi="宋体" w:eastAsia="宋体" w:cs="仿宋"/>
          <w:kern w:val="2"/>
          <w:sz w:val="24"/>
          <w:u w:val="single"/>
        </w:rPr>
        <w:t xml:space="preserve"> </w:t>
      </w:r>
      <w:r>
        <w:rPr>
          <w:rFonts w:hint="eastAsia" w:ascii="宋体" w:hAnsi="宋体" w:eastAsia="宋体" w:cs="仿宋"/>
          <w:kern w:val="2"/>
          <w:sz w:val="24"/>
        </w:rPr>
        <w:t>元的违约金。乙方超过</w:t>
      </w:r>
      <w:r>
        <w:rPr>
          <w:rFonts w:hint="eastAsia" w:ascii="宋体" w:hAnsi="宋体" w:eastAsia="宋体" w:cs="仿宋"/>
          <w:kern w:val="2"/>
          <w:sz w:val="24"/>
          <w:u w:val="single"/>
        </w:rPr>
        <w:t xml:space="preserve"> </w:t>
      </w:r>
      <w:r>
        <w:rPr>
          <w:rFonts w:ascii="宋体" w:hAnsi="宋体" w:eastAsia="宋体" w:cs="仿宋"/>
          <w:kern w:val="2"/>
          <w:sz w:val="24"/>
          <w:u w:val="single"/>
        </w:rPr>
        <w:t>24</w:t>
      </w:r>
      <w:r>
        <w:rPr>
          <w:rFonts w:hint="eastAsia" w:ascii="宋体" w:hAnsi="宋体" w:eastAsia="宋体" w:cs="仿宋"/>
          <w:kern w:val="2"/>
          <w:sz w:val="24"/>
          <w:u w:val="single"/>
        </w:rPr>
        <w:t xml:space="preserve"> </w:t>
      </w:r>
      <w:r>
        <w:rPr>
          <w:rFonts w:hint="eastAsia" w:ascii="宋体" w:hAnsi="宋体" w:eastAsia="宋体" w:cs="仿宋"/>
          <w:kern w:val="2"/>
          <w:sz w:val="24"/>
        </w:rPr>
        <w:t>小时未能排除障碍或者维修两次均未修好，则甲方有权委托第三方进行维修，因此产生的维修费用由乙方承担，乙方还应赔偿因此给甲方造成的所有损失（损失按每日</w:t>
      </w:r>
      <w:r>
        <w:rPr>
          <w:rFonts w:hint="eastAsia" w:ascii="宋体" w:hAnsi="宋体" w:eastAsia="宋体" w:cs="仿宋"/>
          <w:kern w:val="2"/>
          <w:sz w:val="24"/>
          <w:u w:val="single"/>
        </w:rPr>
        <w:t xml:space="preserve"> </w:t>
      </w:r>
      <w:r>
        <w:rPr>
          <w:rFonts w:ascii="宋体" w:hAnsi="宋体" w:eastAsia="宋体" w:cs="仿宋"/>
          <w:kern w:val="2"/>
          <w:sz w:val="24"/>
          <w:u w:val="single"/>
        </w:rPr>
        <w:t>200</w:t>
      </w:r>
      <w:r>
        <w:rPr>
          <w:rFonts w:hint="eastAsia" w:ascii="宋体" w:hAnsi="宋体" w:eastAsia="宋体" w:cs="仿宋"/>
          <w:kern w:val="2"/>
          <w:sz w:val="24"/>
          <w:u w:val="single"/>
        </w:rPr>
        <w:t xml:space="preserve"> </w:t>
      </w:r>
      <w:r>
        <w:rPr>
          <w:rFonts w:hint="eastAsia" w:ascii="宋体" w:hAnsi="宋体" w:eastAsia="宋体" w:cs="仿宋"/>
          <w:kern w:val="2"/>
          <w:sz w:val="24"/>
        </w:rPr>
        <w:t>元计算）。</w:t>
      </w:r>
    </w:p>
    <w:p w14:paraId="7BBB3FEB">
      <w:pPr>
        <w:pStyle w:val="35"/>
        <w:spacing w:line="360" w:lineRule="auto"/>
        <w:ind w:firstLine="480" w:firstLineChars="200"/>
        <w:rPr>
          <w:rFonts w:ascii="宋体" w:hAnsi="宋体" w:eastAsia="宋体" w:cs="仿宋"/>
        </w:rPr>
      </w:pPr>
      <w:r>
        <w:rPr>
          <w:rFonts w:hint="eastAsia" w:ascii="宋体" w:hAnsi="宋体" w:eastAsia="宋体" w:cs="仿宋"/>
          <w:kern w:val="2"/>
          <w:sz w:val="24"/>
        </w:rPr>
        <w:t>5、甲方未按合同约定提供工作条件或完成配合事项，或者提供工作条件、完成配合事项不符合合同约定影响项目进度和质量的，项目交付期限相应顺延。</w:t>
      </w:r>
    </w:p>
    <w:p w14:paraId="117EB83E">
      <w:pPr>
        <w:pStyle w:val="23"/>
        <w:spacing w:line="360" w:lineRule="auto"/>
        <w:ind w:firstLineChars="200"/>
        <w:jc w:val="left"/>
        <w:rPr>
          <w:rFonts w:cs="仿宋"/>
          <w:sz w:val="24"/>
        </w:rPr>
      </w:pPr>
      <w:r>
        <w:rPr>
          <w:rFonts w:hint="eastAsia" w:cs="仿宋"/>
          <w:kern w:val="2"/>
          <w:sz w:val="24"/>
          <w:szCs w:val="24"/>
        </w:rPr>
        <w:t>6、因甲方违约导致本合同解除的，乙方有权按已履行完毕的服务内容向甲方收取对应合同价款。</w:t>
      </w:r>
    </w:p>
    <w:p w14:paraId="4E6C9889">
      <w:pPr>
        <w:spacing w:line="360" w:lineRule="auto"/>
        <w:ind w:firstLine="480" w:firstLineChars="200"/>
        <w:rPr>
          <w:rFonts w:ascii="宋体" w:hAnsi="宋体" w:cs="仿宋"/>
          <w:bCs/>
          <w:sz w:val="24"/>
        </w:rPr>
      </w:pPr>
      <w:r>
        <w:rPr>
          <w:rFonts w:hint="eastAsia" w:ascii="宋体" w:hAnsi="宋体" w:cs="仿宋"/>
          <w:bCs/>
          <w:sz w:val="24"/>
        </w:rPr>
        <w:t>7、因乙方违约导致合同解除的，乙方应向甲方退还已收的所有款项，并向甲方支付</w:t>
      </w:r>
      <w:r>
        <w:rPr>
          <w:rFonts w:hint="eastAsia" w:ascii="宋体" w:hAnsi="宋体" w:cs="仿宋"/>
          <w:sz w:val="24"/>
        </w:rPr>
        <w:t>合同价款总额的</w:t>
      </w:r>
      <w:r>
        <w:rPr>
          <w:rFonts w:hint="eastAsia" w:ascii="宋体" w:hAnsi="宋体" w:cs="仿宋"/>
          <w:sz w:val="24"/>
          <w:u w:val="single"/>
        </w:rPr>
        <w:t>10</w:t>
      </w:r>
      <w:r>
        <w:rPr>
          <w:rFonts w:hint="eastAsia" w:ascii="宋体" w:hAnsi="宋体" w:cs="仿宋"/>
          <w:sz w:val="24"/>
        </w:rPr>
        <w:t>%违约金。</w:t>
      </w:r>
    </w:p>
    <w:p w14:paraId="5B8395E4">
      <w:pPr>
        <w:spacing w:line="360" w:lineRule="auto"/>
        <w:ind w:firstLine="482" w:firstLineChars="200"/>
        <w:rPr>
          <w:rFonts w:ascii="宋体" w:hAnsi="宋体" w:cs="仿宋"/>
          <w:b/>
          <w:sz w:val="24"/>
        </w:rPr>
      </w:pPr>
      <w:r>
        <w:rPr>
          <w:rFonts w:hint="eastAsia" w:ascii="宋体" w:hAnsi="宋体" w:cs="仿宋"/>
          <w:b/>
          <w:sz w:val="24"/>
        </w:rPr>
        <w:t>第十二条：不可抗力</w:t>
      </w:r>
    </w:p>
    <w:p w14:paraId="1FC4E3A9">
      <w:pPr>
        <w:spacing w:line="360" w:lineRule="auto"/>
        <w:ind w:firstLine="480" w:firstLineChars="200"/>
        <w:rPr>
          <w:rFonts w:ascii="宋体" w:hAnsi="宋体" w:cs="仿宋"/>
          <w:color w:val="000000"/>
          <w:sz w:val="24"/>
        </w:rPr>
      </w:pPr>
      <w:r>
        <w:rPr>
          <w:rFonts w:hint="eastAsia" w:ascii="宋体" w:hAnsi="宋体" w:cs="仿宋"/>
          <w:color w:val="000000"/>
          <w:sz w:val="24"/>
        </w:rPr>
        <w:t>如果由于无法预见并且对其发生和后果无法防止或避免的事件，如地震、水灾、火灾和其他自然灾害、战争、暴动、和类似的军事行动，民间骚动以及政府的禁运令、禁止令或其他政府限制和行动，或者其他阻止一方履行本合同义务的任何事件或原因（统称：不可抗力事件）。直接致使遇到上述事件的一方（即受阻方）不能履行本合同约定的全部或部分义务的，受阻方应立即书面通知另一方，并在不可抗力事件发生后十五个工作日内提供有关该事件的权威机关的书面材料，包括陈述迟延履行、部分履行或无法履行本合同义务的理由的说明书，方可免责。</w:t>
      </w:r>
    </w:p>
    <w:p w14:paraId="712B81CE">
      <w:pPr>
        <w:spacing w:line="360" w:lineRule="auto"/>
        <w:ind w:firstLine="482" w:firstLineChars="200"/>
        <w:rPr>
          <w:rFonts w:ascii="宋体" w:hAnsi="宋体" w:cs="仿宋"/>
          <w:b/>
          <w:color w:val="000000"/>
          <w:sz w:val="24"/>
        </w:rPr>
      </w:pPr>
      <w:r>
        <w:rPr>
          <w:rFonts w:hint="eastAsia" w:ascii="宋体" w:hAnsi="宋体" w:cs="仿宋"/>
          <w:b/>
          <w:color w:val="000000"/>
          <w:sz w:val="24"/>
        </w:rPr>
        <w:t>第十三条：纠纷的解决</w:t>
      </w:r>
    </w:p>
    <w:p w14:paraId="6BC3DE7F">
      <w:pPr>
        <w:spacing w:line="360" w:lineRule="auto"/>
        <w:ind w:firstLine="480" w:firstLineChars="200"/>
        <w:rPr>
          <w:rFonts w:ascii="宋体" w:hAnsi="宋体" w:cs="仿宋"/>
          <w:color w:val="000000"/>
          <w:sz w:val="24"/>
        </w:rPr>
      </w:pPr>
      <w:r>
        <w:rPr>
          <w:rFonts w:hint="eastAsia" w:ascii="宋体" w:hAnsi="宋体" w:cs="仿宋"/>
          <w:color w:val="000000"/>
          <w:sz w:val="24"/>
        </w:rPr>
        <w:t>本合同在履行过程中发生的与本合同有关的任何争议，由甲、乙双方先行友好协商解决，协商不成的，任何一方有权向甲方所在地人民法院起诉。</w:t>
      </w:r>
    </w:p>
    <w:p w14:paraId="33C3ABA0">
      <w:pPr>
        <w:spacing w:line="360" w:lineRule="auto"/>
        <w:ind w:firstLine="482" w:firstLineChars="200"/>
        <w:rPr>
          <w:rFonts w:ascii="宋体" w:hAnsi="宋体" w:cs="仿宋"/>
          <w:color w:val="000000"/>
          <w:sz w:val="24"/>
        </w:rPr>
      </w:pPr>
      <w:r>
        <w:rPr>
          <w:rFonts w:hint="eastAsia" w:ascii="宋体" w:hAnsi="宋体" w:cs="仿宋"/>
          <w:b/>
          <w:color w:val="000000"/>
          <w:sz w:val="24"/>
        </w:rPr>
        <w:t>第十四条</w:t>
      </w:r>
      <w:r>
        <w:rPr>
          <w:rFonts w:hint="eastAsia" w:ascii="宋体" w:hAnsi="宋体" w:cs="仿宋"/>
          <w:color w:val="000000"/>
          <w:sz w:val="24"/>
        </w:rPr>
        <w:t>：本合同一式肆份，甲乙双方各执贰份，均具有同等法律效力。</w:t>
      </w:r>
    </w:p>
    <w:p w14:paraId="6683D7D6">
      <w:pPr>
        <w:spacing w:line="360" w:lineRule="auto"/>
        <w:ind w:firstLine="482" w:firstLineChars="200"/>
        <w:rPr>
          <w:rFonts w:ascii="宋体" w:hAnsi="宋体" w:cs="仿宋"/>
          <w:color w:val="000000"/>
          <w:sz w:val="24"/>
        </w:rPr>
      </w:pPr>
      <w:r>
        <w:rPr>
          <w:rFonts w:hint="eastAsia" w:ascii="宋体" w:hAnsi="宋体" w:cs="仿宋"/>
          <w:b/>
          <w:color w:val="000000"/>
          <w:sz w:val="24"/>
        </w:rPr>
        <w:t>第十五条</w:t>
      </w:r>
      <w:r>
        <w:rPr>
          <w:rFonts w:hint="eastAsia" w:ascii="宋体" w:hAnsi="宋体" w:cs="仿宋"/>
          <w:color w:val="000000"/>
          <w:sz w:val="24"/>
        </w:rPr>
        <w:t>：本合同未尽事宜，由甲、乙双方另行签订补充协议，补充协议作为合同附件与本合同具有同等法律效力。</w:t>
      </w:r>
    </w:p>
    <w:p w14:paraId="5D6727F9">
      <w:pPr>
        <w:spacing w:line="360" w:lineRule="auto"/>
        <w:ind w:firstLine="482" w:firstLineChars="200"/>
        <w:rPr>
          <w:rFonts w:ascii="宋体" w:hAnsi="宋体" w:cs="仿宋"/>
          <w:color w:val="000000"/>
          <w:sz w:val="24"/>
        </w:rPr>
      </w:pPr>
      <w:r>
        <w:rPr>
          <w:rFonts w:hint="eastAsia" w:ascii="宋体" w:hAnsi="宋体" w:cs="仿宋"/>
          <w:b/>
          <w:color w:val="000000"/>
          <w:sz w:val="24"/>
        </w:rPr>
        <w:t>第十六条</w:t>
      </w:r>
      <w:r>
        <w:rPr>
          <w:rFonts w:hint="eastAsia" w:ascii="宋体" w:hAnsi="宋体" w:cs="仿宋"/>
          <w:color w:val="000000"/>
          <w:sz w:val="24"/>
        </w:rPr>
        <w:t>：本合同自甲、乙双方正式授权代表签字并加盖公章之日生效。</w:t>
      </w:r>
    </w:p>
    <w:p w14:paraId="3DE00320">
      <w:pPr>
        <w:spacing w:line="360" w:lineRule="auto"/>
        <w:ind w:firstLine="482" w:firstLineChars="200"/>
        <w:rPr>
          <w:rFonts w:ascii="宋体" w:hAnsi="宋体" w:cs="仿宋"/>
          <w:color w:val="000000"/>
          <w:sz w:val="24"/>
        </w:rPr>
      </w:pPr>
      <w:r>
        <w:rPr>
          <w:rFonts w:hint="eastAsia" w:ascii="宋体" w:hAnsi="宋体" w:cs="仿宋"/>
          <w:b/>
          <w:color w:val="000000"/>
          <w:sz w:val="24"/>
        </w:rPr>
        <w:t>第十七条</w:t>
      </w:r>
      <w:r>
        <w:rPr>
          <w:rFonts w:hint="eastAsia" w:ascii="宋体" w:hAnsi="宋体" w:cs="仿宋"/>
          <w:color w:val="000000"/>
          <w:sz w:val="24"/>
        </w:rPr>
        <w:t>：本合同有效期自生效之日起至合同执行完毕时止。</w:t>
      </w:r>
    </w:p>
    <w:p w14:paraId="6E88664C">
      <w:pPr>
        <w:spacing w:line="360" w:lineRule="auto"/>
        <w:ind w:firstLine="482" w:firstLineChars="200"/>
        <w:rPr>
          <w:rFonts w:ascii="宋体" w:hAnsi="宋体" w:cs="仿宋"/>
          <w:b/>
          <w:color w:val="000000"/>
          <w:sz w:val="24"/>
        </w:rPr>
      </w:pPr>
      <w:r>
        <w:rPr>
          <w:rFonts w:hint="eastAsia" w:ascii="宋体" w:hAnsi="宋体" w:cs="仿宋"/>
          <w:b/>
          <w:color w:val="000000"/>
          <w:sz w:val="24"/>
        </w:rPr>
        <w:t>第十八条：</w:t>
      </w:r>
      <w:r>
        <w:rPr>
          <w:rFonts w:hint="eastAsia" w:ascii="宋体" w:hAnsi="宋体" w:cs="仿宋"/>
          <w:color w:val="000000"/>
          <w:sz w:val="24"/>
        </w:rPr>
        <w:t>本合同应当按照中华人民共和国的现行法律、法规进行解释。</w:t>
      </w:r>
    </w:p>
    <w:p w14:paraId="79D4E874">
      <w:pPr>
        <w:spacing w:line="400" w:lineRule="exact"/>
        <w:ind w:firstLine="354" w:firstLineChars="147"/>
        <w:rPr>
          <w:rFonts w:ascii="宋体" w:hAnsi="宋体" w:cs="仿宋"/>
          <w:b/>
          <w:color w:val="D9D9D9"/>
          <w:sz w:val="24"/>
        </w:rPr>
      </w:pPr>
      <w:r>
        <w:rPr>
          <w:rFonts w:hint="eastAsia" w:ascii="宋体" w:hAnsi="宋体" w:cs="仿宋"/>
          <w:b/>
          <w:color w:val="D9D9D9"/>
          <w:sz w:val="24"/>
        </w:rPr>
        <w:t>-----------------------以下无正文-------------------------</w:t>
      </w:r>
    </w:p>
    <w:p w14:paraId="1A77BB03">
      <w:pPr>
        <w:spacing w:line="400" w:lineRule="exact"/>
        <w:rPr>
          <w:rFonts w:ascii="宋体" w:hAnsi="宋体" w:cs="仿宋"/>
          <w:b/>
          <w:color w:val="000000"/>
          <w:sz w:val="24"/>
        </w:rPr>
      </w:pPr>
    </w:p>
    <w:p w14:paraId="7C2F9136">
      <w:pPr>
        <w:spacing w:line="400" w:lineRule="exact"/>
        <w:jc w:val="left"/>
        <w:rPr>
          <w:rFonts w:ascii="宋体" w:hAnsi="宋体" w:cs="仿宋"/>
          <w:b/>
          <w:color w:val="000000"/>
          <w:sz w:val="24"/>
        </w:rPr>
      </w:pPr>
      <w:r>
        <w:rPr>
          <w:rFonts w:hint="eastAsia" w:ascii="宋体" w:hAnsi="宋体" w:cs="仿宋"/>
          <w:b/>
          <w:color w:val="000000"/>
          <w:sz w:val="24"/>
        </w:rPr>
        <w:t>甲方（盖章）：</w:t>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ab/>
      </w:r>
      <w:r>
        <w:rPr>
          <w:rFonts w:hint="eastAsia" w:ascii="宋体" w:hAnsi="宋体" w:cs="仿宋"/>
          <w:b/>
          <w:color w:val="000000"/>
          <w:sz w:val="24"/>
        </w:rPr>
        <w:t>乙方（盖章）：</w:t>
      </w:r>
    </w:p>
    <w:p w14:paraId="2AE8B464">
      <w:pPr>
        <w:spacing w:line="400" w:lineRule="exact"/>
        <w:jc w:val="left"/>
        <w:rPr>
          <w:rFonts w:ascii="宋体" w:hAnsi="宋体" w:cs="仿宋"/>
          <w:color w:val="000000"/>
          <w:sz w:val="24"/>
        </w:rPr>
      </w:pPr>
      <w:r>
        <w:rPr>
          <w:rFonts w:hint="eastAsia" w:ascii="宋体" w:hAnsi="宋体" w:cs="仿宋"/>
          <w:color w:val="000000"/>
          <w:sz w:val="24"/>
        </w:rPr>
        <w:t>单位：</w:t>
      </w:r>
      <w:r>
        <w:rPr>
          <w:rFonts w:hint="eastAsia" w:ascii="宋体" w:hAnsi="宋体" w:cs="仿宋"/>
          <w:sz w:val="24"/>
        </w:rPr>
        <w:t>陕西中医药大学附属医院</w:t>
      </w:r>
      <w:r>
        <w:rPr>
          <w:rFonts w:hint="eastAsia" w:ascii="宋体" w:hAnsi="宋体" w:cs="仿宋"/>
          <w:color w:val="000000"/>
          <w:sz w:val="24"/>
        </w:rPr>
        <w:t xml:space="preserve">       单位： </w:t>
      </w:r>
    </w:p>
    <w:p w14:paraId="0432971E">
      <w:pPr>
        <w:spacing w:line="400" w:lineRule="exact"/>
        <w:ind w:right="-1352" w:rightChars="-644"/>
        <w:jc w:val="left"/>
        <w:rPr>
          <w:rFonts w:ascii="宋体" w:hAnsi="宋体" w:cs="仿宋"/>
          <w:color w:val="000000"/>
          <w:szCs w:val="21"/>
        </w:rPr>
      </w:pPr>
      <w:r>
        <w:rPr>
          <w:rFonts w:hint="eastAsia" w:ascii="宋体" w:hAnsi="宋体" w:cs="仿宋"/>
          <w:color w:val="000000"/>
          <w:sz w:val="24"/>
        </w:rPr>
        <w:t xml:space="preserve">地址：咸阳市渭阳西路副2号         地址：                           </w:t>
      </w:r>
    </w:p>
    <w:p w14:paraId="4ED45C88">
      <w:pPr>
        <w:spacing w:line="400" w:lineRule="exact"/>
        <w:ind w:firstLine="4080" w:firstLineChars="1700"/>
        <w:jc w:val="left"/>
        <w:rPr>
          <w:rFonts w:ascii="宋体" w:hAnsi="宋体" w:cs="仿宋"/>
          <w:color w:val="000000"/>
          <w:szCs w:val="21"/>
        </w:rPr>
      </w:pPr>
      <w:r>
        <w:rPr>
          <w:rFonts w:hint="eastAsia" w:ascii="宋体" w:hAnsi="宋体" w:cs="仿宋"/>
          <w:color w:val="000000"/>
          <w:sz w:val="24"/>
        </w:rPr>
        <w:t xml:space="preserve"> 账号： </w:t>
      </w:r>
    </w:p>
    <w:p w14:paraId="3D90B6C3">
      <w:pPr>
        <w:spacing w:line="400" w:lineRule="exact"/>
        <w:ind w:left="5280" w:leftChars="800" w:right="-932" w:rightChars="-444" w:hanging="3600" w:hangingChars="1500"/>
        <w:jc w:val="left"/>
        <w:rPr>
          <w:rFonts w:ascii="宋体" w:hAnsi="宋体" w:cs="仿宋"/>
          <w:sz w:val="24"/>
        </w:rPr>
      </w:pPr>
      <w:r>
        <w:rPr>
          <w:rFonts w:hint="eastAsia" w:ascii="宋体" w:hAnsi="宋体" w:cs="仿宋"/>
          <w:color w:val="000000"/>
          <w:sz w:val="24"/>
        </w:rPr>
        <w:t xml:space="preserve">                     开户行： </w:t>
      </w:r>
    </w:p>
    <w:p w14:paraId="5BC84EE9">
      <w:pPr>
        <w:spacing w:line="400" w:lineRule="exact"/>
        <w:ind w:left="5520" w:hanging="5520" w:hangingChars="2300"/>
        <w:jc w:val="left"/>
        <w:rPr>
          <w:rFonts w:ascii="宋体" w:hAnsi="宋体" w:cs="仿宋"/>
          <w:color w:val="000000"/>
          <w:sz w:val="24"/>
        </w:rPr>
      </w:pPr>
      <w:r>
        <w:rPr>
          <w:rFonts w:hint="eastAsia" w:ascii="宋体" w:hAnsi="宋体" w:cs="仿宋"/>
          <w:color w:val="000000"/>
          <w:sz w:val="24"/>
        </w:rPr>
        <w:t xml:space="preserve">授权代表：                         授权代表：                           </w:t>
      </w:r>
    </w:p>
    <w:p w14:paraId="5613B0CA">
      <w:pPr>
        <w:spacing w:line="400" w:lineRule="exact"/>
        <w:jc w:val="left"/>
        <w:rPr>
          <w:rFonts w:ascii="宋体" w:hAnsi="宋体" w:cs="仿宋"/>
          <w:color w:val="000000"/>
          <w:sz w:val="24"/>
        </w:rPr>
      </w:pPr>
      <w:r>
        <w:rPr>
          <w:rFonts w:hint="eastAsia" w:ascii="宋体" w:hAnsi="宋体" w:cs="仿宋"/>
          <w:color w:val="000000"/>
          <w:sz w:val="24"/>
        </w:rPr>
        <w:t xml:space="preserve">签订时间：      年   月   日       签订时间：      年   月   日  </w:t>
      </w:r>
    </w:p>
    <w:p w14:paraId="78B02FD2">
      <w:pPr>
        <w:widowControl/>
        <w:jc w:val="left"/>
        <w:rPr>
          <w:rFonts w:ascii="宋体" w:hAnsi="宋体" w:cs="仿宋"/>
          <w:color w:val="000000"/>
          <w:sz w:val="24"/>
        </w:rPr>
      </w:pPr>
      <w:r>
        <w:rPr>
          <w:rFonts w:ascii="宋体" w:hAnsi="宋体" w:cs="仿宋"/>
          <w:color w:val="000000"/>
          <w:sz w:val="24"/>
        </w:rPr>
        <w:br w:type="page"/>
      </w:r>
    </w:p>
    <w:p w14:paraId="17A32256">
      <w:pPr>
        <w:spacing w:line="360" w:lineRule="auto"/>
        <w:rPr>
          <w:rFonts w:ascii="宋体" w:hAnsi="宋体" w:cs="仿宋"/>
          <w:b/>
          <w:color w:val="000000"/>
          <w:sz w:val="24"/>
        </w:rPr>
      </w:pPr>
      <w:r>
        <w:rPr>
          <w:rFonts w:hint="eastAsia" w:ascii="宋体" w:hAnsi="宋体" w:cs="仿宋"/>
          <w:b/>
          <w:color w:val="000000"/>
          <w:sz w:val="24"/>
        </w:rPr>
        <w:t>附件：产品功能清单</w:t>
      </w:r>
    </w:p>
    <w:p w14:paraId="462ABC9F">
      <w:pPr>
        <w:pStyle w:val="19"/>
        <w:rPr>
          <w:rFonts w:ascii="宋体" w:hAnsi="宋体"/>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宋体, SimSun">
    <w:altName w:val="Times New Roman"/>
    <w:panose1 w:val="00000000000000000000"/>
    <w:charset w:val="00"/>
    <w:family w:val="auto"/>
    <w:pitch w:val="default"/>
    <w:sig w:usb0="00000000" w:usb1="00000000" w:usb2="00000000" w:usb3="00000000" w:csb0="0004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97CE1">
    <w:pPr>
      <w:pStyle w:val="19"/>
      <w:jc w:val="center"/>
    </w:pPr>
    <w:r>
      <w:fldChar w:fldCharType="begin"/>
    </w:r>
    <w:r>
      <w:instrText xml:space="preserve">PAGE   \* MERGEFORMAT</w:instrText>
    </w:r>
    <w:r>
      <w:fldChar w:fldCharType="separate"/>
    </w:r>
    <w:r>
      <w:rPr>
        <w:lang w:val="zh-CN"/>
      </w:rPr>
      <w:t>2</w:t>
    </w:r>
    <w:r>
      <w:fldChar w:fldCharType="end"/>
    </w:r>
  </w:p>
  <w:p w14:paraId="5C23A7CF">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E354D"/>
    <w:multiLevelType w:val="multilevel"/>
    <w:tmpl w:val="01EE354D"/>
    <w:lvl w:ilvl="0" w:tentative="0">
      <w:start w:val="1"/>
      <w:numFmt w:val="decimal"/>
      <w:pStyle w:val="71"/>
      <w:lvlText w:val="%1)"/>
      <w:lvlJc w:val="left"/>
      <w:pPr>
        <w:ind w:left="845" w:hanging="420"/>
      </w:pPr>
      <w:rPr>
        <w:rFonts w:hint="eastAsia"/>
      </w:rPr>
    </w:lvl>
    <w:lvl w:ilvl="1" w:tentative="0">
      <w:start w:val="1"/>
      <w:numFmt w:val="lowerLetter"/>
      <w:lvlText w:val="%2."/>
      <w:lvlJc w:val="left"/>
      <w:pPr>
        <w:ind w:left="1265" w:hanging="420"/>
      </w:pPr>
      <w:rPr>
        <w:rFonts w:hint="eastAsia"/>
      </w:rPr>
    </w:lvl>
    <w:lvl w:ilvl="2" w:tentative="0">
      <w:start w:val="1"/>
      <w:numFmt w:val="lowerRoman"/>
      <w:lvlText w:val="%3."/>
      <w:lvlJc w:val="right"/>
      <w:pPr>
        <w:ind w:left="1685" w:hanging="420"/>
      </w:pPr>
      <w:rPr>
        <w:rFonts w:hint="eastAsia"/>
      </w:rPr>
    </w:lvl>
    <w:lvl w:ilvl="3" w:tentative="0">
      <w:start w:val="1"/>
      <w:numFmt w:val="decimal"/>
      <w:lvlText w:val="%4."/>
      <w:lvlJc w:val="left"/>
      <w:pPr>
        <w:ind w:left="2105" w:hanging="420"/>
      </w:pPr>
      <w:rPr>
        <w:rFonts w:hint="eastAsia"/>
      </w:rPr>
    </w:lvl>
    <w:lvl w:ilvl="4" w:tentative="0">
      <w:start w:val="1"/>
      <w:numFmt w:val="lowerLetter"/>
      <w:pStyle w:val="75"/>
      <w:lvlText w:val="%5)"/>
      <w:lvlJc w:val="left"/>
      <w:pPr>
        <w:ind w:left="2525" w:hanging="420"/>
      </w:pPr>
      <w:rPr>
        <w:rFonts w:hint="eastAsia"/>
      </w:rPr>
    </w:lvl>
    <w:lvl w:ilvl="5" w:tentative="0">
      <w:start w:val="1"/>
      <w:numFmt w:val="lowerRoman"/>
      <w:lvlText w:val="%6."/>
      <w:lvlJc w:val="right"/>
      <w:pPr>
        <w:ind w:left="2945" w:hanging="420"/>
      </w:pPr>
      <w:rPr>
        <w:rFonts w:hint="eastAsia"/>
      </w:rPr>
    </w:lvl>
    <w:lvl w:ilvl="6" w:tentative="0">
      <w:start w:val="1"/>
      <w:numFmt w:val="decimal"/>
      <w:lvlText w:val="%7."/>
      <w:lvlJc w:val="left"/>
      <w:pPr>
        <w:ind w:left="3365" w:hanging="420"/>
      </w:pPr>
      <w:rPr>
        <w:rFonts w:hint="eastAsia"/>
      </w:rPr>
    </w:lvl>
    <w:lvl w:ilvl="7" w:tentative="0">
      <w:start w:val="1"/>
      <w:numFmt w:val="lowerLetter"/>
      <w:lvlText w:val="%8)"/>
      <w:lvlJc w:val="left"/>
      <w:pPr>
        <w:ind w:left="3785" w:hanging="420"/>
      </w:pPr>
      <w:rPr>
        <w:rFonts w:hint="eastAsia"/>
      </w:rPr>
    </w:lvl>
    <w:lvl w:ilvl="8" w:tentative="0">
      <w:start w:val="1"/>
      <w:numFmt w:val="lowerRoman"/>
      <w:lvlText w:val="%9."/>
      <w:lvlJc w:val="right"/>
      <w:pPr>
        <w:ind w:left="4205" w:hanging="420"/>
      </w:pPr>
      <w:rPr>
        <w:rFonts w:hint="eastAsia"/>
      </w:rPr>
    </w:lvl>
  </w:abstractNum>
  <w:abstractNum w:abstractNumId="1">
    <w:nsid w:val="1AA268E5"/>
    <w:multiLevelType w:val="multilevel"/>
    <w:tmpl w:val="1AA268E5"/>
    <w:lvl w:ilvl="0" w:tentative="0">
      <w:start w:val="1"/>
      <w:numFmt w:val="decimal"/>
      <w:pStyle w:val="5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F7DE5F5"/>
    <w:multiLevelType w:val="singleLevel"/>
    <w:tmpl w:val="1F7DE5F5"/>
    <w:lvl w:ilvl="0" w:tentative="0">
      <w:start w:val="1"/>
      <w:numFmt w:val="decimal"/>
      <w:suff w:val="nothing"/>
      <w:lvlText w:val="%1、"/>
      <w:lvlJc w:val="left"/>
      <w:rPr>
        <w:rFonts w:hint="default" w:ascii="宋体" w:hAnsi="宋体" w:eastAsia="宋体" w:cs="宋体"/>
        <w:sz w:val="24"/>
        <w:szCs w:val="24"/>
      </w:rPr>
    </w:lvl>
  </w:abstractNum>
  <w:abstractNum w:abstractNumId="3">
    <w:nsid w:val="20A502F6"/>
    <w:multiLevelType w:val="multilevel"/>
    <w:tmpl w:val="20A502F6"/>
    <w:lvl w:ilvl="0" w:tentative="0">
      <w:start w:val="1"/>
      <w:numFmt w:val="decimal"/>
      <w:lvlText w:val="%1"/>
      <w:lvlJc w:val="left"/>
      <w:pPr>
        <w:ind w:left="432" w:hanging="432"/>
      </w:pPr>
    </w:lvl>
    <w:lvl w:ilvl="1" w:tentative="0">
      <w:start w:val="1"/>
      <w:numFmt w:val="decimal"/>
      <w:pStyle w:val="2"/>
      <w:lvlText w:val="%1.%2"/>
      <w:lvlJc w:val="left"/>
      <w:pPr>
        <w:ind w:left="576"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4">
    <w:nsid w:val="46273165"/>
    <w:multiLevelType w:val="singleLevel"/>
    <w:tmpl w:val="46273165"/>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gwNjczN2Q1OTVkMWNkMTQxODAzYzYyZWYzMjAxZjgifQ=="/>
  </w:docVars>
  <w:rsids>
    <w:rsidRoot w:val="00172A27"/>
    <w:rsid w:val="00014E09"/>
    <w:rsid w:val="00037F1F"/>
    <w:rsid w:val="00044FCF"/>
    <w:rsid w:val="000802A0"/>
    <w:rsid w:val="000C2E7F"/>
    <w:rsid w:val="00172A27"/>
    <w:rsid w:val="001C194F"/>
    <w:rsid w:val="001C7E34"/>
    <w:rsid w:val="002464B6"/>
    <w:rsid w:val="00267596"/>
    <w:rsid w:val="002D4798"/>
    <w:rsid w:val="002E2886"/>
    <w:rsid w:val="00395B34"/>
    <w:rsid w:val="00405151"/>
    <w:rsid w:val="004A2DBE"/>
    <w:rsid w:val="004C3BDC"/>
    <w:rsid w:val="0051090C"/>
    <w:rsid w:val="005409AA"/>
    <w:rsid w:val="00553952"/>
    <w:rsid w:val="005650A9"/>
    <w:rsid w:val="00593433"/>
    <w:rsid w:val="005F3821"/>
    <w:rsid w:val="00604C78"/>
    <w:rsid w:val="00610CF2"/>
    <w:rsid w:val="00632C99"/>
    <w:rsid w:val="006653B7"/>
    <w:rsid w:val="006862C1"/>
    <w:rsid w:val="006B0002"/>
    <w:rsid w:val="006E27BB"/>
    <w:rsid w:val="007A0A8E"/>
    <w:rsid w:val="007B6D78"/>
    <w:rsid w:val="0080795A"/>
    <w:rsid w:val="008700D8"/>
    <w:rsid w:val="00933CEA"/>
    <w:rsid w:val="00990103"/>
    <w:rsid w:val="00991D92"/>
    <w:rsid w:val="009A0655"/>
    <w:rsid w:val="009A293C"/>
    <w:rsid w:val="009F1CE9"/>
    <w:rsid w:val="00A222A7"/>
    <w:rsid w:val="00A574E6"/>
    <w:rsid w:val="00A8291E"/>
    <w:rsid w:val="00AA432A"/>
    <w:rsid w:val="00AC5230"/>
    <w:rsid w:val="00AF0823"/>
    <w:rsid w:val="00B24F70"/>
    <w:rsid w:val="00B3074C"/>
    <w:rsid w:val="00B449B8"/>
    <w:rsid w:val="00B50C0A"/>
    <w:rsid w:val="00B50D5B"/>
    <w:rsid w:val="00BC367C"/>
    <w:rsid w:val="00BF05B4"/>
    <w:rsid w:val="00C0605C"/>
    <w:rsid w:val="00C27B02"/>
    <w:rsid w:val="00C331CD"/>
    <w:rsid w:val="00C6729A"/>
    <w:rsid w:val="00C75F5E"/>
    <w:rsid w:val="00CC635C"/>
    <w:rsid w:val="00D62B96"/>
    <w:rsid w:val="00DB6933"/>
    <w:rsid w:val="00DE42B1"/>
    <w:rsid w:val="00DE4761"/>
    <w:rsid w:val="00DE717C"/>
    <w:rsid w:val="00DF2BD6"/>
    <w:rsid w:val="00E03AC9"/>
    <w:rsid w:val="00E06EC0"/>
    <w:rsid w:val="00E06F7A"/>
    <w:rsid w:val="00E72EF8"/>
    <w:rsid w:val="00EC59C6"/>
    <w:rsid w:val="00EE424F"/>
    <w:rsid w:val="00F22B09"/>
    <w:rsid w:val="00F460EF"/>
    <w:rsid w:val="01C528DB"/>
    <w:rsid w:val="04F827B9"/>
    <w:rsid w:val="11B462BE"/>
    <w:rsid w:val="147B5CBE"/>
    <w:rsid w:val="17147CB9"/>
    <w:rsid w:val="2D9822DA"/>
    <w:rsid w:val="46923DAD"/>
    <w:rsid w:val="46A460B4"/>
    <w:rsid w:val="47547E9A"/>
    <w:rsid w:val="47555055"/>
    <w:rsid w:val="51D74544"/>
    <w:rsid w:val="53EA4832"/>
    <w:rsid w:val="54B34A89"/>
    <w:rsid w:val="57030850"/>
    <w:rsid w:val="5B30122D"/>
    <w:rsid w:val="5C4C02AF"/>
    <w:rsid w:val="64934C8F"/>
    <w:rsid w:val="686F29AD"/>
    <w:rsid w:val="76BB697E"/>
    <w:rsid w:val="79AF6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45"/>
    <w:qFormat/>
    <w:uiPriority w:val="0"/>
    <w:pPr>
      <w:keepNext/>
      <w:jc w:val="center"/>
      <w:outlineLvl w:val="0"/>
    </w:pPr>
    <w:rPr>
      <w:rFonts w:ascii="黑体" w:hAnsi="黑体"/>
      <w:b/>
      <w:kern w:val="0"/>
      <w:sz w:val="44"/>
    </w:rPr>
  </w:style>
  <w:style w:type="paragraph" w:styleId="2">
    <w:name w:val="heading 2"/>
    <w:basedOn w:val="1"/>
    <w:next w:val="1"/>
    <w:link w:val="46"/>
    <w:qFormat/>
    <w:uiPriority w:val="0"/>
    <w:pPr>
      <w:keepNext/>
      <w:keepLines/>
      <w:numPr>
        <w:ilvl w:val="1"/>
        <w:numId w:val="1"/>
      </w:numPr>
      <w:spacing w:line="360" w:lineRule="auto"/>
      <w:outlineLvl w:val="1"/>
    </w:pPr>
    <w:rPr>
      <w:rFonts w:ascii="Cambria" w:hAnsi="Cambria"/>
      <w:b/>
      <w:bCs/>
      <w:sz w:val="32"/>
      <w:szCs w:val="32"/>
    </w:rPr>
  </w:style>
  <w:style w:type="paragraph" w:styleId="4">
    <w:name w:val="heading 3"/>
    <w:basedOn w:val="1"/>
    <w:next w:val="1"/>
    <w:link w:val="38"/>
    <w:autoRedefine/>
    <w:unhideWhenUsed/>
    <w:qFormat/>
    <w:uiPriority w:val="0"/>
    <w:pPr>
      <w:keepNext/>
      <w:keepLines/>
      <w:snapToGrid w:val="0"/>
      <w:spacing w:before="260" w:after="260" w:line="415" w:lineRule="auto"/>
      <w:ind w:left="720" w:hanging="720"/>
      <w:jc w:val="left"/>
      <w:outlineLvl w:val="2"/>
    </w:pPr>
    <w:rPr>
      <w:rFonts w:asciiTheme="minorHAnsi" w:hAnsiTheme="minorHAnsi" w:eastAsiaTheme="minorEastAsia" w:cstheme="minorBidi"/>
      <w:b/>
      <w:bCs/>
      <w:sz w:val="32"/>
      <w:szCs w:val="32"/>
    </w:rPr>
  </w:style>
  <w:style w:type="paragraph" w:styleId="5">
    <w:name w:val="heading 4"/>
    <w:basedOn w:val="1"/>
    <w:next w:val="1"/>
    <w:link w:val="39"/>
    <w:autoRedefine/>
    <w:unhideWhenUsed/>
    <w:qFormat/>
    <w:uiPriority w:val="0"/>
    <w:pPr>
      <w:keepNext/>
      <w:keepLines/>
      <w:snapToGrid w:val="0"/>
      <w:spacing w:before="280" w:after="290" w:line="377" w:lineRule="auto"/>
      <w:ind w:left="862" w:hanging="862"/>
      <w:outlineLvl w:val="3"/>
    </w:pPr>
    <w:rPr>
      <w:rFonts w:asciiTheme="majorHAnsi" w:hAnsiTheme="majorHAnsi" w:eastAsiaTheme="majorEastAsia" w:cstheme="majorBidi"/>
      <w:b/>
      <w:bCs/>
      <w:sz w:val="28"/>
      <w:szCs w:val="28"/>
    </w:rPr>
  </w:style>
  <w:style w:type="paragraph" w:styleId="6">
    <w:name w:val="heading 5"/>
    <w:basedOn w:val="1"/>
    <w:next w:val="1"/>
    <w:link w:val="40"/>
    <w:unhideWhenUsed/>
    <w:qFormat/>
    <w:uiPriority w:val="0"/>
    <w:pPr>
      <w:keepNext/>
      <w:keepLines/>
      <w:snapToGrid w:val="0"/>
      <w:spacing w:before="280" w:after="290" w:line="376" w:lineRule="auto"/>
      <w:ind w:left="1008" w:hanging="1008"/>
      <w:outlineLvl w:val="4"/>
    </w:pPr>
    <w:rPr>
      <w:rFonts w:asciiTheme="minorHAnsi" w:hAnsiTheme="minorHAnsi" w:eastAsiaTheme="minorEastAsia" w:cstheme="minorBidi"/>
      <w:b/>
      <w:bCs/>
      <w:sz w:val="28"/>
      <w:szCs w:val="28"/>
    </w:rPr>
  </w:style>
  <w:style w:type="paragraph" w:styleId="7">
    <w:name w:val="heading 6"/>
    <w:basedOn w:val="1"/>
    <w:next w:val="1"/>
    <w:link w:val="41"/>
    <w:unhideWhenUsed/>
    <w:qFormat/>
    <w:uiPriority w:val="0"/>
    <w:pPr>
      <w:keepNext/>
      <w:keepLines/>
      <w:snapToGrid w:val="0"/>
      <w:spacing w:before="240" w:after="64" w:line="320" w:lineRule="auto"/>
      <w:ind w:left="1152" w:hanging="1152"/>
      <w:outlineLvl w:val="5"/>
    </w:pPr>
    <w:rPr>
      <w:rFonts w:asciiTheme="majorHAnsi" w:hAnsiTheme="majorHAnsi" w:eastAsiaTheme="majorEastAsia" w:cstheme="majorBidi"/>
      <w:b/>
      <w:bCs/>
      <w:sz w:val="24"/>
      <w:szCs w:val="24"/>
    </w:rPr>
  </w:style>
  <w:style w:type="paragraph" w:styleId="8">
    <w:name w:val="heading 7"/>
    <w:basedOn w:val="1"/>
    <w:next w:val="1"/>
    <w:link w:val="42"/>
    <w:unhideWhenUsed/>
    <w:qFormat/>
    <w:uiPriority w:val="0"/>
    <w:pPr>
      <w:keepNext/>
      <w:keepLines/>
      <w:snapToGrid w:val="0"/>
      <w:spacing w:before="240" w:after="64" w:line="320" w:lineRule="auto"/>
      <w:ind w:left="1296" w:hanging="1296"/>
      <w:outlineLvl w:val="6"/>
    </w:pPr>
    <w:rPr>
      <w:rFonts w:asciiTheme="minorHAnsi" w:hAnsiTheme="minorHAnsi" w:eastAsiaTheme="minorEastAsia" w:cstheme="minorBidi"/>
      <w:b/>
      <w:bCs/>
      <w:sz w:val="24"/>
      <w:szCs w:val="24"/>
    </w:rPr>
  </w:style>
  <w:style w:type="paragraph" w:styleId="9">
    <w:name w:val="heading 8"/>
    <w:basedOn w:val="1"/>
    <w:next w:val="1"/>
    <w:link w:val="43"/>
    <w:unhideWhenUsed/>
    <w:qFormat/>
    <w:uiPriority w:val="0"/>
    <w:pPr>
      <w:keepNext/>
      <w:keepLines/>
      <w:snapToGrid w:val="0"/>
      <w:spacing w:before="240" w:after="64" w:line="320" w:lineRule="auto"/>
      <w:ind w:left="1440" w:hanging="1440"/>
      <w:outlineLvl w:val="7"/>
    </w:pPr>
    <w:rPr>
      <w:rFonts w:asciiTheme="majorHAnsi" w:hAnsiTheme="majorHAnsi" w:eastAsiaTheme="majorEastAsia" w:cstheme="majorBidi"/>
      <w:sz w:val="24"/>
      <w:szCs w:val="24"/>
    </w:rPr>
  </w:style>
  <w:style w:type="paragraph" w:styleId="10">
    <w:name w:val="heading 9"/>
    <w:basedOn w:val="1"/>
    <w:next w:val="1"/>
    <w:link w:val="44"/>
    <w:unhideWhenUsed/>
    <w:qFormat/>
    <w:uiPriority w:val="0"/>
    <w:pPr>
      <w:keepNext/>
      <w:keepLines/>
      <w:snapToGrid w:val="0"/>
      <w:spacing w:before="240" w:after="64" w:line="320" w:lineRule="auto"/>
      <w:ind w:left="1584" w:hanging="1584"/>
      <w:outlineLvl w:val="8"/>
    </w:pPr>
    <w:rPr>
      <w:rFonts w:asciiTheme="majorHAnsi" w:hAnsiTheme="majorHAnsi" w:eastAsiaTheme="majorEastAsia" w:cstheme="majorBidi"/>
      <w:sz w:val="24"/>
      <w:szCs w:val="21"/>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next w:val="12"/>
    <w:link w:val="56"/>
    <w:qFormat/>
    <w:uiPriority w:val="0"/>
    <w:pPr>
      <w:widowControl/>
      <w:snapToGrid w:val="0"/>
      <w:spacing w:line="360" w:lineRule="auto"/>
      <w:ind w:firstLine="420"/>
      <w:jc w:val="left"/>
    </w:pPr>
    <w:rPr>
      <w:rFonts w:ascii="Calibri" w:hAnsi="Calibri"/>
      <w:kern w:val="0"/>
      <w:sz w:val="24"/>
    </w:rPr>
  </w:style>
  <w:style w:type="paragraph" w:styleId="12">
    <w:name w:val="Body Text"/>
    <w:basedOn w:val="1"/>
    <w:next w:val="1"/>
    <w:link w:val="48"/>
    <w:unhideWhenUsed/>
    <w:qFormat/>
    <w:uiPriority w:val="0"/>
    <w:pPr>
      <w:spacing w:after="120"/>
    </w:pPr>
  </w:style>
  <w:style w:type="paragraph" w:styleId="13">
    <w:name w:val="caption"/>
    <w:basedOn w:val="1"/>
    <w:next w:val="1"/>
    <w:qFormat/>
    <w:uiPriority w:val="35"/>
    <w:pPr>
      <w:widowControl/>
      <w:snapToGrid w:val="0"/>
      <w:spacing w:line="360" w:lineRule="auto"/>
      <w:ind w:firstLine="200" w:firstLineChars="200"/>
      <w:jc w:val="left"/>
    </w:pPr>
    <w:rPr>
      <w:rFonts w:ascii="Arial" w:hAnsi="Arial" w:eastAsia="黑体" w:cs="Arial"/>
      <w:kern w:val="0"/>
      <w:sz w:val="20"/>
    </w:rPr>
  </w:style>
  <w:style w:type="paragraph" w:styleId="14">
    <w:name w:val="annotation text"/>
    <w:basedOn w:val="1"/>
    <w:unhideWhenUsed/>
    <w:qFormat/>
    <w:uiPriority w:val="99"/>
    <w:pPr>
      <w:jc w:val="left"/>
    </w:pPr>
  </w:style>
  <w:style w:type="paragraph" w:styleId="15">
    <w:name w:val="Body Text Indent"/>
    <w:basedOn w:val="1"/>
    <w:next w:val="16"/>
    <w:link w:val="61"/>
    <w:unhideWhenUsed/>
    <w:qFormat/>
    <w:uiPriority w:val="99"/>
    <w:pPr>
      <w:ind w:firstLine="630"/>
    </w:pPr>
    <w:rPr>
      <w:sz w:val="32"/>
    </w:rPr>
  </w:style>
  <w:style w:type="paragraph" w:customStyle="1" w:styleId="1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7">
    <w:name w:val="Date"/>
    <w:basedOn w:val="1"/>
    <w:next w:val="1"/>
    <w:link w:val="57"/>
    <w:unhideWhenUsed/>
    <w:qFormat/>
    <w:uiPriority w:val="0"/>
    <w:pPr>
      <w:widowControl/>
      <w:snapToGrid w:val="0"/>
      <w:spacing w:line="360" w:lineRule="auto"/>
      <w:ind w:left="100" w:leftChars="2500"/>
      <w:jc w:val="left"/>
    </w:pPr>
    <w:rPr>
      <w:rFonts w:ascii="Calibri" w:hAnsi="Calibri"/>
      <w:kern w:val="0"/>
      <w:sz w:val="24"/>
      <w:szCs w:val="22"/>
    </w:rPr>
  </w:style>
  <w:style w:type="paragraph" w:styleId="18">
    <w:name w:val="Balloon Text"/>
    <w:basedOn w:val="1"/>
    <w:link w:val="32"/>
    <w:unhideWhenUsed/>
    <w:qFormat/>
    <w:uiPriority w:val="99"/>
    <w:rPr>
      <w:sz w:val="18"/>
      <w:szCs w:val="18"/>
    </w:rPr>
  </w:style>
  <w:style w:type="paragraph" w:styleId="19">
    <w:name w:val="footer"/>
    <w:basedOn w:val="1"/>
    <w:next w:val="1"/>
    <w:link w:val="33"/>
    <w:qFormat/>
    <w:uiPriority w:val="99"/>
    <w:pPr>
      <w:tabs>
        <w:tab w:val="center" w:pos="4153"/>
        <w:tab w:val="right" w:pos="8306"/>
      </w:tabs>
      <w:snapToGrid w:val="0"/>
      <w:jc w:val="left"/>
    </w:pPr>
    <w:rPr>
      <w:sz w:val="18"/>
      <w:szCs w:val="18"/>
    </w:rPr>
  </w:style>
  <w:style w:type="paragraph" w:styleId="20">
    <w:name w:val="header"/>
    <w:basedOn w:val="1"/>
    <w:link w:val="5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1">
    <w:name w:val="toc 1"/>
    <w:basedOn w:val="1"/>
    <w:next w:val="1"/>
    <w:qFormat/>
    <w:uiPriority w:val="39"/>
    <w:pPr>
      <w:widowControl/>
      <w:snapToGrid w:val="0"/>
      <w:spacing w:line="360" w:lineRule="auto"/>
      <w:jc w:val="left"/>
    </w:pPr>
    <w:rPr>
      <w:rFonts w:ascii="Calibri" w:hAnsi="Calibri"/>
      <w:kern w:val="0"/>
      <w:sz w:val="24"/>
      <w:szCs w:val="22"/>
    </w:rPr>
  </w:style>
  <w:style w:type="paragraph" w:styleId="22">
    <w:name w:val="toc 4"/>
    <w:basedOn w:val="1"/>
    <w:next w:val="1"/>
    <w:unhideWhenUsed/>
    <w:qFormat/>
    <w:uiPriority w:val="39"/>
    <w:pPr>
      <w:snapToGrid w:val="0"/>
      <w:spacing w:line="360" w:lineRule="auto"/>
      <w:ind w:left="1260" w:leftChars="600"/>
    </w:pPr>
    <w:rPr>
      <w:rFonts w:asciiTheme="minorHAnsi" w:hAnsiTheme="minorHAnsi" w:cstheme="minorBidi"/>
      <w:sz w:val="24"/>
      <w:szCs w:val="22"/>
    </w:rPr>
  </w:style>
  <w:style w:type="paragraph" w:styleId="23">
    <w:name w:val="Body Text Indent 3"/>
    <w:basedOn w:val="1"/>
    <w:link w:val="62"/>
    <w:unhideWhenUsed/>
    <w:qFormat/>
    <w:uiPriority w:val="99"/>
    <w:pPr>
      <w:spacing w:line="380" w:lineRule="exact"/>
      <w:ind w:firstLine="480"/>
    </w:pPr>
    <w:rPr>
      <w:rFonts w:ascii="宋体" w:hAnsi="宋体" w:cs="宋体"/>
      <w:kern w:val="0"/>
      <w:sz w:val="20"/>
    </w:rPr>
  </w:style>
  <w:style w:type="paragraph" w:styleId="24">
    <w:name w:val="HTML Preformatted"/>
    <w:basedOn w:val="1"/>
    <w:link w:val="51"/>
    <w:unhideWhenUsed/>
    <w:qFormat/>
    <w:uiPriority w:val="99"/>
    <w:pPr>
      <w:snapToGrid w:val="0"/>
      <w:spacing w:line="360" w:lineRule="auto"/>
    </w:pPr>
    <w:rPr>
      <w:rFonts w:ascii="黑体" w:hAnsi="Courier New" w:eastAsia="黑体" w:cs="宋体"/>
      <w:sz w:val="20"/>
    </w:rPr>
  </w:style>
  <w:style w:type="paragraph" w:styleId="2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6">
    <w:name w:val="Body Text First Indent"/>
    <w:basedOn w:val="12"/>
    <w:next w:val="1"/>
    <w:link w:val="81"/>
    <w:unhideWhenUsed/>
    <w:qFormat/>
    <w:uiPriority w:val="99"/>
    <w:pPr>
      <w:ind w:firstLine="420" w:firstLineChars="100"/>
    </w:pPr>
    <w:rPr>
      <w:szCs w:val="24"/>
    </w:rPr>
  </w:style>
  <w:style w:type="paragraph" w:styleId="27">
    <w:name w:val="Body Text First Indent 2"/>
    <w:basedOn w:val="15"/>
    <w:next w:val="26"/>
    <w:unhideWhenUsed/>
    <w:qFormat/>
    <w:uiPriority w:val="99"/>
    <w:pPr>
      <w:ind w:firstLine="420" w:firstLineChars="200"/>
    </w:pPr>
  </w:style>
  <w:style w:type="table" w:styleId="29">
    <w:name w:val="Table Grid"/>
    <w:basedOn w:val="28"/>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page number"/>
    <w:basedOn w:val="30"/>
    <w:qFormat/>
    <w:uiPriority w:val="0"/>
  </w:style>
  <w:style w:type="character" w:customStyle="1" w:styleId="32">
    <w:name w:val="批注框文本 Char"/>
    <w:link w:val="18"/>
    <w:semiHidden/>
    <w:qFormat/>
    <w:uiPriority w:val="99"/>
    <w:rPr>
      <w:kern w:val="2"/>
      <w:sz w:val="18"/>
      <w:szCs w:val="18"/>
    </w:rPr>
  </w:style>
  <w:style w:type="character" w:customStyle="1" w:styleId="33">
    <w:name w:val="页脚 Char"/>
    <w:link w:val="19"/>
    <w:qFormat/>
    <w:uiPriority w:val="99"/>
    <w:rPr>
      <w:kern w:val="2"/>
      <w:sz w:val="18"/>
      <w:szCs w:val="18"/>
    </w:rPr>
  </w:style>
  <w:style w:type="paragraph" w:styleId="34">
    <w:name w:val="List Paragraph"/>
    <w:basedOn w:val="1"/>
    <w:link w:val="55"/>
    <w:qFormat/>
    <w:uiPriority w:val="34"/>
    <w:pPr>
      <w:ind w:firstLine="420" w:firstLineChars="200"/>
    </w:pPr>
    <w:rPr>
      <w:rFonts w:ascii="Calibri" w:hAnsi="Calibri"/>
      <w:szCs w:val="22"/>
    </w:rPr>
  </w:style>
  <w:style w:type="paragraph" w:customStyle="1" w:styleId="35">
    <w:name w:val="Standard"/>
    <w:qFormat/>
    <w:uiPriority w:val="0"/>
    <w:pPr>
      <w:widowControl w:val="0"/>
      <w:suppressAutoHyphens/>
      <w:autoSpaceDN w:val="0"/>
      <w:jc w:val="both"/>
      <w:textAlignment w:val="baseline"/>
    </w:pPr>
    <w:rPr>
      <w:rFonts w:ascii="Times New Roman" w:hAnsi="Times New Roman" w:eastAsia="宋体, SimSun" w:cs="Times New Roman"/>
      <w:kern w:val="3"/>
      <w:sz w:val="21"/>
      <w:szCs w:val="24"/>
      <w:lang w:val="en-US" w:eastAsia="zh-CN" w:bidi="ar-SA"/>
    </w:rPr>
  </w:style>
  <w:style w:type="paragraph" w:customStyle="1" w:styleId="36">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37">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8">
    <w:name w:val="标题 3 Char"/>
    <w:basedOn w:val="30"/>
    <w:link w:val="4"/>
    <w:qFormat/>
    <w:uiPriority w:val="0"/>
    <w:rPr>
      <w:rFonts w:asciiTheme="minorHAnsi" w:hAnsiTheme="minorHAnsi" w:eastAsiaTheme="minorEastAsia" w:cstheme="minorBidi"/>
      <w:b/>
      <w:bCs/>
      <w:kern w:val="2"/>
      <w:sz w:val="32"/>
      <w:szCs w:val="32"/>
    </w:rPr>
  </w:style>
  <w:style w:type="character" w:customStyle="1" w:styleId="39">
    <w:name w:val="标题 4 Char"/>
    <w:basedOn w:val="30"/>
    <w:link w:val="5"/>
    <w:qFormat/>
    <w:uiPriority w:val="0"/>
    <w:rPr>
      <w:rFonts w:asciiTheme="majorHAnsi" w:hAnsiTheme="majorHAnsi" w:eastAsiaTheme="majorEastAsia" w:cstheme="majorBidi"/>
      <w:b/>
      <w:bCs/>
      <w:kern w:val="2"/>
      <w:sz w:val="28"/>
      <w:szCs w:val="28"/>
    </w:rPr>
  </w:style>
  <w:style w:type="character" w:customStyle="1" w:styleId="40">
    <w:name w:val="标题 5 Char"/>
    <w:basedOn w:val="30"/>
    <w:link w:val="6"/>
    <w:qFormat/>
    <w:uiPriority w:val="0"/>
    <w:rPr>
      <w:rFonts w:asciiTheme="minorHAnsi" w:hAnsiTheme="minorHAnsi" w:eastAsiaTheme="minorEastAsia" w:cstheme="minorBidi"/>
      <w:b/>
      <w:bCs/>
      <w:kern w:val="2"/>
      <w:sz w:val="28"/>
      <w:szCs w:val="28"/>
    </w:rPr>
  </w:style>
  <w:style w:type="character" w:customStyle="1" w:styleId="41">
    <w:name w:val="标题 6 Char"/>
    <w:basedOn w:val="30"/>
    <w:link w:val="7"/>
    <w:qFormat/>
    <w:uiPriority w:val="0"/>
    <w:rPr>
      <w:rFonts w:asciiTheme="majorHAnsi" w:hAnsiTheme="majorHAnsi" w:eastAsiaTheme="majorEastAsia" w:cstheme="majorBidi"/>
      <w:b/>
      <w:bCs/>
      <w:kern w:val="2"/>
      <w:sz w:val="24"/>
      <w:szCs w:val="24"/>
    </w:rPr>
  </w:style>
  <w:style w:type="character" w:customStyle="1" w:styleId="42">
    <w:name w:val="标题 7 Char"/>
    <w:basedOn w:val="30"/>
    <w:link w:val="8"/>
    <w:qFormat/>
    <w:uiPriority w:val="0"/>
    <w:rPr>
      <w:rFonts w:asciiTheme="minorHAnsi" w:hAnsiTheme="minorHAnsi" w:eastAsiaTheme="minorEastAsia" w:cstheme="minorBidi"/>
      <w:b/>
      <w:bCs/>
      <w:kern w:val="2"/>
      <w:sz w:val="24"/>
      <w:szCs w:val="24"/>
    </w:rPr>
  </w:style>
  <w:style w:type="character" w:customStyle="1" w:styleId="43">
    <w:name w:val="标题 8 Char"/>
    <w:basedOn w:val="30"/>
    <w:link w:val="9"/>
    <w:qFormat/>
    <w:uiPriority w:val="0"/>
    <w:rPr>
      <w:rFonts w:asciiTheme="majorHAnsi" w:hAnsiTheme="majorHAnsi" w:eastAsiaTheme="majorEastAsia" w:cstheme="majorBidi"/>
      <w:kern w:val="2"/>
      <w:sz w:val="24"/>
      <w:szCs w:val="24"/>
    </w:rPr>
  </w:style>
  <w:style w:type="character" w:customStyle="1" w:styleId="44">
    <w:name w:val="标题 9 Char"/>
    <w:basedOn w:val="30"/>
    <w:link w:val="10"/>
    <w:qFormat/>
    <w:uiPriority w:val="0"/>
    <w:rPr>
      <w:rFonts w:asciiTheme="majorHAnsi" w:hAnsiTheme="majorHAnsi" w:eastAsiaTheme="majorEastAsia" w:cstheme="majorBidi"/>
      <w:kern w:val="2"/>
      <w:sz w:val="24"/>
      <w:szCs w:val="21"/>
    </w:rPr>
  </w:style>
  <w:style w:type="character" w:customStyle="1" w:styleId="45">
    <w:name w:val="标题 1 Char"/>
    <w:basedOn w:val="30"/>
    <w:link w:val="3"/>
    <w:qFormat/>
    <w:uiPriority w:val="0"/>
    <w:rPr>
      <w:rFonts w:ascii="黑体" w:hAnsi="黑体"/>
      <w:b/>
      <w:sz w:val="44"/>
    </w:rPr>
  </w:style>
  <w:style w:type="character" w:customStyle="1" w:styleId="46">
    <w:name w:val="标题 2 Char"/>
    <w:basedOn w:val="30"/>
    <w:link w:val="2"/>
    <w:qFormat/>
    <w:uiPriority w:val="0"/>
    <w:rPr>
      <w:rFonts w:ascii="Cambria" w:hAnsi="Cambria"/>
      <w:b/>
      <w:bCs/>
      <w:kern w:val="2"/>
      <w:sz w:val="32"/>
      <w:szCs w:val="32"/>
    </w:rPr>
  </w:style>
  <w:style w:type="paragraph" w:customStyle="1" w:styleId="4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8">
    <w:name w:val="正文文本 Char"/>
    <w:basedOn w:val="30"/>
    <w:link w:val="12"/>
    <w:qFormat/>
    <w:uiPriority w:val="0"/>
    <w:rPr>
      <w:kern w:val="2"/>
      <w:sz w:val="21"/>
    </w:rPr>
  </w:style>
  <w:style w:type="paragraph" w:customStyle="1" w:styleId="49">
    <w:name w:val="Normal_34_0"/>
    <w:qFormat/>
    <w:uiPriority w:val="99"/>
    <w:pPr>
      <w:spacing w:before="120" w:after="240"/>
      <w:jc w:val="both"/>
    </w:pPr>
    <w:rPr>
      <w:rFonts w:ascii="Calibri" w:hAnsi="Calibri" w:eastAsia="宋体" w:cs="Times New Roman"/>
      <w:sz w:val="22"/>
      <w:szCs w:val="22"/>
      <w:lang w:val="en-US" w:eastAsia="en-US" w:bidi="ar-SA"/>
    </w:rPr>
  </w:style>
  <w:style w:type="character" w:customStyle="1" w:styleId="50">
    <w:name w:val="页眉 Char"/>
    <w:basedOn w:val="30"/>
    <w:link w:val="20"/>
    <w:uiPriority w:val="99"/>
    <w:rPr>
      <w:kern w:val="2"/>
      <w:sz w:val="18"/>
    </w:rPr>
  </w:style>
  <w:style w:type="character" w:customStyle="1" w:styleId="51">
    <w:name w:val="HTML 预设格式 Char"/>
    <w:basedOn w:val="30"/>
    <w:link w:val="24"/>
    <w:qFormat/>
    <w:uiPriority w:val="99"/>
    <w:rPr>
      <w:rFonts w:ascii="黑体" w:hAnsi="Courier New" w:eastAsia="黑体" w:cs="宋体"/>
      <w:kern w:val="2"/>
    </w:rPr>
  </w:style>
  <w:style w:type="paragraph" w:customStyle="1" w:styleId="52">
    <w:name w:val="Normal_31_0"/>
    <w:qFormat/>
    <w:uiPriority w:val="99"/>
    <w:pPr>
      <w:spacing w:before="120" w:after="240"/>
      <w:jc w:val="both"/>
    </w:pPr>
    <w:rPr>
      <w:rFonts w:ascii="Times New Roman" w:hAnsi="Times New Roman" w:eastAsia="宋体" w:cs="Times New Roman"/>
      <w:sz w:val="22"/>
      <w:szCs w:val="22"/>
      <w:lang w:val="en-US" w:eastAsia="en-US" w:bidi="ar-SA"/>
    </w:rPr>
  </w:style>
  <w:style w:type="paragraph" w:customStyle="1" w:styleId="53">
    <w:name w:val="！正文（四号字）"/>
    <w:qFormat/>
    <w:uiPriority w:val="0"/>
    <w:pPr>
      <w:widowControl w:val="0"/>
      <w:snapToGrid w:val="0"/>
      <w:spacing w:line="360" w:lineRule="auto"/>
      <w:ind w:firstLine="200" w:firstLineChars="200"/>
      <w:jc w:val="both"/>
    </w:pPr>
    <w:rPr>
      <w:rFonts w:ascii="宋体" w:hAnsi="宋体" w:eastAsia="宋体" w:cs="Times New Roman"/>
      <w:sz w:val="24"/>
      <w:szCs w:val="28"/>
      <w:lang w:val="en-US" w:eastAsia="zh-CN" w:bidi="ar-SA"/>
    </w:rPr>
  </w:style>
  <w:style w:type="paragraph" w:customStyle="1" w:styleId="54">
    <w:name w:val="表格文字中"/>
    <w:basedOn w:val="1"/>
    <w:qFormat/>
    <w:uiPriority w:val="0"/>
    <w:pPr>
      <w:adjustRightInd w:val="0"/>
      <w:snapToGrid w:val="0"/>
      <w:spacing w:line="360" w:lineRule="auto"/>
      <w:ind w:left="22" w:leftChars="8"/>
      <w:jc w:val="center"/>
    </w:pPr>
    <w:rPr>
      <w:rFonts w:ascii="宋体"/>
      <w:kern w:val="0"/>
      <w:sz w:val="24"/>
      <w:szCs w:val="24"/>
    </w:rPr>
  </w:style>
  <w:style w:type="character" w:customStyle="1" w:styleId="55">
    <w:name w:val="列出段落 Char"/>
    <w:link w:val="34"/>
    <w:qFormat/>
    <w:uiPriority w:val="34"/>
    <w:rPr>
      <w:rFonts w:ascii="Calibri" w:hAnsi="Calibri"/>
      <w:kern w:val="2"/>
      <w:sz w:val="21"/>
      <w:szCs w:val="22"/>
    </w:rPr>
  </w:style>
  <w:style w:type="character" w:customStyle="1" w:styleId="56">
    <w:name w:val="正文缩进 Char1"/>
    <w:link w:val="11"/>
    <w:qFormat/>
    <w:uiPriority w:val="0"/>
    <w:rPr>
      <w:rFonts w:ascii="Calibri" w:hAnsi="Calibri"/>
      <w:sz w:val="24"/>
    </w:rPr>
  </w:style>
  <w:style w:type="character" w:customStyle="1" w:styleId="57">
    <w:name w:val="日期 Char"/>
    <w:basedOn w:val="30"/>
    <w:link w:val="17"/>
    <w:qFormat/>
    <w:uiPriority w:val="0"/>
    <w:rPr>
      <w:rFonts w:ascii="Calibri" w:hAnsi="Calibri"/>
      <w:sz w:val="24"/>
      <w:szCs w:val="22"/>
    </w:rPr>
  </w:style>
  <w:style w:type="paragraph" w:customStyle="1" w:styleId="58">
    <w:name w:val="我的一级标题"/>
    <w:basedOn w:val="3"/>
    <w:qFormat/>
    <w:uiPriority w:val="0"/>
    <w:pPr>
      <w:numPr>
        <w:ilvl w:val="0"/>
        <w:numId w:val="2"/>
      </w:numPr>
      <w:snapToGrid w:val="0"/>
      <w:spacing w:line="360" w:lineRule="auto"/>
      <w:jc w:val="left"/>
    </w:pPr>
    <w:rPr>
      <w:rFonts w:ascii="宋体" w:hAnsi="宋体" w:cs="宋体"/>
      <w:bCs/>
      <w:kern w:val="2"/>
      <w:sz w:val="21"/>
      <w:szCs w:val="21"/>
    </w:rPr>
  </w:style>
  <w:style w:type="table" w:customStyle="1" w:styleId="59">
    <w:name w:val="Table Normal"/>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60">
    <w:name w:val="Table Text"/>
    <w:basedOn w:val="1"/>
    <w:semiHidden/>
    <w:qFormat/>
    <w:uiPriority w:val="0"/>
    <w:pPr>
      <w:widowControl/>
      <w:kinsoku w:val="0"/>
      <w:autoSpaceDE w:val="0"/>
      <w:autoSpaceDN w:val="0"/>
      <w:adjustRightInd w:val="0"/>
      <w:snapToGrid w:val="0"/>
      <w:spacing w:line="360" w:lineRule="auto"/>
      <w:jc w:val="left"/>
      <w:textAlignment w:val="baseline"/>
    </w:pPr>
    <w:rPr>
      <w:rFonts w:ascii="宋体" w:hAnsi="宋体" w:cs="宋体"/>
      <w:snapToGrid w:val="0"/>
      <w:color w:val="000000"/>
      <w:kern w:val="0"/>
      <w:sz w:val="19"/>
      <w:szCs w:val="19"/>
      <w:lang w:eastAsia="en-US"/>
    </w:rPr>
  </w:style>
  <w:style w:type="character" w:customStyle="1" w:styleId="61">
    <w:name w:val="正文文本缩进 Char"/>
    <w:basedOn w:val="30"/>
    <w:link w:val="15"/>
    <w:qFormat/>
    <w:uiPriority w:val="99"/>
    <w:rPr>
      <w:kern w:val="2"/>
      <w:sz w:val="32"/>
    </w:rPr>
  </w:style>
  <w:style w:type="character" w:customStyle="1" w:styleId="62">
    <w:name w:val="正文文本缩进 3 Char"/>
    <w:basedOn w:val="30"/>
    <w:link w:val="23"/>
    <w:uiPriority w:val="99"/>
    <w:rPr>
      <w:rFonts w:ascii="宋体" w:hAnsi="宋体" w:cs="宋体"/>
    </w:rPr>
  </w:style>
  <w:style w:type="paragraph" w:customStyle="1" w:styleId="63">
    <w:name w:val="样式 首行缩进:  0.85 厘米"/>
    <w:basedOn w:val="1"/>
    <w:qFormat/>
    <w:uiPriority w:val="0"/>
    <w:pPr>
      <w:widowControl/>
      <w:snapToGrid w:val="0"/>
      <w:spacing w:line="360" w:lineRule="auto"/>
      <w:ind w:firstLine="420"/>
      <w:jc w:val="left"/>
    </w:pPr>
    <w:rPr>
      <w:rFonts w:ascii="Calibri" w:hAnsi="Calibri" w:eastAsia="黑体" w:cs="宋体"/>
      <w:kern w:val="0"/>
      <w:sz w:val="24"/>
      <w:szCs w:val="24"/>
    </w:rPr>
  </w:style>
  <w:style w:type="paragraph" w:customStyle="1" w:styleId="64">
    <w:name w:val="列出段落1"/>
    <w:basedOn w:val="1"/>
    <w:qFormat/>
    <w:uiPriority w:val="0"/>
    <w:pPr>
      <w:widowControl/>
      <w:snapToGrid w:val="0"/>
      <w:spacing w:line="360" w:lineRule="auto"/>
      <w:ind w:left="720" w:firstLine="360"/>
      <w:jc w:val="left"/>
    </w:pPr>
    <w:rPr>
      <w:rFonts w:ascii="Calibri" w:hAnsi="Calibri"/>
      <w:kern w:val="0"/>
      <w:sz w:val="24"/>
      <w:lang w:eastAsia="en-US"/>
    </w:rPr>
  </w:style>
  <w:style w:type="paragraph" w:customStyle="1" w:styleId="65">
    <w:name w:val="丽正"/>
    <w:basedOn w:val="1"/>
    <w:qFormat/>
    <w:uiPriority w:val="0"/>
    <w:pPr>
      <w:widowControl/>
      <w:snapToGrid w:val="0"/>
      <w:spacing w:beforeLines="50" w:afterLines="50" w:line="360" w:lineRule="auto"/>
      <w:jc w:val="left"/>
    </w:pPr>
    <w:rPr>
      <w:kern w:val="0"/>
      <w:sz w:val="24"/>
      <w:szCs w:val="24"/>
    </w:rPr>
  </w:style>
  <w:style w:type="paragraph" w:customStyle="1" w:styleId="66">
    <w:name w:val="*正文"/>
    <w:basedOn w:val="1"/>
    <w:link w:val="85"/>
    <w:qFormat/>
    <w:uiPriority w:val="0"/>
    <w:pPr>
      <w:widowControl/>
      <w:snapToGrid w:val="0"/>
      <w:spacing w:line="360" w:lineRule="auto"/>
      <w:ind w:firstLine="200" w:firstLineChars="200"/>
      <w:jc w:val="left"/>
    </w:pPr>
    <w:rPr>
      <w:rFonts w:ascii="Calibri" w:hAnsi="Calibri" w:eastAsia="仿宋_GB2312"/>
      <w:kern w:val="0"/>
      <w:sz w:val="28"/>
      <w:szCs w:val="22"/>
    </w:rPr>
  </w:style>
  <w:style w:type="paragraph" w:customStyle="1" w:styleId="67">
    <w:name w:val="正文－缩进"/>
    <w:basedOn w:val="11"/>
    <w:link w:val="70"/>
    <w:qFormat/>
    <w:uiPriority w:val="0"/>
    <w:pPr>
      <w:widowControl w:val="0"/>
      <w:spacing w:beforeLines="50"/>
      <w:ind w:firstLine="200"/>
      <w:jc w:val="both"/>
    </w:pPr>
    <w:rPr>
      <w:kern w:val="2"/>
    </w:rPr>
  </w:style>
  <w:style w:type="paragraph" w:customStyle="1" w:styleId="68">
    <w:name w:val="正文段落缩进t"/>
    <w:basedOn w:val="1"/>
    <w:qFormat/>
    <w:uiPriority w:val="0"/>
    <w:pPr>
      <w:widowControl/>
      <w:snapToGrid w:val="0"/>
      <w:spacing w:line="360" w:lineRule="auto"/>
      <w:ind w:firstLine="480" w:firstLineChars="200"/>
    </w:pPr>
    <w:rPr>
      <w:rFonts w:ascii="Calibri" w:hAnsi="Calibri" w:cs="Arial"/>
      <w:color w:val="333333"/>
      <w:kern w:val="0"/>
      <w:sz w:val="24"/>
      <w:szCs w:val="21"/>
      <w:shd w:val="clear" w:color="auto" w:fill="FFFFFF"/>
    </w:rPr>
  </w:style>
  <w:style w:type="paragraph" w:customStyle="1" w:styleId="69">
    <w:name w:val="列表段落1"/>
    <w:basedOn w:val="1"/>
    <w:qFormat/>
    <w:uiPriority w:val="34"/>
    <w:pPr>
      <w:widowControl/>
      <w:snapToGrid w:val="0"/>
      <w:spacing w:line="360" w:lineRule="auto"/>
      <w:ind w:firstLine="420" w:firstLineChars="200"/>
      <w:jc w:val="left"/>
    </w:pPr>
    <w:rPr>
      <w:rFonts w:ascii="Calibri" w:hAnsi="Calibri"/>
      <w:kern w:val="0"/>
      <w:sz w:val="24"/>
      <w:szCs w:val="22"/>
    </w:rPr>
  </w:style>
  <w:style w:type="character" w:customStyle="1" w:styleId="70">
    <w:name w:val="正文－缩进 Char"/>
    <w:link w:val="67"/>
    <w:qFormat/>
    <w:locked/>
    <w:uiPriority w:val="0"/>
    <w:rPr>
      <w:rFonts w:ascii="Calibri" w:hAnsi="Calibri"/>
      <w:kern w:val="2"/>
      <w:sz w:val="24"/>
    </w:rPr>
  </w:style>
  <w:style w:type="paragraph" w:customStyle="1" w:styleId="71">
    <w:name w:val="列表（编号一级）（深信服）"/>
    <w:basedOn w:val="72"/>
    <w:qFormat/>
    <w:uiPriority w:val="0"/>
    <w:pPr>
      <w:numPr>
        <w:ilvl w:val="0"/>
        <w:numId w:val="3"/>
      </w:numPr>
      <w:tabs>
        <w:tab w:val="left" w:pos="360"/>
        <w:tab w:val="left" w:pos="420"/>
      </w:tabs>
      <w:ind w:left="432" w:firstLine="0" w:firstLineChars="0"/>
    </w:pPr>
  </w:style>
  <w:style w:type="paragraph" w:customStyle="1" w:styleId="72">
    <w:name w:val="正文（深信服）"/>
    <w:link w:val="73"/>
    <w:qFormat/>
    <w:uiPriority w:val="0"/>
    <w:pPr>
      <w:adjustRightInd w:val="0"/>
      <w:snapToGrid w:val="0"/>
      <w:spacing w:line="360" w:lineRule="auto"/>
      <w:ind w:firstLine="480" w:firstLineChars="200"/>
      <w:jc w:val="both"/>
    </w:pPr>
    <w:rPr>
      <w:rFonts w:ascii="Times New Roman" w:hAnsi="Times New Roman" w:eastAsia="宋体" w:cs="Times New Roman"/>
      <w:sz w:val="24"/>
      <w:szCs w:val="21"/>
      <w:lang w:val="en-US" w:eastAsia="zh-CN" w:bidi="ar-SA"/>
    </w:rPr>
  </w:style>
  <w:style w:type="character" w:customStyle="1" w:styleId="73">
    <w:name w:val="正文（深信服） 字符"/>
    <w:link w:val="72"/>
    <w:qFormat/>
    <w:uiPriority w:val="0"/>
    <w:rPr>
      <w:sz w:val="24"/>
      <w:szCs w:val="21"/>
    </w:rPr>
  </w:style>
  <w:style w:type="paragraph" w:customStyle="1" w:styleId="74">
    <w:name w:val="列表（编号二级）（深信服）"/>
    <w:basedOn w:val="71"/>
    <w:qFormat/>
    <w:uiPriority w:val="0"/>
    <w:pPr>
      <w:numPr>
        <w:numId w:val="0"/>
      </w:numPr>
      <w:tabs>
        <w:tab w:val="left" w:pos="1206"/>
      </w:tabs>
      <w:ind w:left="639"/>
    </w:pPr>
  </w:style>
  <w:style w:type="paragraph" w:customStyle="1" w:styleId="75">
    <w:name w:val="标题5（深信服）"/>
    <w:basedOn w:val="1"/>
    <w:next w:val="72"/>
    <w:qFormat/>
    <w:uiPriority w:val="0"/>
    <w:pPr>
      <w:keepNext/>
      <w:keepLines/>
      <w:numPr>
        <w:ilvl w:val="4"/>
        <w:numId w:val="3"/>
      </w:numPr>
      <w:tabs>
        <w:tab w:val="left" w:pos="420"/>
      </w:tabs>
      <w:adjustRightInd w:val="0"/>
      <w:snapToGrid w:val="0"/>
      <w:spacing w:beforeLines="50" w:afterLines="50" w:line="360" w:lineRule="auto"/>
      <w:jc w:val="left"/>
      <w:outlineLvl w:val="4"/>
    </w:pPr>
    <w:rPr>
      <w:rFonts w:eastAsia="黑体"/>
      <w:kern w:val="0"/>
      <w:sz w:val="24"/>
      <w:szCs w:val="28"/>
    </w:rPr>
  </w:style>
  <w:style w:type="paragraph" w:customStyle="1" w:styleId="76">
    <w:name w:val="文档正文"/>
    <w:basedOn w:val="1"/>
    <w:link w:val="77"/>
    <w:qFormat/>
    <w:uiPriority w:val="0"/>
    <w:pPr>
      <w:adjustRightInd w:val="0"/>
      <w:snapToGrid w:val="0"/>
      <w:spacing w:before="60" w:after="60" w:line="360" w:lineRule="atLeast"/>
      <w:ind w:firstLine="482"/>
      <w:textAlignment w:val="baseline"/>
    </w:pPr>
    <w:rPr>
      <w:rFonts w:ascii="宋体" w:hAnsi="宋体" w:cs="宋体"/>
      <w:kern w:val="0"/>
      <w:sz w:val="24"/>
    </w:rPr>
  </w:style>
  <w:style w:type="character" w:customStyle="1" w:styleId="77">
    <w:name w:val="文档正文 Char"/>
    <w:link w:val="76"/>
    <w:qFormat/>
    <w:uiPriority w:val="0"/>
    <w:rPr>
      <w:rFonts w:ascii="宋体" w:hAnsi="宋体" w:cs="宋体"/>
      <w:sz w:val="24"/>
    </w:rPr>
  </w:style>
  <w:style w:type="paragraph" w:customStyle="1" w:styleId="78">
    <w:name w:val="标书正文"/>
    <w:basedOn w:val="1"/>
    <w:qFormat/>
    <w:uiPriority w:val="99"/>
    <w:pPr>
      <w:widowControl/>
      <w:snapToGrid w:val="0"/>
      <w:spacing w:line="360" w:lineRule="auto"/>
      <w:ind w:firstLine="480" w:firstLineChars="200"/>
      <w:jc w:val="left"/>
    </w:pPr>
    <w:rPr>
      <w:rFonts w:ascii="宋体" w:cs="宋体"/>
      <w:sz w:val="24"/>
      <w:szCs w:val="24"/>
    </w:rPr>
  </w:style>
  <w:style w:type="paragraph" w:customStyle="1" w:styleId="79">
    <w:name w:val="表格文字"/>
    <w:basedOn w:val="1"/>
    <w:link w:val="80"/>
    <w:qFormat/>
    <w:uiPriority w:val="0"/>
    <w:pPr>
      <w:snapToGrid w:val="0"/>
      <w:spacing w:before="25" w:after="25" w:line="360" w:lineRule="auto"/>
      <w:jc w:val="left"/>
    </w:pPr>
    <w:rPr>
      <w:bCs/>
      <w:spacing w:val="10"/>
      <w:kern w:val="0"/>
      <w:sz w:val="24"/>
    </w:rPr>
  </w:style>
  <w:style w:type="character" w:customStyle="1" w:styleId="80">
    <w:name w:val="表格文字 Char Char"/>
    <w:link w:val="79"/>
    <w:uiPriority w:val="0"/>
    <w:rPr>
      <w:bCs/>
      <w:spacing w:val="10"/>
      <w:sz w:val="24"/>
    </w:rPr>
  </w:style>
  <w:style w:type="character" w:customStyle="1" w:styleId="81">
    <w:name w:val="正文首行缩进 Char"/>
    <w:basedOn w:val="48"/>
    <w:link w:val="26"/>
    <w:uiPriority w:val="99"/>
    <w:rPr>
      <w:kern w:val="2"/>
      <w:sz w:val="21"/>
      <w:szCs w:val="24"/>
    </w:rPr>
  </w:style>
  <w:style w:type="paragraph" w:customStyle="1" w:styleId="82">
    <w:name w:val="标书正文格式"/>
    <w:link w:val="83"/>
    <w:qFormat/>
    <w:uiPriority w:val="0"/>
    <w:pPr>
      <w:spacing w:line="360" w:lineRule="auto"/>
      <w:ind w:firstLine="200" w:firstLineChars="200"/>
      <w:jc w:val="both"/>
    </w:pPr>
    <w:rPr>
      <w:rFonts w:ascii="Times New Roman" w:hAnsi="Times New Roman" w:eastAsia="楷体_GB2312" w:cs="Times New Roman"/>
      <w:sz w:val="24"/>
      <w:szCs w:val="24"/>
      <w:lang w:val="en-US" w:eastAsia="zh-CN" w:bidi="ar-SA"/>
    </w:rPr>
  </w:style>
  <w:style w:type="character" w:customStyle="1" w:styleId="83">
    <w:name w:val="标书正文格式 Char"/>
    <w:link w:val="82"/>
    <w:uiPriority w:val="0"/>
    <w:rPr>
      <w:rFonts w:eastAsia="楷体_GB2312"/>
      <w:sz w:val="24"/>
      <w:szCs w:val="24"/>
    </w:rPr>
  </w:style>
  <w:style w:type="character" w:customStyle="1" w:styleId="84">
    <w:name w:val="font21"/>
    <w:basedOn w:val="30"/>
    <w:qFormat/>
    <w:uiPriority w:val="0"/>
    <w:rPr>
      <w:rFonts w:hint="eastAsia" w:ascii="微软雅黑" w:hAnsi="微软雅黑" w:eastAsia="微软雅黑" w:cs="微软雅黑"/>
      <w:color w:val="000000"/>
      <w:sz w:val="20"/>
      <w:szCs w:val="20"/>
      <w:u w:val="none"/>
    </w:rPr>
  </w:style>
  <w:style w:type="character" w:customStyle="1" w:styleId="85">
    <w:name w:val="*正文 Char"/>
    <w:link w:val="66"/>
    <w:qFormat/>
    <w:uiPriority w:val="0"/>
    <w:rPr>
      <w:rFonts w:ascii="Calibri" w:hAnsi="Calibri" w:eastAsia="仿宋_GB2312"/>
      <w:sz w:val="28"/>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3795</Words>
  <Characters>3873</Characters>
  <Lines>30</Lines>
  <Paragraphs>8</Paragraphs>
  <TotalTime>3</TotalTime>
  <ScaleCrop>false</ScaleCrop>
  <LinksUpToDate>false</LinksUpToDate>
  <CharactersWithSpaces>4135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2024-10-09T01:28:00Z</dcterms:created>
  <dc:creator>BreakPoint</dc:creator>
  <cp:lastModifiedBy>®</cp:lastModifiedBy>
  <cp:lastPrinted>2023-01-04T06:46:00Z</cp:lastPrinted>
  <dcterms:modified xsi:type="dcterms:W3CDTF">2024-10-21T04:31:18Z</dcterms:modified>
  <dc:title>陕西中医药大学附属医院集成平台与数据中心配套硬件采购项目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73C8B889A7CC46549561AEACC037B09A_13</vt:lpwstr>
  </property>
  <property fmtid="{D5CDD505-2E9C-101B-9397-08002B2CF9AE}" pid="4" name="fileWhereFroms">
    <vt:lpwstr>PpjeLB1gRN0lwrPqMaCTkrSiCjWh8qe095dMgl5zu4x4kmvayd/yUZLMfWkT03WSfuhZTzDz8kBUeWW8UYfHr+UCcQTya5sHEA1Ph0/9pNWL1Kex5PfDuKQOg5o6epUR05z/4sOBMR2sPvn5+wH3w3aSrQqKnSJTVRdgc5RKXeWIr7dPI0UMHRPimOhdeUs8UdG3VHcwzXBmmJhyA40yy42E28xbnoAJGrOcF8A7iMrh5sQEOXHD0hDGf+uBTbT</vt:lpwstr>
  </property>
</Properties>
</file>