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版本号：HBZB2024-11120250807001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办公大楼配电室消防及通风改造项目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HBZB2024-111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办公大楼配电室消防及通风改造项目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HBZB2024-111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办公大楼配电室消防及通风改造项目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安厅交通警察总队办公大楼配电室消防及通风改造项目》主要包含：地下车库装饰内容主要是吊顶、地面、墙面、门窗、排水管的雨箅子、照明、通风、污水泵电气管线排布、冷凝水管安装，拆除原门窗、墙面铲除、部分桥架、灯具、开关、电气管线、管道、风管、风机的拆除；高低压、发电机房的气体灭火装置、火灾报警装置、送排风系统，灯具、开关的修复、原风管的拆除、新开的洞口修复、垃圾的外运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采购包1（办公大楼配电室消防及通风改造项目）：属于专门面向中小企业采购。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p>
      <w:pPr>
        <w:pStyle w:val="null3"/>
      </w:pPr>
      <w:r>
        <w:rPr>
          <w:rFonts w:ascii="仿宋_GB2312" w:hAnsi="仿宋_GB2312" w:cs="仿宋_GB2312" w:eastAsia="仿宋_GB2312"/>
        </w:rPr>
        <w:t>2、拟派项目负责人资质和专业要求。：拟派项目经理具备建筑工程专业注册建造师二级及以上（含二级）执业资格，并具有有效的安全生产考核合格证（B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p>
      <w:pPr>
        <w:pStyle w:val="null3"/>
      </w:pPr>
      <w:r>
        <w:rPr>
          <w:rFonts w:ascii="仿宋_GB2312" w:hAnsi="仿宋_GB2312" w:cs="仿宋_GB2312" w:eastAsia="仿宋_GB2312"/>
        </w:rPr>
        <w:t>3、供应商企业资质要求：具有有效的【【消防设施工程专业承包二级及建筑装修装饰工程专业承包二级】】及以上（含二级）资质，并具备有效的安全生产许可证；供应商需在项目电子化交易系统中按要求上传相应证明文件并进行电子签章。</w:t>
      </w:r>
    </w:p>
    <w:p>
      <w:pPr>
        <w:pStyle w:val="null3"/>
      </w:pPr>
      <w:r>
        <w:rPr>
          <w:rFonts w:ascii="仿宋_GB2312" w:hAnsi="仿宋_GB2312" w:cs="仿宋_GB2312" w:eastAsia="仿宋_GB2312"/>
        </w:rPr>
        <w:t>4、本项目专门面向中小企业采购：仅限符合《政府采购促进中小企业发展办法》（财库〔2020〕46 号）条件的中小企业参与，投标人应填写中小企业声明函并对真实性负责。供应商需在项目电子化交易系统中按要求上传相应证明文件并进行电子签章。</w:t>
      </w:r>
    </w:p>
    <w:p>
      <w:pPr>
        <w:pStyle w:val="null3"/>
      </w:pPr>
      <w:r>
        <w:rPr>
          <w:rFonts w:ascii="仿宋_GB2312" w:hAnsi="仿宋_GB2312" w:cs="仿宋_GB2312" w:eastAsia="仿宋_GB2312"/>
        </w:rPr>
        <w:t>5、关于联合体磋商要求：本项目不接受联合体磋商。供应商需在项目电子化交易系统中按要求上传相应证明文件并进行电子签章。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 123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029-86537083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任向梅、曹军军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开户名称：陕西华博项目管理有限公司</w:t>
            </w:r>
          </w:p>
          <w:p>
            <w:pPr>
              <w:pStyle w:val="null3"/>
            </w:pPr>
            <w:r>
              <w:rPr>
                <w:rFonts w:ascii="仿宋_GB2312" w:hAnsi="仿宋_GB2312" w:cs="仿宋_GB2312" w:eastAsia="仿宋_GB2312"/>
              </w:rPr>
              <w:t>开户银行：中国建设银行股份有限公司西安高新技术产业开发区支行</w:t>
            </w:r>
          </w:p>
          <w:p>
            <w:pPr>
              <w:pStyle w:val="null3"/>
            </w:pPr>
            <w:r>
              <w:rPr>
                <w:rFonts w:ascii="仿宋_GB2312" w:hAnsi="仿宋_GB2312" w:cs="仿宋_GB2312" w:eastAsia="仿宋_GB2312"/>
              </w:rPr>
              <w:t>银行账号：61050192090000003265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工程类收费标准进行收取，在领取中标通知书时向采购代理机构一次性交纳。 开户名称：陕西华博项目管理有限公司 开户银行：中国建设银行股份有限公司西安高新技术产业开发区支行 银行账号：61050192090000003265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联系人：任向梅、曹军军</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地址：陕西省西安市经济技术开发区凤城十一路文景商务广场 C 座 5 层 30502 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917,555.74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建设办公大楼配电室气体灭火机组、配电室通风改造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标的名称：建设办公大楼配电室气体灭火机组、配电室通风改造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w:t>
            </w:r>
          </w:p>
          <w:p>
            <w:pPr>
              <w:pStyle w:val="null3"/>
            </w:pPr>
            <w:r>
              <w:rPr>
                <w:rFonts w:ascii="仿宋_GB2312" w:hAnsi="仿宋_GB2312" w:cs="仿宋_GB2312" w:eastAsia="仿宋_GB2312"/>
                <w:sz w:val="21"/>
              </w:rPr>
              <w:t>1、工程名称：陕西省公安厅交警总队办公楼地下车库及高低压配电室装饰、消防改造项目</w:t>
            </w:r>
          </w:p>
          <w:p>
            <w:pPr>
              <w:pStyle w:val="null3"/>
            </w:pPr>
            <w:r>
              <w:rPr>
                <w:rFonts w:ascii="仿宋_GB2312" w:hAnsi="仿宋_GB2312" w:cs="仿宋_GB2312" w:eastAsia="仿宋_GB2312"/>
                <w:sz w:val="21"/>
              </w:rPr>
              <w:t>2、施工地点：西安市雁塔区长安南路123号</w:t>
            </w:r>
          </w:p>
          <w:p>
            <w:pPr>
              <w:pStyle w:val="null3"/>
            </w:pPr>
            <w:r>
              <w:rPr>
                <w:rFonts w:ascii="仿宋_GB2312" w:hAnsi="仿宋_GB2312" w:cs="仿宋_GB2312" w:eastAsia="仿宋_GB2312"/>
                <w:sz w:val="21"/>
              </w:rPr>
              <w:t>二、编制范围</w:t>
            </w:r>
          </w:p>
          <w:p>
            <w:pPr>
              <w:pStyle w:val="null3"/>
            </w:pPr>
            <w:r>
              <w:rPr>
                <w:rFonts w:ascii="仿宋_GB2312" w:hAnsi="仿宋_GB2312" w:cs="仿宋_GB2312" w:eastAsia="仿宋_GB2312"/>
                <w:sz w:val="21"/>
              </w:rPr>
              <w:t>1、设计图纸、现场的勘察；</w:t>
            </w:r>
          </w:p>
          <w:p>
            <w:pPr>
              <w:pStyle w:val="null3"/>
            </w:pPr>
            <w:r>
              <w:rPr>
                <w:rFonts w:ascii="仿宋_GB2312" w:hAnsi="仿宋_GB2312" w:cs="仿宋_GB2312" w:eastAsia="仿宋_GB2312"/>
                <w:sz w:val="21"/>
              </w:rPr>
              <w:t>2、地下车库装饰内容主要是吊顶、地面、墙面、门窗、排水管的雨箅子、照明、通风、污水泵电气管线排布、冷凝水管安装，拆除原门窗、墙面铲除、部分桥架、灯具、开关、电气管线、管道、风管、风机的拆除；</w:t>
            </w:r>
          </w:p>
          <w:p>
            <w:pPr>
              <w:pStyle w:val="null3"/>
            </w:pPr>
            <w:r>
              <w:rPr>
                <w:rFonts w:ascii="仿宋_GB2312" w:hAnsi="仿宋_GB2312" w:cs="仿宋_GB2312" w:eastAsia="仿宋_GB2312"/>
                <w:sz w:val="21"/>
              </w:rPr>
              <w:t>3、高低压、发电机房的气体灭火装置、火灾报警装置、送排风系统，灯具、开关的修复、原风管的拆除、新开的洞口修复、垃圾的外运等；</w:t>
            </w:r>
          </w:p>
          <w:p>
            <w:pPr>
              <w:pStyle w:val="null3"/>
            </w:pPr>
            <w:r>
              <w:rPr>
                <w:rFonts w:ascii="仿宋_GB2312" w:hAnsi="仿宋_GB2312" w:cs="仿宋_GB2312" w:eastAsia="仿宋_GB2312"/>
                <w:sz w:val="21"/>
              </w:rPr>
              <w:t>三</w:t>
            </w:r>
            <w:r>
              <w:rPr>
                <w:rFonts w:ascii="仿宋_GB2312" w:hAnsi="仿宋_GB2312" w:cs="仿宋_GB2312" w:eastAsia="仿宋_GB2312"/>
                <w:sz w:val="21"/>
              </w:rPr>
              <w:t>、其他说明</w:t>
            </w:r>
          </w:p>
          <w:p>
            <w:pPr>
              <w:pStyle w:val="null3"/>
            </w:pPr>
            <w:r>
              <w:rPr>
                <w:rFonts w:ascii="仿宋_GB2312" w:hAnsi="仿宋_GB2312" w:cs="仿宋_GB2312" w:eastAsia="仿宋_GB2312"/>
                <w:sz w:val="21"/>
              </w:rPr>
              <w:t>1、车库照明配电箱的电源电缆由原高低压配电室（WDZ-YJV-5*16）低压配电柜AA+1引至；</w:t>
            </w:r>
          </w:p>
          <w:p>
            <w:pPr>
              <w:pStyle w:val="null3"/>
            </w:pPr>
            <w:r>
              <w:rPr>
                <w:rFonts w:ascii="仿宋_GB2312" w:hAnsi="仿宋_GB2312" w:cs="仿宋_GB2312" w:eastAsia="仿宋_GB2312"/>
                <w:sz w:val="21"/>
              </w:rPr>
              <w:t>2、风机控制箱的电源电缆由原高低压配电室低压配电柜AA+1或AA+2和发电机房的低压柜引至；</w:t>
            </w:r>
          </w:p>
          <w:p>
            <w:pPr>
              <w:pStyle w:val="null3"/>
            </w:pPr>
            <w:r>
              <w:rPr>
                <w:rFonts w:ascii="仿宋_GB2312" w:hAnsi="仿宋_GB2312" w:cs="仿宋_GB2312" w:eastAsia="仿宋_GB2312"/>
                <w:sz w:val="21"/>
              </w:rPr>
              <w:t>3、气体灭火装置、火灾报警控制箱至原主楼消防控制室的电缆、电线工程量已计取；</w:t>
            </w:r>
          </w:p>
          <w:p>
            <w:pPr>
              <w:pStyle w:val="null3"/>
            </w:pPr>
            <w:r>
              <w:rPr>
                <w:rFonts w:ascii="仿宋_GB2312" w:hAnsi="仿宋_GB2312" w:cs="仿宋_GB2312" w:eastAsia="仿宋_GB2312"/>
                <w:sz w:val="21"/>
              </w:rPr>
              <w:t>4、电缆保护管按镀锌钢管计取的工程量；</w:t>
            </w:r>
          </w:p>
          <w:p>
            <w:pPr>
              <w:pStyle w:val="null3"/>
            </w:pPr>
            <w:r>
              <w:rPr>
                <w:rFonts w:ascii="仿宋_GB2312" w:hAnsi="仿宋_GB2312" w:cs="仿宋_GB2312" w:eastAsia="仿宋_GB2312"/>
                <w:sz w:val="21"/>
              </w:rPr>
              <w:t>5、火灾报警系统中S+D配管按KBG20计取；</w:t>
            </w:r>
          </w:p>
          <w:p>
            <w:pPr>
              <w:pStyle w:val="null3"/>
            </w:pPr>
            <w:r>
              <w:rPr>
                <w:rFonts w:ascii="仿宋_GB2312" w:hAnsi="仿宋_GB2312" w:cs="仿宋_GB2312" w:eastAsia="仿宋_GB2312"/>
                <w:sz w:val="21"/>
              </w:rPr>
              <w:t>6、消防控制线按WDZN-KVV-6*1.5计取；</w:t>
            </w:r>
          </w:p>
          <w:p>
            <w:pPr>
              <w:pStyle w:val="null3"/>
              <w:jc w:val="both"/>
            </w:pPr>
            <w:r>
              <w:rPr>
                <w:rFonts w:ascii="仿宋_GB2312" w:hAnsi="仿宋_GB2312" w:cs="仿宋_GB2312" w:eastAsia="仿宋_GB2312"/>
                <w:sz w:val="21"/>
              </w:rPr>
              <w:t>7、车库吊顶工程量按现场实际面积计取。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工艺达到国家级行业现行技术规范标准，符合国家级行业验收合格标准。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最高限价编制依据 ：1、《陕西省建设工程工程量清单计价规则》（2009版）、《陕西省建设工程工程量清单计价费率》（2009版）、《陕西省建筑、装饰工程消耗量定额》（2004版）、《陕西省建设工程消耗量定额(2004)补充定额》、《陕西省安装工程消耗量定额》（2004版）及其他相关计价依据和办法；2、本工程执行执行陕建发【2021】1097号文人工费调整，其他规费按现行《计价规则》及配套计价文件计取；3、材料价依据陕西省2024.6期信息价及市场价调整； 完工周期：50天；质保期：二年；付款方式：本项目无预付款，竣工后分二期支付。第一期工程款：经竣工验收合格，发票办理完毕，甲方向乙方完成支付合同总价款85%的金额； 第二期工程款：待工程审计完毕后，支付至审定金额的100%。合同签订后10日内预交的合同金额3%作为质保金，质保期满后无工程质量问题,一次性无息退还。</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1、供应商需要在线提交所有通过电子化交易平台实施的政府采购项目的投标文件，同时，线下提交投标文件正本 壹 份、副本 贰 份、电子版 壹 份（投标文件正副、U盘标明单位名称，密封并标明供应商名称、项目名称、联系人及电话）。线下纸质文件递交截止时间：同在线递交电子投标文件截止时间一致；线下纸质文件递交地点：陕西省西安市经济技术开发区凤城十一路文景商务广场C座5层会议室。如需邮寄投标文件，仅接受顺丰速运（联系人：任向梅、曹军军联系电话：029-86100880）。2、逾期送达的纸质版响应文件按无效磋商处理；3、本项目所属行业为建筑业；4、质量标准：工程质量必须达到国家建设工程验收合格标准；5、供应商根据附件工程量清单在编制磋商响应文件时须提供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供应商为本项目提供的资格证明文件.docx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供应商为本项目提供的资格证明文件.docx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供应商企业资质要求</w:t>
            </w:r>
          </w:p>
        </w:tc>
        <w:tc>
          <w:tcPr>
            <w:tcW w:type="dxa" w:w="3322"/>
          </w:tcPr>
          <w:p>
            <w:pPr>
              <w:pStyle w:val="null3"/>
            </w:pPr>
            <w:r>
              <w:rPr>
                <w:rFonts w:ascii="仿宋_GB2312" w:hAnsi="仿宋_GB2312" w:cs="仿宋_GB2312" w:eastAsia="仿宋_GB2312"/>
              </w:rPr>
              <w:t>具有有效的【【消防设施工程专业承包二级及建筑装修装饰工程专业承包二级】】及以上（含二级）资质，并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仅限符合《政府采购促进中小企业发展办法》（财库〔2020〕46 号）条件的中小企业参与，投标人应填写中小企业声明函并对真实性负责。供应商需在项目电子化交易系统中按要求上传相应证明文件并进行电子签章。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工期符合磋商文件或磋商公告要求</w:t>
            </w:r>
          </w:p>
        </w:tc>
        <w:tc>
          <w:tcPr>
            <w:tcW w:type="dxa" w:w="1661"/>
          </w:tcPr>
          <w:p>
            <w:pPr>
              <w:pStyle w:val="null3"/>
            </w:pPr>
            <w:r>
              <w:rPr>
                <w:rFonts w:ascii="仿宋_GB2312" w:hAnsi="仿宋_GB2312" w:cs="仿宋_GB2312" w:eastAsia="仿宋_GB2312"/>
              </w:rPr>
              <w:t>报价函 磋商报价表.docx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付款方式及项目质保期符合磋商文件要求</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磋商报价表.docx 施工组织设计.docx 强制优先采购产品承诺函 供应商为本项目提供的资格证明文件.docx 响应文件封面 业绩表.docx 项目管理机构组成表 残疾人福利性单位声明函 保证金交纳凭证.docx 报价函 标的清单 拟派项目组人员名单.docx 拟投入项目负责人及主要人员简历表.docx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方案专门针对本项目编制，符合项目实际情况及实施要求，内容详尽且涵盖角度全面，合理性和可行性强，能够保障项目顺利实施的，得6分; 方案能够针对本项目编制，符合项目实际情况及实施要求，内容详尽且涵盖角度基本全面，有一定的合理性和可行性的，得5分; 方案基本能够针对本项目编制，基本符合项目实际情况及实施要求，内容较宽泛，涵盖角度不够全面，内容基本合理可行的，得4分; 具有方案内容但内容未贴合本项目，内容涵盖角度不够全面且实施有难度的，得3分; 具有方案内容但内容未针对本项目，内容空洞宽泛，基本不具有可实施性，得2分；具有不完整或缺项的措施内容，得1分；未提供措施内容不得分。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措施内容基本能够针对本项目编制，基本符合项目实际情况及实施要求，内容较详细，涵盖角度较全面，基本合理可行的，得4分; 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针对本项目具有①新材料②新技术和新工艺的应用情况。 方案各部分内容全面详细、阐述条理清晰详尽、应用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设备配备根据各供应商单位对本项 目配置的施工机械及工器具的配备 情况，机械、设备工具数量及条件 搭配。 机械、设备工具数量及条件 搭配科学、合理完全满足需求 得6分；机械、设备工具数量及条件搭配基本科学、合理得5分；机械、设备工具数量满足但搭配不合理得4分；机械、设备工具搭配合理但数量不足得3分；机械、设备工具数量及条件搭配不合理得2分；机械、设备工具数量及条件搭配都不足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①吊顶施工重难点②地面施工重难点③送排风及电气控制系统施工重难点。 方案各部分内容全面详细、阐述条理清晰详尽、重难点分析到位并具有解决措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①维修措施②保修责任及保修承诺。 方案各部分内容全面详细、阐述条理清晰详尽、措施及承诺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项目经理：职称：中级（含）以上得 2 分；中级（不含）及以下不得分。 学历：本科（含）以上计 2 分；大专得 1 分；大专 （不含）及以下不得分。 以项目经理身份主持过 1 个类似项目得 2 分。 其他项目管理人员构成：人员配备充足、专业齐全得3分；人员配备情况一般、专业不够齐全得1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拟派项目组人员名单.docx</w:t>
            </w:r>
          </w:p>
          <w:p>
            <w:pPr>
              <w:pStyle w:val="null3"/>
            </w:pPr>
            <w:r>
              <w:rPr>
                <w:rFonts w:ascii="仿宋_GB2312" w:hAnsi="仿宋_GB2312" w:cs="仿宋_GB2312" w:eastAsia="仿宋_GB2312"/>
              </w:rPr>
              <w:t>拟投入项目负责人及主要人员简历表.docx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投标人提供2021年1月1日至今类似项目业绩，每提供一份得1分，最高得5分。 业绩证明（以合同签订时间为准，须附合同及中标通知书的扫描件加盖单位公章）弄虚作假者，取消其成交资格。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详见附件：供应商为本项目提供的资格证明文件.docx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详见附件：拟派项目组人员名单.docx</w:t>
      </w:r>
    </w:p>
    <w:p>
      <w:pPr>
        <w:pStyle w:val="null3"/>
        <w:ind w:firstLine="960"/>
      </w:pPr>
      <w:r>
        <w:rPr>
          <w:rFonts w:ascii="仿宋_GB2312" w:hAnsi="仿宋_GB2312" w:cs="仿宋_GB2312" w:eastAsia="仿宋_GB2312"/>
        </w:rPr>
        <w:t>详见附件：拟投入项目负责人及主要人员简历表.docx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