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BF62D">
      <w:pPr>
        <w:spacing w:line="360" w:lineRule="auto"/>
        <w:outlineLvl w:val="1"/>
        <w:rPr>
          <w:rFonts w:hint="eastAsia" w:ascii="仿宋" w:hAnsi="仿宋" w:eastAsia="仿宋" w:cs="仿宋_GB2312"/>
          <w:b/>
          <w:bCs/>
          <w:sz w:val="28"/>
          <w:szCs w:val="28"/>
          <w:highlight w:val="none"/>
        </w:rPr>
      </w:pPr>
      <w:bookmarkStart w:id="0" w:name="_Toc26172"/>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14:paraId="66EB6FA1">
      <w:pPr>
        <w:pStyle w:val="4"/>
        <w:shd w:val="clear" w:color="auto" w:fill="FFFFFF"/>
        <w:spacing w:before="0" w:beforeAutospacing="0" w:after="0" w:afterAutospacing="0" w:line="360" w:lineRule="auto"/>
        <w:rPr>
          <w:rFonts w:hint="eastAsia" w:ascii="仿宋" w:hAnsi="仿宋" w:eastAsia="仿宋" w:cs="仿宋_GB2312"/>
          <w:b/>
          <w:bCs/>
          <w:color w:val="000000"/>
          <w:kern w:val="2"/>
          <w:sz w:val="24"/>
          <w:szCs w:val="24"/>
          <w:highlight w:val="none"/>
        </w:rPr>
      </w:pPr>
      <w:bookmarkStart w:id="1" w:name="_Toc15975"/>
      <w:bookmarkStart w:id="2" w:name="_Toc90656844"/>
      <w:bookmarkStart w:id="3" w:name="_Toc90658395"/>
      <w:r>
        <w:rPr>
          <w:rFonts w:hint="eastAsia" w:ascii="仿宋" w:hAnsi="仿宋" w:eastAsia="仿宋" w:cs="仿宋_GB2312"/>
          <w:b/>
          <w:bCs/>
          <w:color w:val="000000"/>
          <w:kern w:val="2"/>
          <w:sz w:val="24"/>
          <w:szCs w:val="24"/>
          <w:highlight w:val="none"/>
        </w:rPr>
        <w:t>基本资格条件：符合《中华人民共和国政府采购法》第二十二条的规定；</w:t>
      </w:r>
    </w:p>
    <w:p w14:paraId="559480A4">
      <w:pPr>
        <w:numPr>
          <w:ilvl w:val="0"/>
          <w:numId w:val="0"/>
        </w:numPr>
        <w:spacing w:line="360" w:lineRule="auto"/>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1、</w:t>
      </w:r>
      <w:r>
        <w:rPr>
          <w:rFonts w:hint="eastAsia" w:ascii="仿宋" w:hAnsi="仿宋" w:eastAsia="仿宋" w:cs="仿宋_GB2312"/>
          <w:color w:val="000000"/>
          <w:sz w:val="24"/>
          <w:szCs w:val="24"/>
          <w:highlight w:val="none"/>
          <w:lang w:val="en-US" w:eastAsia="zh-CN"/>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bookmarkStart w:id="30" w:name="_GoBack"/>
      <w:bookmarkEnd w:id="30"/>
    </w:p>
    <w:p w14:paraId="251D7AB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2、</w:t>
      </w:r>
      <w:r>
        <w:rPr>
          <w:rFonts w:hint="eastAsia" w:ascii="仿宋" w:hAnsi="仿宋" w:eastAsia="仿宋" w:cs="仿宋_GB2312"/>
          <w:color w:val="000000"/>
          <w:sz w:val="24"/>
          <w:szCs w:val="24"/>
          <w:highlight w:val="none"/>
          <w:lang w:val="en-US" w:eastAsia="zh-CN"/>
        </w:rPr>
        <w:t xml:space="preserve">具有良好的商业信誉和健全的财务会计制度，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143550A">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3、</w:t>
      </w:r>
      <w:r>
        <w:rPr>
          <w:rFonts w:hint="eastAsia" w:ascii="仿宋" w:hAnsi="仿宋" w:eastAsia="仿宋" w:cs="仿宋_GB2312"/>
          <w:color w:val="000000"/>
          <w:sz w:val="24"/>
          <w:szCs w:val="24"/>
          <w:highlight w:val="none"/>
          <w:lang w:val="en-US" w:eastAsia="zh-CN"/>
        </w:rPr>
        <w:t xml:space="preserve">具有履行合同所必需的设备和专业技术能力的书面声明（格式详见附件）； </w:t>
      </w:r>
    </w:p>
    <w:p w14:paraId="2A65F46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4、</w:t>
      </w:r>
      <w:r>
        <w:rPr>
          <w:rFonts w:hint="eastAsia" w:ascii="仿宋" w:hAnsi="仿宋" w:eastAsia="仿宋" w:cs="仿宋_GB2312"/>
          <w:color w:val="000000"/>
          <w:sz w:val="24"/>
          <w:szCs w:val="24"/>
          <w:highlight w:val="none"/>
          <w:lang w:val="en-US" w:eastAsia="zh-CN"/>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20D0B0CE">
      <w:pPr>
        <w:numPr>
          <w:ilvl w:val="0"/>
          <w:numId w:val="0"/>
        </w:numPr>
        <w:spacing w:line="360" w:lineRule="auto"/>
        <w:ind w:left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sz w:val="24"/>
          <w:szCs w:val="24"/>
          <w:highlight w:val="none"/>
          <w:lang w:val="en-US" w:eastAsia="zh-CN"/>
        </w:rPr>
        <w:t>5、参加政府采购活动前 3 年内在经营活动中没有重大违法记录的书面声明（格式详见附件）</w:t>
      </w:r>
    </w:p>
    <w:p w14:paraId="2F90DEC0">
      <w:pPr>
        <w:numPr>
          <w:ilvl w:val="0"/>
          <w:numId w:val="0"/>
        </w:numPr>
        <w:spacing w:line="360" w:lineRule="auto"/>
        <w:ind w:leftChars="0"/>
        <w:rPr>
          <w:rFonts w:hint="eastAsia" w:ascii="仿宋" w:hAnsi="仿宋" w:eastAsia="仿宋" w:cs="仿宋_GB2312"/>
          <w:b/>
          <w:bCs/>
          <w:color w:val="000000"/>
          <w:sz w:val="24"/>
          <w:szCs w:val="24"/>
          <w:highlight w:val="none"/>
        </w:rPr>
      </w:pPr>
      <w:r>
        <w:rPr>
          <w:rFonts w:hint="eastAsia" w:ascii="仿宋" w:hAnsi="仿宋" w:eastAsia="仿宋" w:cs="仿宋_GB2312"/>
          <w:b/>
          <w:bCs/>
          <w:color w:val="000000"/>
          <w:sz w:val="24"/>
          <w:szCs w:val="24"/>
          <w:highlight w:val="none"/>
        </w:rPr>
        <w:t>特定资格条</w:t>
      </w:r>
      <w:r>
        <w:rPr>
          <w:rFonts w:hint="eastAsia" w:ascii="仿宋" w:hAnsi="仿宋" w:eastAsia="仿宋" w:cs="仿宋_GB2312"/>
          <w:b/>
          <w:bCs/>
          <w:color w:val="000000"/>
          <w:sz w:val="24"/>
          <w:szCs w:val="24"/>
          <w:highlight w:val="none"/>
          <w:shd w:val="clear" w:color="auto" w:fill="FFFFFF"/>
        </w:rPr>
        <w:t>件：</w:t>
      </w:r>
      <w:r>
        <w:rPr>
          <w:rFonts w:hint="eastAsia" w:ascii="仿宋" w:hAnsi="仿宋" w:eastAsia="仿宋" w:cs="仿宋_GB2312"/>
          <w:b/>
          <w:bCs/>
          <w:color w:val="000000"/>
          <w:sz w:val="24"/>
          <w:szCs w:val="24"/>
          <w:highlight w:val="none"/>
        </w:rPr>
        <w:t xml:space="preserve"> </w:t>
      </w:r>
    </w:p>
    <w:p w14:paraId="6092234B">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1、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_GB2312"/>
          <w:color w:val="000000"/>
          <w:sz w:val="24"/>
          <w:szCs w:val="24"/>
          <w:highlight w:val="none"/>
        </w:rPr>
        <w:t>；</w:t>
      </w:r>
    </w:p>
    <w:p w14:paraId="622237F7">
      <w:pPr>
        <w:spacing w:line="360" w:lineRule="auto"/>
        <w:rPr>
          <w:rFonts w:hint="eastAsia" w:ascii="仿宋" w:hAnsi="仿宋" w:eastAsia="仿宋" w:cs="仿宋_GB2312"/>
          <w:color w:val="000000"/>
          <w:sz w:val="24"/>
          <w:szCs w:val="24"/>
          <w:highlight w:val="none"/>
          <w:lang w:eastAsia="zh-CN"/>
        </w:rPr>
      </w:pPr>
      <w:r>
        <w:rPr>
          <w:rFonts w:hint="eastAsia" w:ascii="仿宋" w:hAnsi="仿宋" w:eastAsia="仿宋" w:cs="仿宋_GB2312"/>
          <w:sz w:val="24"/>
          <w:szCs w:val="24"/>
          <w:highlight w:val="none"/>
          <w:lang w:val="en-US" w:eastAsia="zh-CN"/>
        </w:rPr>
        <w:t>2、拟派项目负责人资质和专业要求：拟派项目经理具备建筑工程专业注册建造师二级及以上（含二级）执业资格，并具有有效的安全生产考核合格证（B 证）,在本单位注册且无在建工程（承诺书）</w:t>
      </w:r>
      <w:r>
        <w:rPr>
          <w:rFonts w:hint="eastAsia" w:ascii="仿宋" w:hAnsi="仿宋" w:eastAsia="仿宋" w:cs="仿宋_GB2312"/>
          <w:color w:val="000000"/>
          <w:sz w:val="24"/>
          <w:szCs w:val="24"/>
          <w:highlight w:val="none"/>
          <w:lang w:eastAsia="zh-CN"/>
        </w:rPr>
        <w:t>；</w:t>
      </w:r>
    </w:p>
    <w:p w14:paraId="4D8195D0">
      <w:pPr>
        <w:spacing w:line="360" w:lineRule="auto"/>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sz w:val="24"/>
          <w:szCs w:val="24"/>
          <w:highlight w:val="none"/>
          <w:lang w:val="en-US" w:eastAsia="zh-CN"/>
        </w:rPr>
        <w:t>3、供应商企业资质要求：具有有效的【消防设施工程专业承包二级及建筑装修装饰工程专业承包二级】及以上（含二级）资质，并具备有效的安全生产许可证；</w:t>
      </w:r>
    </w:p>
    <w:p w14:paraId="46CA6F72">
      <w:pPr>
        <w:spacing w:line="360" w:lineRule="auto"/>
        <w:rPr>
          <w:rFonts w:hint="default" w:ascii="仿宋" w:hAnsi="仿宋" w:eastAsia="仿宋" w:cs="仿宋_GB2312"/>
          <w:sz w:val="24"/>
          <w:szCs w:val="24"/>
          <w:highlight w:val="none"/>
          <w:lang w:val="en-US" w:eastAsia="zh-CN"/>
        </w:rPr>
      </w:pPr>
      <w:r>
        <w:rPr>
          <w:rFonts w:hint="eastAsia" w:ascii="仿宋" w:hAnsi="仿宋" w:eastAsia="仿宋" w:cs="仿宋_GB2312"/>
          <w:sz w:val="24"/>
          <w:szCs w:val="24"/>
          <w:highlight w:val="none"/>
          <w:lang w:val="en-US" w:eastAsia="zh-CN"/>
        </w:rPr>
        <w:t>4、本项目为专门面向中小企业采购的采购项目，仅限符合《政府采购促进中小企业发展办法》（财库〔2020〕46 号）条件的中小企业参与，投标人应填写中小企业声明函并对真实性负责。</w:t>
      </w:r>
    </w:p>
    <w:p w14:paraId="6A8533F7">
      <w:pPr>
        <w:spacing w:line="360" w:lineRule="auto"/>
        <w:rPr>
          <w:rFonts w:hint="eastAsia"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5、</w:t>
      </w:r>
      <w:r>
        <w:rPr>
          <w:rFonts w:hint="eastAsia" w:ascii="仿宋" w:hAnsi="仿宋" w:eastAsia="仿宋" w:cs="仿宋_GB2312"/>
          <w:color w:val="000000"/>
          <w:sz w:val="24"/>
          <w:szCs w:val="24"/>
          <w:highlight w:val="none"/>
        </w:rPr>
        <w:t>本项目不接受联合体磋商。</w:t>
      </w:r>
    </w:p>
    <w:p w14:paraId="489284F2">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End w:id="1"/>
      <w:bookmarkEnd w:id="2"/>
      <w:bookmarkEnd w:id="3"/>
      <w:r>
        <w:rPr>
          <w:rFonts w:hint="eastAsia" w:ascii="仿宋" w:hAnsi="仿宋" w:eastAsia="仿宋" w:cs="仿宋_GB2312"/>
          <w:b/>
          <w:sz w:val="24"/>
          <w:szCs w:val="28"/>
          <w:highlight w:val="none"/>
          <w:lang w:val="en-US" w:eastAsia="zh-CN"/>
        </w:rPr>
        <w:t>1、</w:t>
      </w:r>
      <w:r>
        <w:rPr>
          <w:rFonts w:hint="eastAsia" w:ascii="仿宋" w:hAnsi="仿宋" w:eastAsia="仿宋" w:cs="仿宋_GB2312"/>
          <w:b/>
          <w:sz w:val="24"/>
          <w:szCs w:val="28"/>
          <w:highlight w:val="none"/>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80AD9ED">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2、</w:t>
      </w:r>
      <w:r>
        <w:rPr>
          <w:rFonts w:hint="eastAsia" w:ascii="仿宋" w:hAnsi="仿宋" w:eastAsia="仿宋" w:cs="仿宋_GB2312"/>
          <w:b/>
          <w:sz w:val="24"/>
          <w:szCs w:val="28"/>
          <w:highlight w:val="none"/>
        </w:rPr>
        <w:t>具有良好的商业信誉和健全的财务会计制度，提供2023年度</w:t>
      </w:r>
      <w:r>
        <w:rPr>
          <w:rFonts w:hint="eastAsia" w:ascii="仿宋" w:hAnsi="仿宋" w:eastAsia="仿宋" w:cs="仿宋_GB2312"/>
          <w:b/>
          <w:sz w:val="24"/>
          <w:szCs w:val="28"/>
          <w:highlight w:val="none"/>
          <w:lang w:val="en-US" w:eastAsia="zh-CN"/>
        </w:rPr>
        <w:t>或2024年度</w:t>
      </w:r>
      <w:r>
        <w:rPr>
          <w:rFonts w:hint="eastAsia" w:ascii="仿宋" w:hAnsi="仿宋" w:eastAsia="仿宋" w:cs="仿宋_GB2312"/>
          <w:b/>
          <w:sz w:val="24"/>
          <w:szCs w:val="28"/>
          <w:highlight w:val="none"/>
        </w:rPr>
        <w:t xml:space="preserve">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039639E">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lang w:val="en-US" w:eastAsia="zh-CN"/>
        </w:rPr>
        <w:t>2024年度</w:t>
      </w:r>
      <w:r>
        <w:rPr>
          <w:rFonts w:hint="eastAsia" w:ascii="仿宋" w:hAnsi="仿宋" w:eastAsia="仿宋" w:cs="仿宋"/>
          <w:color w:val="auto"/>
          <w:sz w:val="24"/>
          <w:szCs w:val="22"/>
          <w:highlight w:val="none"/>
          <w:lang w:eastAsia="zh-CN"/>
        </w:rPr>
        <w:t>经</w:t>
      </w:r>
      <w:r>
        <w:rPr>
          <w:rFonts w:hint="eastAsia" w:ascii="仿宋" w:hAnsi="仿宋" w:eastAsia="仿宋" w:cs="仿宋"/>
          <w:color w:val="auto"/>
          <w:sz w:val="24"/>
          <w:szCs w:val="22"/>
          <w:highlight w:val="none"/>
        </w:rPr>
        <w:t>审计的财务报告（成立时间至提交响应文件截止时间不足一年的可提供成立后任意时段的资产负债表），或提供投标截止日期前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6F49EBE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53F4A522">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6411B177">
      <w:pPr>
        <w:bidi w:val="0"/>
      </w:pPr>
    </w:p>
    <w:p w14:paraId="503C8F5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4" w:name="_Toc90658398"/>
      <w:bookmarkStart w:id="5" w:name="_Toc90656847"/>
      <w:bookmarkStart w:id="6" w:name="_Toc26544"/>
      <w:bookmarkStart w:id="7" w:name="_Toc27823"/>
      <w:bookmarkStart w:id="8" w:name="_Toc28742"/>
      <w:r>
        <w:rPr>
          <w:rFonts w:ascii="仿宋" w:hAnsi="仿宋" w:eastAsia="仿宋" w:cs="仿宋_GB2312"/>
          <w:b/>
          <w:sz w:val="24"/>
          <w:szCs w:val="28"/>
          <w:highlight w:val="none"/>
        </w:rPr>
        <w:t>3</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具有履行合同所必需的设备和专业技术能力；</w:t>
      </w:r>
      <w:bookmarkEnd w:id="4"/>
      <w:bookmarkEnd w:id="5"/>
      <w:bookmarkEnd w:id="6"/>
      <w:bookmarkEnd w:id="7"/>
      <w:bookmarkEnd w:id="8"/>
    </w:p>
    <w:p w14:paraId="06465D58">
      <w:pPr>
        <w:spacing w:line="360" w:lineRule="auto"/>
        <w:rPr>
          <w:rFonts w:hint="eastAsia" w:ascii="仿宋" w:hAnsi="仿宋" w:eastAsia="仿宋" w:cs="仿宋_GB2312"/>
          <w:sz w:val="24"/>
          <w:highlight w:val="none"/>
        </w:rPr>
      </w:pPr>
    </w:p>
    <w:p w14:paraId="4C96D109">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lang w:eastAsia="zh-CN"/>
        </w:rPr>
        <w:t>陕西省公安厅交通警察总队</w:t>
      </w:r>
    </w:p>
    <w:p w14:paraId="6F639FB8">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2C8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B819392">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14:paraId="20F43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67EF126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14:paraId="5A24A78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14:paraId="5B42EB89">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14:paraId="2136C41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14:paraId="1BAD468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14:paraId="5518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40DD0381">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14:paraId="38BFC59A">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466321F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1405FD3F">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4CCF3261">
            <w:pPr>
              <w:spacing w:line="360" w:lineRule="auto"/>
              <w:jc w:val="center"/>
              <w:rPr>
                <w:rFonts w:hint="eastAsia" w:ascii="仿宋" w:hAnsi="仿宋" w:eastAsia="仿宋" w:cs="仿宋_GB2312"/>
                <w:color w:val="000000"/>
                <w:sz w:val="24"/>
                <w:highlight w:val="none"/>
              </w:rPr>
            </w:pPr>
          </w:p>
        </w:tc>
      </w:tr>
      <w:tr w14:paraId="5139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37717913">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14:paraId="6AAB8A09">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6BD02A80">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3F4FE70B">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52AB175">
            <w:pPr>
              <w:spacing w:line="360" w:lineRule="auto"/>
              <w:jc w:val="center"/>
              <w:rPr>
                <w:rFonts w:hint="eastAsia" w:ascii="仿宋" w:hAnsi="仿宋" w:eastAsia="仿宋" w:cs="仿宋_GB2312"/>
                <w:color w:val="000000"/>
                <w:sz w:val="24"/>
                <w:highlight w:val="none"/>
              </w:rPr>
            </w:pPr>
          </w:p>
        </w:tc>
      </w:tr>
      <w:tr w14:paraId="273A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307195E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14:paraId="650AEAF1">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0B50B03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428FC887">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0767FA8">
            <w:pPr>
              <w:spacing w:line="360" w:lineRule="auto"/>
              <w:jc w:val="center"/>
              <w:rPr>
                <w:rFonts w:hint="eastAsia" w:ascii="仿宋" w:hAnsi="仿宋" w:eastAsia="仿宋" w:cs="仿宋_GB2312"/>
                <w:color w:val="000000"/>
                <w:sz w:val="24"/>
                <w:highlight w:val="none"/>
              </w:rPr>
            </w:pPr>
          </w:p>
        </w:tc>
      </w:tr>
      <w:tr w14:paraId="47FE9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628A99A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14:paraId="5E40B410">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11D63C7C">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7C04AD99">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6D3972BF">
            <w:pPr>
              <w:spacing w:line="360" w:lineRule="auto"/>
              <w:jc w:val="center"/>
              <w:rPr>
                <w:rFonts w:hint="eastAsia" w:ascii="仿宋" w:hAnsi="仿宋" w:eastAsia="仿宋" w:cs="仿宋_GB2312"/>
                <w:color w:val="000000"/>
                <w:sz w:val="24"/>
                <w:highlight w:val="none"/>
              </w:rPr>
            </w:pPr>
          </w:p>
        </w:tc>
      </w:tr>
    </w:tbl>
    <w:p w14:paraId="3F08FB6F">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4D208A73">
        <w:tblPrEx>
          <w:tblCellMar>
            <w:top w:w="0" w:type="dxa"/>
            <w:left w:w="108" w:type="dxa"/>
            <w:bottom w:w="0" w:type="dxa"/>
            <w:right w:w="108" w:type="dxa"/>
          </w:tblCellMar>
        </w:tblPrEx>
        <w:trPr>
          <w:trHeight w:val="680" w:hRule="atLeast"/>
        </w:trPr>
        <w:tc>
          <w:tcPr>
            <w:tcW w:w="2268" w:type="dxa"/>
            <w:noWrap w:val="0"/>
            <w:vAlign w:val="bottom"/>
          </w:tcPr>
          <w:p w14:paraId="39E853A5">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07D78AA">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18EBB6C">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41FB72A9">
        <w:tblPrEx>
          <w:tblCellMar>
            <w:top w:w="0" w:type="dxa"/>
            <w:left w:w="108" w:type="dxa"/>
            <w:bottom w:w="0" w:type="dxa"/>
            <w:right w:w="108" w:type="dxa"/>
          </w:tblCellMar>
        </w:tblPrEx>
        <w:trPr>
          <w:trHeight w:val="680" w:hRule="atLeast"/>
        </w:trPr>
        <w:tc>
          <w:tcPr>
            <w:tcW w:w="2268" w:type="dxa"/>
            <w:noWrap w:val="0"/>
            <w:vAlign w:val="bottom"/>
          </w:tcPr>
          <w:p w14:paraId="52C3F54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2A292135">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A38FF2E">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0513B102">
        <w:tblPrEx>
          <w:tblCellMar>
            <w:top w:w="0" w:type="dxa"/>
            <w:left w:w="108" w:type="dxa"/>
            <w:bottom w:w="0" w:type="dxa"/>
            <w:right w:w="108" w:type="dxa"/>
          </w:tblCellMar>
        </w:tblPrEx>
        <w:trPr>
          <w:trHeight w:val="680" w:hRule="atLeast"/>
        </w:trPr>
        <w:tc>
          <w:tcPr>
            <w:tcW w:w="2268" w:type="dxa"/>
            <w:noWrap w:val="0"/>
            <w:vAlign w:val="bottom"/>
          </w:tcPr>
          <w:p w14:paraId="3AE2D8FE">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03F0F2F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BCE4FA6">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2CB79E15">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9" w:name="_Toc90658399"/>
      <w:bookmarkStart w:id="10" w:name="_Toc90656848"/>
      <w:bookmarkStart w:id="11" w:name="_Toc23205"/>
      <w:bookmarkStart w:id="12" w:name="_Toc31689"/>
      <w:bookmarkStart w:id="13" w:name="_Toc26369"/>
      <w:r>
        <w:rPr>
          <w:rFonts w:hint="eastAsia" w:ascii="仿宋" w:hAnsi="仿宋" w:eastAsia="仿宋" w:cs="仿宋_GB2312"/>
          <w:b/>
          <w:sz w:val="24"/>
          <w:szCs w:val="28"/>
          <w:highlight w:val="none"/>
          <w:lang w:val="en-US" w:eastAsia="zh-CN"/>
        </w:rPr>
        <w:t>4、</w:t>
      </w:r>
      <w:r>
        <w:rPr>
          <w:rFonts w:hint="eastAsia" w:ascii="仿宋" w:hAnsi="仿宋" w:eastAsia="仿宋" w:cs="仿宋_GB2312"/>
          <w:b/>
          <w:sz w:val="24"/>
          <w:szCs w:val="28"/>
          <w:highlight w:val="none"/>
        </w:rPr>
        <w:t>具有依法缴纳税收和社会保障资金的良好记录</w:t>
      </w:r>
      <w:bookmarkEnd w:id="9"/>
      <w:bookmarkEnd w:id="10"/>
      <w:bookmarkStart w:id="14" w:name="_Toc90658400"/>
      <w:bookmarkStart w:id="15" w:name="_Toc90656849"/>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11"/>
      <w:bookmarkEnd w:id="12"/>
      <w:bookmarkEnd w:id="13"/>
      <w:bookmarkEnd w:id="14"/>
      <w:bookmarkEnd w:id="15"/>
    </w:p>
    <w:p w14:paraId="57D92F6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14:paraId="54AAD0C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14:paraId="4CA9C6E2">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14:paraId="1D6F96A2">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14:paraId="0312484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6" w:name="_Toc90658401"/>
      <w:bookmarkStart w:id="17" w:name="_Toc2436"/>
      <w:bookmarkStart w:id="18" w:name="_Toc15298"/>
      <w:bookmarkStart w:id="19" w:name="_Toc90656850"/>
      <w:bookmarkStart w:id="20" w:name="_Toc11331"/>
      <w:r>
        <w:rPr>
          <w:rFonts w:hint="eastAsia" w:ascii="仿宋" w:hAnsi="仿宋" w:eastAsia="仿宋" w:cs="仿宋_GB2312"/>
          <w:b/>
          <w:sz w:val="24"/>
          <w:szCs w:val="28"/>
          <w:highlight w:val="none"/>
          <w:lang w:val="en-US" w:eastAsia="zh-CN"/>
        </w:rPr>
        <w:t>5、</w:t>
      </w:r>
      <w:r>
        <w:rPr>
          <w:rFonts w:hint="eastAsia" w:ascii="仿宋" w:hAnsi="仿宋" w:eastAsia="仿宋" w:cs="仿宋_GB2312"/>
          <w:b/>
          <w:sz w:val="24"/>
          <w:szCs w:val="28"/>
          <w:highlight w:val="none"/>
        </w:rPr>
        <w:t>参加政府采购活动前三年内，在经营活动中没有重大违法记录</w:t>
      </w:r>
      <w:bookmarkEnd w:id="16"/>
      <w:bookmarkEnd w:id="17"/>
      <w:bookmarkEnd w:id="18"/>
      <w:bookmarkEnd w:id="19"/>
      <w:bookmarkEnd w:id="20"/>
    </w:p>
    <w:p w14:paraId="1734DD91">
      <w:pPr>
        <w:pStyle w:val="4"/>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14:paraId="1F68A5F3">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r>
        <w:rPr>
          <w:rFonts w:hint="eastAsia" w:ascii="仿宋" w:hAnsi="仿宋" w:eastAsia="仿宋" w:cs="仿宋_GB2312"/>
          <w:szCs w:val="24"/>
          <w:highlight w:val="none"/>
          <w:u w:val="single"/>
          <w:shd w:val="clear" w:color="auto" w:fill="FFFFFF"/>
          <w:lang w:eastAsia="zh-CN"/>
        </w:rPr>
        <w:t>陕西省公安厅交通警察总队</w:t>
      </w:r>
    </w:p>
    <w:p w14:paraId="5046CFF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30D559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0C74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14:paraId="320495B2">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14:paraId="0E585591">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14:paraId="4B1A7F8E">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如有不实，我方将无条件地退出本项目的采购活动，并遵照《</w:t>
      </w:r>
      <w:r>
        <w:rPr>
          <w:rFonts w:hint="eastAsia" w:ascii="仿宋" w:hAnsi="仿宋" w:eastAsia="仿宋" w:cs="仿宋_GB2312"/>
          <w:szCs w:val="24"/>
          <w:highlight w:val="none"/>
          <w:shd w:val="clear" w:color="auto" w:fill="FFFFFF"/>
          <w:lang w:val="en-US" w:eastAsia="zh-CN"/>
        </w:rPr>
        <w:t>中华人民共和国</w:t>
      </w:r>
      <w:r>
        <w:rPr>
          <w:rFonts w:hint="eastAsia" w:ascii="仿宋" w:hAnsi="仿宋" w:eastAsia="仿宋" w:cs="仿宋_GB2312"/>
          <w:szCs w:val="24"/>
          <w:highlight w:val="none"/>
          <w:shd w:val="clear" w:color="auto" w:fill="FFFFFF"/>
        </w:rPr>
        <w:t xml:space="preserve">政府采购法》有关“提供虚假材料的规定”接受处罚。 </w:t>
      </w:r>
    </w:p>
    <w:p w14:paraId="4263155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EBE0C75">
        <w:tblPrEx>
          <w:tblCellMar>
            <w:top w:w="0" w:type="dxa"/>
            <w:left w:w="108" w:type="dxa"/>
            <w:bottom w:w="0" w:type="dxa"/>
            <w:right w:w="108" w:type="dxa"/>
          </w:tblCellMar>
        </w:tblPrEx>
        <w:trPr>
          <w:trHeight w:val="680" w:hRule="atLeast"/>
        </w:trPr>
        <w:tc>
          <w:tcPr>
            <w:tcW w:w="2268" w:type="dxa"/>
            <w:noWrap w:val="0"/>
            <w:vAlign w:val="bottom"/>
          </w:tcPr>
          <w:p w14:paraId="1DA37B8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1E8DE6DD">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108B13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11F5957E">
        <w:tblPrEx>
          <w:tblCellMar>
            <w:top w:w="0" w:type="dxa"/>
            <w:left w:w="108" w:type="dxa"/>
            <w:bottom w:w="0" w:type="dxa"/>
            <w:right w:w="108" w:type="dxa"/>
          </w:tblCellMar>
        </w:tblPrEx>
        <w:trPr>
          <w:trHeight w:val="680" w:hRule="atLeast"/>
        </w:trPr>
        <w:tc>
          <w:tcPr>
            <w:tcW w:w="2268" w:type="dxa"/>
            <w:noWrap w:val="0"/>
            <w:vAlign w:val="bottom"/>
          </w:tcPr>
          <w:p w14:paraId="654E34AF">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02BDF55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582A93E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3E353BB0">
        <w:tblPrEx>
          <w:tblCellMar>
            <w:top w:w="0" w:type="dxa"/>
            <w:left w:w="108" w:type="dxa"/>
            <w:bottom w:w="0" w:type="dxa"/>
            <w:right w:w="108" w:type="dxa"/>
          </w:tblCellMar>
        </w:tblPrEx>
        <w:trPr>
          <w:trHeight w:val="680" w:hRule="atLeast"/>
        </w:trPr>
        <w:tc>
          <w:tcPr>
            <w:tcW w:w="2268" w:type="dxa"/>
            <w:noWrap w:val="0"/>
            <w:vAlign w:val="bottom"/>
          </w:tcPr>
          <w:p w14:paraId="47D2C390">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724030C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D7EB2C2">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4CC4ADC1">
      <w:pPr>
        <w:spacing w:line="360" w:lineRule="auto"/>
        <w:rPr>
          <w:rFonts w:hint="eastAsia" w:ascii="仿宋" w:hAnsi="仿宋" w:eastAsia="仿宋" w:cs="仿宋_GB2312"/>
          <w:sz w:val="24"/>
          <w:highlight w:val="none"/>
        </w:rPr>
      </w:pPr>
    </w:p>
    <w:p w14:paraId="2C854C49">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1" w:name="_Toc90656851"/>
      <w:bookmarkStart w:id="22" w:name="_Toc22550"/>
      <w:bookmarkStart w:id="23" w:name="_Toc2774"/>
      <w:bookmarkStart w:id="24" w:name="_Toc23092"/>
      <w:bookmarkStart w:id="25" w:name="_Toc90658402"/>
      <w:r>
        <w:rPr>
          <w:rFonts w:ascii="仿宋" w:hAnsi="仿宋" w:eastAsia="仿宋" w:cs="仿宋_GB2312"/>
          <w:b/>
          <w:sz w:val="24"/>
          <w:szCs w:val="28"/>
          <w:highlight w:val="none"/>
        </w:rPr>
        <w:t>6</w:t>
      </w:r>
      <w:r>
        <w:rPr>
          <w:rFonts w:hint="eastAsia" w:ascii="仿宋" w:hAnsi="仿宋" w:eastAsia="仿宋" w:cs="仿宋_GB2312"/>
          <w:b/>
          <w:sz w:val="24"/>
          <w:szCs w:val="28"/>
          <w:highlight w:val="none"/>
          <w:lang w:eastAsia="zh-CN"/>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_GB2312"/>
          <w:b/>
          <w:sz w:val="24"/>
          <w:szCs w:val="28"/>
          <w:highlight w:val="none"/>
        </w:rPr>
        <w:t>；</w:t>
      </w:r>
      <w:bookmarkEnd w:id="21"/>
      <w:bookmarkEnd w:id="22"/>
      <w:bookmarkEnd w:id="23"/>
      <w:bookmarkEnd w:id="24"/>
      <w:bookmarkEnd w:id="25"/>
    </w:p>
    <w:p w14:paraId="564D2DC0">
      <w:pPr>
        <w:spacing w:line="360" w:lineRule="auto"/>
        <w:rPr>
          <w:rFonts w:hint="eastAsia" w:ascii="仿宋" w:hAnsi="仿宋" w:eastAsia="仿宋" w:cs="仿宋_GB2312"/>
          <w:b/>
          <w:bCs/>
          <w:sz w:val="24"/>
          <w:highlight w:val="none"/>
        </w:rPr>
      </w:pPr>
    </w:p>
    <w:p w14:paraId="7EA51089">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14:paraId="3B997402">
      <w:pPr>
        <w:shd w:val="clear" w:color="auto" w:fill="FFFFFF"/>
        <w:spacing w:line="360" w:lineRule="auto"/>
        <w:ind w:firstLine="480"/>
        <w:jc w:val="left"/>
        <w:rPr>
          <w:rFonts w:hint="eastAsia" w:ascii="仿宋" w:hAnsi="仿宋" w:eastAsia="仿宋" w:cs="仿宋_GB2312"/>
          <w:sz w:val="24"/>
          <w:highlight w:val="none"/>
        </w:rPr>
      </w:pPr>
    </w:p>
    <w:p w14:paraId="41FC74D3">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14:paraId="28BB622E">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49A55643">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14:paraId="0F329F4D">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14:paraId="6741D768">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239E24CD">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14:paraId="0BFA3365">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14:paraId="1825E4AE">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78AACEDD">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14:paraId="2759B040">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07AD96E">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14:paraId="7262E5F5">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2E5045C">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5CD110D8">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14:paraId="1B497D6B">
      <w:pPr>
        <w:pStyle w:val="2"/>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14:paraId="62510E4B">
      <w:pPr>
        <w:spacing w:line="360" w:lineRule="auto"/>
        <w:rPr>
          <w:rFonts w:hint="eastAsia" w:ascii="仿宋" w:hAnsi="仿宋" w:eastAsia="仿宋" w:cs="仿宋_GB2312"/>
          <w:b/>
          <w:bCs/>
          <w:sz w:val="24"/>
          <w:highlight w:val="none"/>
        </w:rPr>
      </w:pPr>
    </w:p>
    <w:p w14:paraId="11598056">
      <w:pPr>
        <w:rPr>
          <w:rFonts w:hint="eastAsia" w:ascii="仿宋" w:hAnsi="仿宋" w:eastAsia="仿宋"/>
          <w:highlight w:val="none"/>
        </w:rPr>
      </w:pPr>
    </w:p>
    <w:p w14:paraId="321B5B41">
      <w:pPr>
        <w:rPr>
          <w:rFonts w:hint="eastAsia" w:ascii="仿宋" w:hAnsi="仿宋" w:eastAsia="仿宋"/>
          <w:highlight w:val="none"/>
        </w:rPr>
      </w:pPr>
    </w:p>
    <w:p w14:paraId="660823C0">
      <w:pPr>
        <w:rPr>
          <w:rFonts w:hint="eastAsia" w:ascii="仿宋" w:hAnsi="仿宋" w:eastAsia="仿宋"/>
          <w:highlight w:val="none"/>
        </w:rPr>
      </w:pPr>
    </w:p>
    <w:p w14:paraId="4FDBCEA2">
      <w:pPr>
        <w:rPr>
          <w:rFonts w:hint="eastAsia" w:ascii="仿宋" w:hAnsi="仿宋" w:eastAsia="仿宋"/>
          <w:highlight w:val="none"/>
        </w:rPr>
      </w:pPr>
    </w:p>
    <w:p w14:paraId="42AA4174">
      <w:pPr>
        <w:rPr>
          <w:rFonts w:hint="eastAsia" w:ascii="仿宋" w:hAnsi="仿宋" w:eastAsia="仿宋"/>
          <w:highlight w:val="none"/>
        </w:rPr>
      </w:pPr>
    </w:p>
    <w:p w14:paraId="33BEA672">
      <w:pPr>
        <w:spacing w:line="360" w:lineRule="auto"/>
        <w:jc w:val="center"/>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14:paraId="461ED330">
      <w:pPr>
        <w:spacing w:line="360" w:lineRule="auto"/>
        <w:rPr>
          <w:rFonts w:hint="eastAsia" w:ascii="仿宋" w:hAnsi="仿宋" w:eastAsia="仿宋" w:cs="仿宋"/>
          <w:sz w:val="24"/>
          <w:highlight w:val="none"/>
        </w:rPr>
      </w:pPr>
    </w:p>
    <w:p w14:paraId="49544E21">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14:paraId="395407B6">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14:paraId="11127991">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E9E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14:paraId="15A0F8A1">
            <w:pPr>
              <w:spacing w:line="360" w:lineRule="auto"/>
              <w:rPr>
                <w:rFonts w:hint="eastAsia" w:ascii="仿宋" w:hAnsi="仿宋" w:eastAsia="仿宋"/>
                <w:sz w:val="24"/>
                <w:highlight w:val="none"/>
              </w:rPr>
            </w:pPr>
          </w:p>
          <w:p w14:paraId="385E1611">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0DB1065">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41B00FAC">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14:paraId="0BA27EB1">
            <w:pPr>
              <w:spacing w:line="360" w:lineRule="auto"/>
              <w:rPr>
                <w:rFonts w:hint="eastAsia" w:ascii="仿宋" w:hAnsi="仿宋" w:eastAsia="仿宋"/>
                <w:sz w:val="24"/>
                <w:highlight w:val="none"/>
              </w:rPr>
            </w:pPr>
          </w:p>
          <w:p w14:paraId="1A6BF961">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6A29C10C">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3FA16E05">
            <w:pPr>
              <w:spacing w:line="360" w:lineRule="auto"/>
              <w:jc w:val="center"/>
              <w:rPr>
                <w:rFonts w:hint="eastAsia" w:ascii="仿宋" w:hAnsi="仿宋" w:eastAsia="仿宋"/>
                <w:sz w:val="24"/>
                <w:highlight w:val="none"/>
              </w:rPr>
            </w:pPr>
          </w:p>
        </w:tc>
      </w:tr>
      <w:tr w14:paraId="7224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5B1AFB80">
            <w:pPr>
              <w:spacing w:line="360" w:lineRule="auto"/>
              <w:jc w:val="center"/>
              <w:rPr>
                <w:rFonts w:hint="eastAsia" w:ascii="仿宋" w:hAnsi="仿宋" w:eastAsia="仿宋"/>
                <w:sz w:val="24"/>
                <w:highlight w:val="none"/>
              </w:rPr>
            </w:pPr>
          </w:p>
          <w:p w14:paraId="06733572">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419B631">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50949479">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14:paraId="78ABEBAE">
            <w:pPr>
              <w:spacing w:line="360" w:lineRule="auto"/>
              <w:jc w:val="center"/>
              <w:rPr>
                <w:rFonts w:hint="eastAsia" w:ascii="仿宋" w:hAnsi="仿宋" w:eastAsia="仿宋"/>
                <w:sz w:val="24"/>
                <w:highlight w:val="none"/>
              </w:rPr>
            </w:pPr>
          </w:p>
          <w:p w14:paraId="669D858E">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38A24650">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44B8A21D">
            <w:pPr>
              <w:spacing w:line="360" w:lineRule="auto"/>
              <w:jc w:val="center"/>
              <w:rPr>
                <w:rFonts w:hint="eastAsia" w:ascii="仿宋" w:hAnsi="仿宋" w:eastAsia="仿宋"/>
                <w:sz w:val="24"/>
                <w:highlight w:val="none"/>
              </w:rPr>
            </w:pPr>
          </w:p>
        </w:tc>
      </w:tr>
    </w:tbl>
    <w:p w14:paraId="50D9B7D6">
      <w:pPr>
        <w:spacing w:line="360" w:lineRule="auto"/>
        <w:rPr>
          <w:rFonts w:hint="eastAsia" w:ascii="仿宋" w:hAnsi="仿宋" w:eastAsia="仿宋"/>
          <w:sz w:val="24"/>
          <w:highlight w:val="none"/>
        </w:rPr>
      </w:pPr>
    </w:p>
    <w:p w14:paraId="6AD3624B">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14:paraId="1C581088">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14:paraId="26C8BDAE">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14:paraId="56E8DA05">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14:paraId="61EF144A">
      <w:pPr>
        <w:spacing w:line="360" w:lineRule="auto"/>
        <w:ind w:firstLine="480" w:firstLineChars="200"/>
        <w:rPr>
          <w:rFonts w:hint="eastAsia" w:ascii="仿宋" w:hAnsi="仿宋" w:eastAsia="仿宋" w:cs="仿宋_GB2312"/>
          <w:sz w:val="24"/>
          <w:highlight w:val="none"/>
        </w:rPr>
      </w:pPr>
    </w:p>
    <w:p w14:paraId="4A4EF584">
      <w:pPr>
        <w:spacing w:line="360" w:lineRule="auto"/>
        <w:ind w:firstLine="480" w:firstLineChars="200"/>
        <w:rPr>
          <w:rFonts w:hint="eastAsia" w:ascii="仿宋" w:hAnsi="仿宋" w:eastAsia="仿宋" w:cs="仿宋_GB2312"/>
          <w:sz w:val="24"/>
          <w:highlight w:val="none"/>
        </w:rPr>
      </w:pPr>
    </w:p>
    <w:p w14:paraId="014B873A">
      <w:pPr>
        <w:spacing w:line="360" w:lineRule="auto"/>
        <w:ind w:firstLine="480" w:firstLineChars="200"/>
        <w:rPr>
          <w:rFonts w:hint="eastAsia" w:ascii="仿宋" w:hAnsi="仿宋" w:eastAsia="仿宋" w:cs="仿宋_GB2312"/>
          <w:sz w:val="24"/>
          <w:highlight w:val="none"/>
        </w:rPr>
      </w:pPr>
    </w:p>
    <w:p w14:paraId="5ED4A7FB">
      <w:pPr>
        <w:spacing w:line="360" w:lineRule="auto"/>
        <w:ind w:firstLine="480" w:firstLineChars="200"/>
        <w:rPr>
          <w:rFonts w:hint="eastAsia" w:ascii="仿宋" w:hAnsi="仿宋" w:eastAsia="仿宋" w:cs="仿宋_GB2312"/>
          <w:sz w:val="24"/>
          <w:highlight w:val="none"/>
        </w:rPr>
      </w:pPr>
    </w:p>
    <w:p w14:paraId="24349D78">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7</w:t>
      </w:r>
      <w:r>
        <w:rPr>
          <w:rFonts w:hint="eastAsia" w:ascii="仿宋" w:hAnsi="仿宋" w:eastAsia="仿宋" w:cs="仿宋_GB2312"/>
          <w:b/>
          <w:sz w:val="24"/>
          <w:szCs w:val="28"/>
          <w:highlight w:val="none"/>
          <w:lang w:eastAsia="zh-CN"/>
        </w:rPr>
        <w:t>、拟派项目经理具备建筑工程专业注册建造师二级及以上（含二级）执业资格，并具有有效的安全生产考核合格证（B 证）,在本单位注册且无在建工程（承诺书）；</w:t>
      </w:r>
    </w:p>
    <w:p w14:paraId="357819D6">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7-1拟派项目经理具备建筑工程专业注册建造师二级及以上（含二级）执业资格，并具有有效的安全生产考核合格证（B 证）</w:t>
      </w: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7-2</w:t>
      </w:r>
      <w:r>
        <w:rPr>
          <w:rFonts w:hint="eastAsia" w:ascii="仿宋" w:hAnsi="仿宋" w:eastAsia="仿宋" w:cs="仿宋"/>
          <w:b/>
          <w:bCs/>
          <w:sz w:val="24"/>
          <w:szCs w:val="24"/>
        </w:rPr>
        <w:t>拟派项目经理无在建工程承诺书</w:t>
      </w:r>
    </w:p>
    <w:p w14:paraId="071C9B44">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14:paraId="69CFA219">
      <w:pPr>
        <w:pStyle w:val="2"/>
        <w:autoSpaceDE w:val="0"/>
        <w:autoSpaceDN w:val="0"/>
        <w:spacing w:line="360" w:lineRule="auto"/>
        <w:rPr>
          <w:rFonts w:ascii="仿宋" w:hAnsi="仿宋" w:eastAsia="仿宋"/>
          <w:b/>
          <w:sz w:val="24"/>
          <w:szCs w:val="28"/>
        </w:rPr>
      </w:pPr>
    </w:p>
    <w:p w14:paraId="4A61FD1C">
      <w:pPr>
        <w:tabs>
          <w:tab w:val="left" w:pos="1755"/>
        </w:tabs>
        <w:autoSpaceDE w:val="0"/>
        <w:autoSpaceDN w:val="0"/>
        <w:spacing w:line="360" w:lineRule="auto"/>
        <w:rPr>
          <w:rFonts w:hint="eastAsia" w:ascii="仿宋" w:hAnsi="仿宋" w:eastAsia="仿宋"/>
          <w:sz w:val="24"/>
          <w:szCs w:val="28"/>
          <w:lang w:eastAsia="zh-CN"/>
        </w:rPr>
      </w:pPr>
      <w:r>
        <w:rPr>
          <w:rFonts w:hint="eastAsia" w:ascii="仿宋" w:hAnsi="仿宋" w:eastAsia="仿宋"/>
          <w:sz w:val="24"/>
          <w:szCs w:val="28"/>
          <w:u w:val="single"/>
        </w:rPr>
        <w:t>致：</w:t>
      </w:r>
      <w:r>
        <w:rPr>
          <w:rFonts w:hint="eastAsia" w:ascii="仿宋" w:hAnsi="仿宋" w:eastAsia="仿宋"/>
          <w:sz w:val="24"/>
          <w:szCs w:val="28"/>
          <w:u w:val="single"/>
          <w:lang w:eastAsia="zh-CN"/>
        </w:rPr>
        <w:t>陕西省公安厅交通警察总队</w:t>
      </w:r>
    </w:p>
    <w:p w14:paraId="49E7353F">
      <w:pPr>
        <w:pStyle w:val="2"/>
        <w:autoSpaceDE w:val="0"/>
        <w:autoSpaceDN w:val="0"/>
        <w:spacing w:line="360" w:lineRule="auto"/>
        <w:rPr>
          <w:rFonts w:ascii="仿宋" w:hAnsi="仿宋" w:eastAsia="仿宋"/>
          <w:sz w:val="24"/>
          <w:szCs w:val="28"/>
        </w:rPr>
      </w:pPr>
    </w:p>
    <w:p w14:paraId="258C9B9E">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w:t>
      </w:r>
      <w:r>
        <w:rPr>
          <w:rFonts w:hint="eastAsia" w:ascii="仿宋" w:hAnsi="仿宋" w:eastAsia="仿宋"/>
          <w:sz w:val="24"/>
          <w:szCs w:val="28"/>
          <w:lang w:val="en-US" w:eastAsia="zh-CN"/>
        </w:rPr>
        <w:t>、职称证</w:t>
      </w:r>
      <w:r>
        <w:rPr>
          <w:rFonts w:ascii="仿宋" w:hAnsi="仿宋" w:eastAsia="仿宋"/>
          <w:sz w:val="24"/>
          <w:szCs w:val="28"/>
        </w:rPr>
        <w:t>）现阶段没有担任任何在施建设工程项目的项目经理。</w:t>
      </w:r>
    </w:p>
    <w:p w14:paraId="7AA5B75B">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14:paraId="75CD6167">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14:paraId="72A1F3EE"/>
    <w:p w14:paraId="701831F2">
      <w:pPr>
        <w:bidi w:val="0"/>
      </w:pPr>
    </w:p>
    <w:p w14:paraId="31424F0C"/>
    <w:p w14:paraId="600FBD65">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400E1A9">
        <w:tblPrEx>
          <w:tblCellMar>
            <w:top w:w="0" w:type="dxa"/>
            <w:left w:w="108" w:type="dxa"/>
            <w:bottom w:w="0" w:type="dxa"/>
            <w:right w:w="108" w:type="dxa"/>
          </w:tblCellMar>
        </w:tblPrEx>
        <w:trPr>
          <w:trHeight w:val="680" w:hRule="atLeast"/>
        </w:trPr>
        <w:tc>
          <w:tcPr>
            <w:tcW w:w="2268" w:type="dxa"/>
            <w:noWrap w:val="0"/>
            <w:vAlign w:val="bottom"/>
          </w:tcPr>
          <w:p w14:paraId="66805E42">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5F9DBEED">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24B739D">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7205128D">
        <w:tblPrEx>
          <w:tblCellMar>
            <w:top w:w="0" w:type="dxa"/>
            <w:left w:w="108" w:type="dxa"/>
            <w:bottom w:w="0" w:type="dxa"/>
            <w:right w:w="108" w:type="dxa"/>
          </w:tblCellMar>
        </w:tblPrEx>
        <w:trPr>
          <w:trHeight w:val="680" w:hRule="atLeast"/>
        </w:trPr>
        <w:tc>
          <w:tcPr>
            <w:tcW w:w="2268" w:type="dxa"/>
            <w:noWrap w:val="0"/>
            <w:vAlign w:val="bottom"/>
          </w:tcPr>
          <w:p w14:paraId="25B3D33D">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20168584">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56244A98">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2693203E">
        <w:tblPrEx>
          <w:tblCellMar>
            <w:top w:w="0" w:type="dxa"/>
            <w:left w:w="108" w:type="dxa"/>
            <w:bottom w:w="0" w:type="dxa"/>
            <w:right w:w="108" w:type="dxa"/>
          </w:tblCellMar>
        </w:tblPrEx>
        <w:trPr>
          <w:trHeight w:val="680" w:hRule="atLeast"/>
        </w:trPr>
        <w:tc>
          <w:tcPr>
            <w:tcW w:w="2268" w:type="dxa"/>
            <w:noWrap w:val="0"/>
            <w:vAlign w:val="bottom"/>
          </w:tcPr>
          <w:p w14:paraId="4C64D3F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7D10E1D4">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777475E">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10E50E42">
      <w:pPr>
        <w:numPr>
          <w:ilvl w:val="0"/>
          <w:numId w:val="0"/>
        </w:numPr>
        <w:spacing w:line="360" w:lineRule="auto"/>
        <w:outlineLvl w:val="1"/>
        <w:rPr>
          <w:rFonts w:hint="eastAsia" w:ascii="仿宋" w:hAnsi="仿宋" w:eastAsia="仿宋" w:cs="仿宋_GB2312"/>
          <w:b/>
          <w:sz w:val="24"/>
          <w:szCs w:val="28"/>
          <w:highlight w:val="none"/>
          <w:lang w:val="en-US" w:eastAsia="zh-CN"/>
        </w:rPr>
      </w:pPr>
    </w:p>
    <w:p w14:paraId="41A168A6">
      <w:pPr>
        <w:rPr>
          <w:rFonts w:hint="eastAsia"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br w:type="page"/>
      </w:r>
    </w:p>
    <w:p w14:paraId="034C0921">
      <w:pPr>
        <w:keepNext w:val="0"/>
        <w:keepLines w:val="0"/>
        <w:widowControl/>
        <w:suppressLineNumbers w:val="0"/>
        <w:jc w:val="left"/>
        <w:rPr>
          <w:rFonts w:hint="eastAsia" w:ascii="仿宋" w:hAnsi="仿宋" w:eastAsia="仿宋" w:cs="仿宋_GB2312"/>
          <w:bCs/>
          <w:sz w:val="24"/>
          <w:szCs w:val="28"/>
          <w:highlight w:val="none"/>
          <w:lang w:eastAsia="zh-CN"/>
        </w:rPr>
      </w:pPr>
      <w:r>
        <w:rPr>
          <w:rFonts w:hint="eastAsia" w:ascii="仿宋" w:hAnsi="仿宋" w:eastAsia="仿宋" w:cs="仿宋_GB2312"/>
          <w:b/>
          <w:sz w:val="24"/>
          <w:szCs w:val="28"/>
          <w:highlight w:val="none"/>
          <w:lang w:val="en-US" w:eastAsia="zh-CN"/>
        </w:rPr>
        <w:t>8、</w:t>
      </w:r>
      <w:r>
        <w:rPr>
          <w:rFonts w:hint="eastAsia" w:ascii="仿宋" w:hAnsi="仿宋" w:eastAsia="仿宋" w:cs="仿宋_GB2312"/>
          <w:b/>
          <w:sz w:val="24"/>
          <w:szCs w:val="28"/>
          <w:highlight w:val="none"/>
          <w:lang w:eastAsia="zh-CN"/>
        </w:rPr>
        <w:t>具有有效的</w:t>
      </w:r>
      <w:r>
        <w:rPr>
          <w:rFonts w:hint="eastAsia" w:ascii="仿宋" w:hAnsi="仿宋" w:eastAsia="仿宋" w:cs="仿宋_GB2312"/>
          <w:color w:val="000000"/>
          <w:sz w:val="24"/>
          <w:szCs w:val="24"/>
          <w:highlight w:val="none"/>
          <w:lang w:val="en-US" w:eastAsia="zh-CN"/>
        </w:rPr>
        <w:t>【</w:t>
      </w:r>
      <w:r>
        <w:rPr>
          <w:rFonts w:hint="eastAsia" w:ascii="仿宋" w:hAnsi="仿宋" w:eastAsia="仿宋" w:cs="仿宋_GB2312"/>
          <w:b/>
          <w:sz w:val="24"/>
          <w:szCs w:val="28"/>
          <w:highlight w:val="none"/>
          <w:lang w:val="en-US" w:eastAsia="zh-CN"/>
        </w:rPr>
        <w:t>消防设施工程专业承包二级及建筑装修装饰工程专业承包二级】及以上（含二级）资质</w:t>
      </w:r>
      <w:r>
        <w:rPr>
          <w:rFonts w:hint="eastAsia" w:ascii="仿宋" w:hAnsi="仿宋" w:eastAsia="仿宋" w:cs="仿宋_GB2312"/>
          <w:b/>
          <w:sz w:val="24"/>
          <w:szCs w:val="28"/>
          <w:highlight w:val="none"/>
          <w:lang w:eastAsia="zh-CN"/>
        </w:rPr>
        <w:t>，并具备有效的安全生产许可证；</w:t>
      </w:r>
    </w:p>
    <w:p w14:paraId="7618202A">
      <w:pPr>
        <w:bidi w:val="0"/>
      </w:pPr>
      <w:r>
        <w:rPr>
          <w:rFonts w:ascii="仿宋" w:hAnsi="仿宋" w:eastAsia="仿宋" w:cs="仿宋_GB2312"/>
          <w:bCs/>
          <w:sz w:val="24"/>
          <w:szCs w:val="28"/>
          <w:highlight w:val="none"/>
        </w:rPr>
        <w:br w:type="page"/>
      </w:r>
    </w:p>
    <w:p w14:paraId="2F0D45ED">
      <w:pPr>
        <w:bidi w:val="0"/>
      </w:pPr>
      <w:r>
        <w:br w:type="page"/>
      </w:r>
      <w:bookmarkStart w:id="26" w:name="_Toc8957"/>
      <w:bookmarkStart w:id="27" w:name="_Toc20227"/>
    </w:p>
    <w:p w14:paraId="42D32B8D">
      <w:pPr>
        <w:spacing w:line="360" w:lineRule="auto"/>
        <w:outlineLvl w:val="1"/>
        <w:rPr>
          <w:rFonts w:hint="default"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t>9、本项目为专门面向中小企业采购的采购项目，仅限符合《政府采购促进中小企业发展办法》（财库〔2020〕46 号）条件的中小企业参与，投标人应填写中小企业声明函并对真实性负责</w:t>
      </w:r>
    </w:p>
    <w:p w14:paraId="7851918B">
      <w:pPr>
        <w:bidi w:val="0"/>
        <w:jc w:val="center"/>
        <w:rPr>
          <w:rFonts w:hint="eastAsia" w:ascii="仿宋" w:hAnsi="仿宋" w:eastAsia="仿宋" w:cs="仿宋"/>
          <w:b/>
          <w:bCs/>
          <w:sz w:val="36"/>
          <w:szCs w:val="44"/>
        </w:rPr>
      </w:pPr>
      <w:bookmarkStart w:id="28" w:name="_Toc14426"/>
      <w:r>
        <w:rPr>
          <w:rFonts w:hint="eastAsia" w:ascii="仿宋" w:hAnsi="仿宋" w:eastAsia="仿宋" w:cs="仿宋"/>
          <w:b/>
          <w:bCs/>
          <w:sz w:val="36"/>
          <w:szCs w:val="44"/>
        </w:rPr>
        <w:t>中小企业声明函（工程）</w:t>
      </w:r>
      <w:bookmarkEnd w:id="28"/>
    </w:p>
    <w:p w14:paraId="5CB0AFFA">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bidi="ar"/>
        </w:rPr>
        <w:t>（单位名称）</w:t>
      </w:r>
      <w:r>
        <w:rPr>
          <w:rFonts w:hint="eastAsia" w:ascii="仿宋" w:hAnsi="仿宋" w:eastAsia="仿宋" w:cs="仿宋"/>
          <w:color w:val="auto"/>
          <w:kern w:val="0"/>
          <w:sz w:val="24"/>
          <w:szCs w:val="24"/>
          <w:highlight w:val="none"/>
          <w:lang w:bidi="ar"/>
        </w:rPr>
        <w:t>的</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9A7AD67">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1. </w:t>
      </w:r>
      <w:r>
        <w:rPr>
          <w:rFonts w:hint="eastAsia" w:ascii="仿宋" w:hAnsi="仿宋" w:eastAsia="仿宋" w:cs="仿宋"/>
          <w:i/>
          <w:iCs/>
          <w:color w:val="auto"/>
          <w:kern w:val="0"/>
          <w:sz w:val="24"/>
          <w:szCs w:val="24"/>
          <w:highlight w:val="none"/>
          <w:u w:val="single"/>
          <w:lang w:bidi="ar"/>
        </w:rPr>
        <w:t xml:space="preserve">（标的名称） </w:t>
      </w:r>
      <w:r>
        <w:rPr>
          <w:rFonts w:hint="eastAsia" w:ascii="仿宋" w:hAnsi="仿宋" w:eastAsia="仿宋" w:cs="仿宋"/>
          <w:color w:val="auto"/>
          <w:kern w:val="0"/>
          <w:sz w:val="24"/>
          <w:szCs w:val="24"/>
          <w:highlight w:val="none"/>
          <w:lang w:bidi="ar"/>
        </w:rPr>
        <w:t>，属于</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i/>
          <w:iCs/>
          <w:color w:val="auto"/>
          <w:kern w:val="0"/>
          <w:sz w:val="24"/>
          <w:szCs w:val="24"/>
          <w:highlight w:val="none"/>
          <w:u w:val="single"/>
          <w:lang w:val="en-US" w:eastAsia="zh-CN" w:bidi="ar"/>
        </w:rPr>
        <w:t>建筑业</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color w:val="auto"/>
          <w:kern w:val="0"/>
          <w:sz w:val="24"/>
          <w:szCs w:val="24"/>
          <w:highlight w:val="none"/>
          <w:lang w:bidi="ar"/>
        </w:rPr>
        <w:t>；承建（承接）企业为</w:t>
      </w:r>
      <w:r>
        <w:rPr>
          <w:rFonts w:hint="eastAsia" w:ascii="仿宋" w:hAnsi="仿宋" w:eastAsia="仿宋" w:cs="仿宋"/>
          <w:i/>
          <w:iCs/>
          <w:color w:val="auto"/>
          <w:kern w:val="0"/>
          <w:sz w:val="24"/>
          <w:szCs w:val="24"/>
          <w:highlight w:val="none"/>
          <w:u w:val="single"/>
          <w:lang w:bidi="ar"/>
        </w:rPr>
        <w:t>（企业名称）</w:t>
      </w:r>
      <w:r>
        <w:rPr>
          <w:rFonts w:hint="eastAsia" w:ascii="仿宋" w:hAnsi="仿宋" w:eastAsia="仿宋" w:cs="仿宋"/>
          <w:color w:val="auto"/>
          <w:kern w:val="0"/>
          <w:sz w:val="24"/>
          <w:szCs w:val="24"/>
          <w:highlight w:val="none"/>
          <w:lang w:bidi="ar"/>
        </w:rPr>
        <w:t>，从业人员</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人，营业收入为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万元，资产总额为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万元，属于</w:t>
      </w:r>
      <w:r>
        <w:rPr>
          <w:rFonts w:hint="eastAsia" w:ascii="仿宋" w:hAnsi="仿宋" w:eastAsia="仿宋" w:cs="仿宋"/>
          <w:i/>
          <w:iCs/>
          <w:color w:val="auto"/>
          <w:kern w:val="0"/>
          <w:sz w:val="24"/>
          <w:szCs w:val="24"/>
          <w:highlight w:val="none"/>
          <w:u w:val="single"/>
          <w:lang w:bidi="ar"/>
        </w:rPr>
        <w:t>（中型企业、小型企业、微型企业）</w:t>
      </w:r>
      <w:r>
        <w:rPr>
          <w:rFonts w:hint="eastAsia" w:ascii="仿宋" w:hAnsi="仿宋" w:eastAsia="仿宋" w:cs="仿宋"/>
          <w:color w:val="auto"/>
          <w:kern w:val="0"/>
          <w:sz w:val="24"/>
          <w:szCs w:val="24"/>
          <w:highlight w:val="none"/>
          <w:lang w:bidi="ar"/>
        </w:rPr>
        <w:t xml:space="preserve">； </w:t>
      </w:r>
    </w:p>
    <w:p w14:paraId="30162E51">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w:t>
      </w:r>
    </w:p>
    <w:p w14:paraId="145BD278">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以上企业，不属于大企业的分支机构，不存在控股股东为大企业的情形，也不存在与大企业的负责人为同一人的情形。</w:t>
      </w:r>
    </w:p>
    <w:p w14:paraId="655EDF85">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本企业对上述声明内容的真实性负责。如有虚假，将依 法承担相应责任。 </w:t>
      </w:r>
    </w:p>
    <w:p w14:paraId="53FE9369">
      <w:pPr>
        <w:widowControl/>
        <w:spacing w:line="360" w:lineRule="auto"/>
        <w:jc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 xml:space="preserve">                 </w:t>
      </w:r>
    </w:p>
    <w:p w14:paraId="54D92580">
      <w:pPr>
        <w:widowControl/>
        <w:spacing w:line="360" w:lineRule="auto"/>
        <w:jc w:val="center"/>
        <w:rPr>
          <w:rFonts w:hint="eastAsia" w:ascii="仿宋" w:hAnsi="仿宋" w:eastAsia="仿宋" w:cs="仿宋"/>
          <w:color w:val="auto"/>
          <w:kern w:val="0"/>
          <w:sz w:val="24"/>
          <w:szCs w:val="24"/>
          <w:highlight w:val="none"/>
          <w:lang w:bidi="ar"/>
        </w:rPr>
      </w:pPr>
    </w:p>
    <w:p w14:paraId="208873A1">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企业名称（盖章）：</w:t>
      </w:r>
    </w:p>
    <w:p w14:paraId="2C18BA35">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日 期：</w:t>
      </w:r>
    </w:p>
    <w:p w14:paraId="7A9C6E86">
      <w:pPr>
        <w:widowControl/>
        <w:spacing w:line="360" w:lineRule="auto"/>
        <w:jc w:val="left"/>
        <w:rPr>
          <w:rFonts w:hint="eastAsia" w:ascii="仿宋" w:hAnsi="仿宋" w:eastAsia="仿宋" w:cs="仿宋"/>
          <w:color w:val="auto"/>
          <w:sz w:val="24"/>
          <w:szCs w:val="24"/>
          <w:highlight w:val="none"/>
        </w:rPr>
      </w:pPr>
    </w:p>
    <w:p w14:paraId="75098344">
      <w:pPr>
        <w:rPr>
          <w:rFonts w:hint="eastAsia" w:ascii="仿宋" w:hAnsi="仿宋" w:eastAsia="仿宋" w:cs="仿宋"/>
          <w:color w:val="auto"/>
          <w:highlight w:val="none"/>
        </w:rPr>
      </w:pPr>
      <w:bookmarkStart w:id="29" w:name="_Toc12018"/>
      <w:r>
        <w:rPr>
          <w:rFonts w:hint="eastAsia" w:ascii="仿宋" w:hAnsi="仿宋" w:eastAsia="仿宋" w:cs="仿宋"/>
          <w:color w:val="auto"/>
          <w:kern w:val="0"/>
          <w:szCs w:val="21"/>
          <w:highlight w:val="none"/>
          <w:lang w:bidi="ar"/>
        </w:rPr>
        <w:t>从业人员、营业收入、资产总额填报上一年度数据，无上一年度数据的新成立企业可不填报。</w:t>
      </w:r>
      <w:bookmarkEnd w:id="29"/>
    </w:p>
    <w:p w14:paraId="778B19A8">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val="en-US" w:eastAsia="zh-CN"/>
        </w:rPr>
        <w:t>建筑</w:t>
      </w:r>
      <w:r>
        <w:rPr>
          <w:rFonts w:hint="eastAsia" w:ascii="仿宋" w:hAnsi="仿宋" w:eastAsia="仿宋" w:cs="仿宋"/>
          <w:b/>
          <w:bCs/>
          <w:color w:val="36363D"/>
          <w:sz w:val="24"/>
          <w:szCs w:val="40"/>
          <w:lang w:eastAsia="zh-CN"/>
        </w:rPr>
        <w:t>业</w:t>
      </w:r>
      <w:r>
        <w:rPr>
          <w:rFonts w:hint="eastAsia" w:ascii="仿宋" w:hAnsi="仿宋" w:eastAsia="仿宋" w:cs="仿宋"/>
          <w:b/>
          <w:bCs/>
          <w:color w:val="36363D"/>
          <w:sz w:val="24"/>
          <w:szCs w:val="40"/>
        </w:rPr>
        <w:t>。</w:t>
      </w:r>
    </w:p>
    <w:p w14:paraId="2AB2AEBC">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21F4EDE">
      <w:pPr>
        <w:widowControl/>
        <w:spacing w:line="360" w:lineRule="auto"/>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本表所属行业不允更改，更改将导致无法认定。</w:t>
      </w:r>
      <w:r>
        <w:rPr>
          <w:rFonts w:hint="eastAsia" w:ascii="仿宋" w:hAnsi="仿宋" w:eastAsia="仿宋" w:cs="仿宋"/>
          <w:color w:val="000000"/>
          <w:kern w:val="0"/>
          <w:sz w:val="24"/>
          <w:szCs w:val="24"/>
          <w:lang w:val="en-US" w:eastAsia="zh-CN"/>
        </w:rPr>
        <w:t>系统自带的中小企业声明函必须依照该标准进行判断。</w:t>
      </w:r>
    </w:p>
    <w:p w14:paraId="4B2E1777">
      <w:pPr>
        <w:bidi w:val="0"/>
        <w:rPr>
          <w:rFonts w:hint="eastAsia"/>
          <w:lang w:val="en-US" w:eastAsia="zh-CN"/>
        </w:rPr>
      </w:pPr>
    </w:p>
    <w:p w14:paraId="1D684210">
      <w:pPr>
        <w:rPr>
          <w:rFonts w:hint="eastAsia"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br w:type="page"/>
      </w:r>
    </w:p>
    <w:p w14:paraId="456791B4">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lang w:val="en-US" w:eastAsia="zh-CN"/>
        </w:rPr>
        <w:t>10、</w:t>
      </w:r>
      <w:r>
        <w:rPr>
          <w:rFonts w:hint="eastAsia" w:ascii="仿宋" w:hAnsi="仿宋" w:eastAsia="仿宋" w:cs="仿宋_GB2312"/>
          <w:b/>
          <w:sz w:val="24"/>
          <w:szCs w:val="28"/>
          <w:highlight w:val="none"/>
        </w:rPr>
        <w:t>本项目不接受联合体磋商。</w:t>
      </w:r>
      <w:bookmarkEnd w:id="26"/>
      <w:bookmarkEnd w:id="27"/>
    </w:p>
    <w:p w14:paraId="1907A8D4">
      <w:pPr>
        <w:rPr>
          <w:highlight w:val="none"/>
        </w:rPr>
      </w:pPr>
    </w:p>
    <w:p w14:paraId="6EC23D3F">
      <w:pPr>
        <w:pStyle w:val="4"/>
        <w:wordWrap w:val="0"/>
        <w:spacing w:before="0" w:beforeAutospacing="0" w:after="0" w:afterAutospacing="0" w:line="360" w:lineRule="auto"/>
        <w:rPr>
          <w:rFonts w:ascii="仿宋" w:hAnsi="仿宋" w:eastAsia="仿宋" w:cs="仿宋_GB2312"/>
          <w:szCs w:val="24"/>
          <w:highlight w:val="none"/>
          <w:u w:val="single"/>
          <w:shd w:val="clear" w:color="auto" w:fill="FFFFFF"/>
        </w:rPr>
      </w:pPr>
    </w:p>
    <w:p w14:paraId="439773B4">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r>
        <w:rPr>
          <w:rFonts w:hint="eastAsia" w:ascii="仿宋" w:hAnsi="仿宋" w:eastAsia="仿宋" w:cs="仿宋_GB2312"/>
          <w:szCs w:val="24"/>
          <w:highlight w:val="none"/>
          <w:u w:val="single"/>
          <w:shd w:val="clear" w:color="auto" w:fill="FFFFFF"/>
          <w:lang w:eastAsia="zh-CN"/>
        </w:rPr>
        <w:t>陕西省公安厅交通警察总队</w:t>
      </w:r>
    </w:p>
    <w:p w14:paraId="255DE2D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5D716776">
      <w:pPr>
        <w:pStyle w:val="4"/>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14:paraId="4766602B">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14:paraId="71550141">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2241C17">
        <w:tblPrEx>
          <w:tblCellMar>
            <w:top w:w="0" w:type="dxa"/>
            <w:left w:w="108" w:type="dxa"/>
            <w:bottom w:w="0" w:type="dxa"/>
            <w:right w:w="108" w:type="dxa"/>
          </w:tblCellMar>
        </w:tblPrEx>
        <w:trPr>
          <w:trHeight w:val="680" w:hRule="atLeast"/>
        </w:trPr>
        <w:tc>
          <w:tcPr>
            <w:tcW w:w="2268" w:type="dxa"/>
            <w:noWrap w:val="0"/>
            <w:vAlign w:val="bottom"/>
          </w:tcPr>
          <w:p w14:paraId="33609F17">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512AA4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5E4C930">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22C63D1D">
        <w:tblPrEx>
          <w:tblCellMar>
            <w:top w:w="0" w:type="dxa"/>
            <w:left w:w="108" w:type="dxa"/>
            <w:bottom w:w="0" w:type="dxa"/>
            <w:right w:w="108" w:type="dxa"/>
          </w:tblCellMar>
        </w:tblPrEx>
        <w:trPr>
          <w:trHeight w:val="680" w:hRule="atLeast"/>
        </w:trPr>
        <w:tc>
          <w:tcPr>
            <w:tcW w:w="2268" w:type="dxa"/>
            <w:noWrap w:val="0"/>
            <w:vAlign w:val="bottom"/>
          </w:tcPr>
          <w:p w14:paraId="516A89D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3FC4398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7F586F58">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1E1CBDBF">
        <w:tblPrEx>
          <w:tblCellMar>
            <w:top w:w="0" w:type="dxa"/>
            <w:left w:w="108" w:type="dxa"/>
            <w:bottom w:w="0" w:type="dxa"/>
            <w:right w:w="108" w:type="dxa"/>
          </w:tblCellMar>
        </w:tblPrEx>
        <w:trPr>
          <w:trHeight w:val="680" w:hRule="atLeast"/>
        </w:trPr>
        <w:tc>
          <w:tcPr>
            <w:tcW w:w="2268" w:type="dxa"/>
            <w:noWrap w:val="0"/>
            <w:vAlign w:val="bottom"/>
          </w:tcPr>
          <w:p w14:paraId="036D9952">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2134367E">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6EF8B5B">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6D4BC3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 w:name="KSO_WPS_MARK_KEY" w:val="9432659c-9b54-41b4-84a0-7de9e3e5189f"/>
  </w:docVars>
  <w:rsids>
    <w:rsidRoot w:val="04E725CA"/>
    <w:rsid w:val="03F4527E"/>
    <w:rsid w:val="04E725CA"/>
    <w:rsid w:val="06B26AF0"/>
    <w:rsid w:val="08843F0D"/>
    <w:rsid w:val="1AE72091"/>
    <w:rsid w:val="2F124686"/>
    <w:rsid w:val="33D23548"/>
    <w:rsid w:val="42795383"/>
    <w:rsid w:val="457C0654"/>
    <w:rsid w:val="573126B7"/>
    <w:rsid w:val="659430C0"/>
    <w:rsid w:val="722577FA"/>
    <w:rsid w:val="792B5023"/>
    <w:rsid w:val="7EC34622"/>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Normal (Web)"/>
    <w:basedOn w:val="1"/>
    <w:qFormat/>
    <w:uiPriority w:val="99"/>
    <w:pPr>
      <w:widowControl/>
      <w:spacing w:before="100" w:beforeAutospacing="1" w:after="100" w:afterAutospacing="1"/>
      <w:jc w:val="left"/>
    </w:pPr>
    <w:rPr>
      <w:rFonts w:ascii="宋体" w:hAnsi="宋体"/>
      <w:kern w:val="0"/>
      <w:sz w:val="24"/>
      <w:szCs w:val="20"/>
    </w:rPr>
  </w:style>
  <w:style w:type="paragraph" w:styleId="5">
    <w:name w:val="Body Text First Indent 2"/>
    <w:basedOn w:val="3"/>
    <w:qFormat/>
    <w:uiPriority w:val="99"/>
    <w:pPr>
      <w:ind w:firstLine="420"/>
    </w:pPr>
    <w:rPr>
      <w:rFonts w:eastAsia="宋体" w:cs="Times New Roman"/>
      <w:spacing w:val="0"/>
      <w:kern w:val="0"/>
      <w:sz w:val="24"/>
      <w:szCs w:val="20"/>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3721</Words>
  <Characters>3784</Characters>
  <Lines>0</Lines>
  <Paragraphs>0</Paragraphs>
  <TotalTime>9</TotalTime>
  <ScaleCrop>false</ScaleCrop>
  <LinksUpToDate>false</LinksUpToDate>
  <CharactersWithSpaces>4745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风之子</cp:lastModifiedBy>
  <dcterms:modified xsi:type="dcterms:W3CDTF">2025-08-07T01:50:53Z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79E210E3FDAF4FDDA70D79F1FFF23045_11</vt:lpwstr>
  </property>
  <property fmtid="{D5CDD505-2E9C-101B-9397-08002B2CF9AE}" pid="4" name="KSOTemplateDocerSaveRecord">
    <vt:lpwstr>eyJoZGlkIjoiMjlhMWYzZmRiYjczOWZmODc4ZTQyNzhhMDM5YzUxMDkiLCJ1c2VySWQiOiIxMTc2MzgzNDQ0In0=</vt:lpwstr>
  </property>
</Properties>
</file>