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A151F">
      <w:pPr>
        <w:spacing w:line="360" w:lineRule="auto"/>
        <w:ind w:firstLine="482" w:firstLineChars="200"/>
        <w:jc w:val="center"/>
        <w:rPr>
          <w:rFonts w:ascii="宋体" w:hAnsi="宋体"/>
          <w:b/>
          <w:color w:val="auto"/>
          <w:sz w:val="24"/>
          <w:highlight w:val="none"/>
        </w:rPr>
      </w:pPr>
      <w:r>
        <w:rPr>
          <w:rFonts w:hint="eastAsia" w:ascii="宋体" w:hAnsi="宋体"/>
          <w:b/>
          <w:color w:val="auto"/>
          <w:sz w:val="24"/>
          <w:highlight w:val="none"/>
        </w:rPr>
        <w:t>政府采购合同（仅供参考）</w:t>
      </w:r>
    </w:p>
    <w:p w14:paraId="57B9196E">
      <w:pPr>
        <w:spacing w:line="360" w:lineRule="auto"/>
        <w:ind w:firstLine="482" w:firstLineChars="200"/>
        <w:rPr>
          <w:rFonts w:ascii="宋体" w:hAnsi="宋体"/>
          <w:color w:val="auto"/>
          <w:sz w:val="24"/>
          <w:highlight w:val="none"/>
        </w:rPr>
      </w:pPr>
      <w:r>
        <w:rPr>
          <w:rFonts w:hint="eastAsia" w:ascii="宋体" w:hAnsi="宋体"/>
          <w:b/>
          <w:color w:val="auto"/>
          <w:sz w:val="24"/>
          <w:highlight w:val="none"/>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（以下简称甲方）</w:t>
      </w:r>
      <w:r>
        <w:rPr>
          <w:rFonts w:hint="eastAsia" w:ascii="宋体" w:hAnsi="宋体"/>
          <w:color w:val="auto"/>
          <w:sz w:val="24"/>
          <w:highlight w:val="none"/>
          <w:u w:val="single"/>
        </w:rPr>
        <w:t xml:space="preserve">         </w:t>
      </w:r>
      <w:r>
        <w:rPr>
          <w:rFonts w:hint="eastAsia" w:ascii="宋体" w:hAnsi="宋体"/>
          <w:color w:val="auto"/>
          <w:sz w:val="24"/>
          <w:highlight w:val="none"/>
        </w:rPr>
        <w:t>采购，在</w:t>
      </w:r>
      <w:r>
        <w:rPr>
          <w:rFonts w:hint="eastAsia" w:ascii="宋体" w:hAnsi="宋体"/>
          <w:color w:val="auto"/>
          <w:sz w:val="24"/>
          <w:highlight w:val="none"/>
          <w:u w:val="single"/>
        </w:rPr>
        <w:t>陕西省财政厅政府采购管理处</w:t>
      </w:r>
      <w:r>
        <w:rPr>
          <w:rFonts w:hint="eastAsia" w:ascii="宋体" w:hAnsi="宋体"/>
          <w:color w:val="auto"/>
          <w:sz w:val="24"/>
          <w:highlight w:val="none"/>
        </w:rPr>
        <w:t>的监督管理下，由</w:t>
      </w:r>
      <w:r>
        <w:rPr>
          <w:rFonts w:hint="eastAsia" w:ascii="宋体" w:hAnsi="宋体"/>
          <w:color w:val="auto"/>
          <w:sz w:val="24"/>
          <w:highlight w:val="none"/>
          <w:u w:val="single"/>
        </w:rPr>
        <w:t>陕西开源招标有限公司</w:t>
      </w:r>
      <w:r>
        <w:rPr>
          <w:rFonts w:hint="eastAsia" w:ascii="宋体" w:hAnsi="宋体"/>
          <w:color w:val="auto"/>
          <w:sz w:val="24"/>
          <w:highlight w:val="none"/>
        </w:rPr>
        <w:t>组织采购，选定</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(以下简称乙方）为该项目中标人。依据《中华人民共和国民法典》和《中华人民共和国政府采购法》，经甲、乙双方共同协商，按下述条款和条件签署本合同。</w:t>
      </w:r>
    </w:p>
    <w:p w14:paraId="731182A0">
      <w:pPr>
        <w:spacing w:line="360" w:lineRule="auto"/>
        <w:jc w:val="left"/>
        <w:rPr>
          <w:rFonts w:ascii="宋体" w:hAnsi="宋体"/>
          <w:b/>
          <w:color w:val="auto"/>
          <w:sz w:val="24"/>
          <w:highlight w:val="none"/>
        </w:rPr>
      </w:pPr>
      <w:r>
        <w:rPr>
          <w:rFonts w:hint="eastAsia" w:ascii="宋体" w:hAnsi="宋体"/>
          <w:b/>
          <w:color w:val="auto"/>
          <w:sz w:val="24"/>
          <w:highlight w:val="none"/>
        </w:rPr>
        <w:t>一、合同内容</w:t>
      </w:r>
    </w:p>
    <w:p w14:paraId="01CD2306">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 xml:space="preserve">乙方负责按照合同确定的产品名称、规格型号、数量、产地、配置内容及技术标准组织供货（具体采购项目见附件1），按时运到甲方指定的交货地点；负责设备到货后的安装及调试；确保所有产品各项指标达到要求；负责操作和管理人员的培训工作，保证甲方能够正常操作和维护，同时乙方根据产品的使用特性做好售后服务。 </w:t>
      </w:r>
    </w:p>
    <w:p w14:paraId="35C54A10">
      <w:pPr>
        <w:spacing w:line="360" w:lineRule="auto"/>
        <w:jc w:val="left"/>
        <w:rPr>
          <w:rFonts w:ascii="宋体" w:hAnsi="宋体"/>
          <w:b/>
          <w:color w:val="auto"/>
          <w:sz w:val="24"/>
          <w:highlight w:val="none"/>
        </w:rPr>
      </w:pPr>
      <w:r>
        <w:rPr>
          <w:rFonts w:hint="eastAsia" w:ascii="宋体" w:hAnsi="宋体"/>
          <w:b/>
          <w:color w:val="auto"/>
          <w:sz w:val="24"/>
          <w:highlight w:val="none"/>
        </w:rPr>
        <w:t>二、合同价格</w:t>
      </w:r>
    </w:p>
    <w:p w14:paraId="1C801BCC">
      <w:pPr>
        <w:spacing w:line="360" w:lineRule="auto"/>
        <w:ind w:left="420" w:leftChars="200"/>
        <w:jc w:val="left"/>
        <w:rPr>
          <w:rFonts w:ascii="宋体" w:hAnsi="宋体"/>
          <w:color w:val="auto"/>
          <w:sz w:val="24"/>
          <w:highlight w:val="none"/>
        </w:rPr>
      </w:pPr>
      <w:r>
        <w:rPr>
          <w:rFonts w:hint="eastAsia" w:ascii="宋体" w:hAnsi="宋体"/>
          <w:color w:val="auto"/>
          <w:sz w:val="24"/>
          <w:highlight w:val="none"/>
        </w:rPr>
        <w:t>采购包1：</w:t>
      </w:r>
    </w:p>
    <w:p w14:paraId="6CB71A15">
      <w:pPr>
        <w:spacing w:line="360" w:lineRule="auto"/>
        <w:ind w:left="420" w:leftChars="200"/>
        <w:jc w:val="left"/>
        <w:rPr>
          <w:rFonts w:ascii="宋体" w:hAnsi="宋体"/>
          <w:color w:val="auto"/>
          <w:sz w:val="24"/>
          <w:highlight w:val="none"/>
        </w:rPr>
      </w:pPr>
      <w:r>
        <w:rPr>
          <w:rFonts w:hint="eastAsia" w:ascii="宋体" w:hAnsi="宋体"/>
          <w:color w:val="auto"/>
          <w:sz w:val="24"/>
          <w:highlight w:val="none"/>
        </w:rPr>
        <w:t>合同总价：</w:t>
      </w:r>
      <w:r>
        <w:rPr>
          <w:rFonts w:hint="eastAsia" w:ascii="宋体" w:hAnsi="宋体"/>
          <w:color w:val="auto"/>
          <w:sz w:val="24"/>
          <w:highlight w:val="none"/>
          <w:u w:val="single"/>
        </w:rPr>
        <w:t xml:space="preserve">人民币       元整（¥         元） </w:t>
      </w:r>
    </w:p>
    <w:p w14:paraId="47709968">
      <w:pPr>
        <w:spacing w:line="360" w:lineRule="auto"/>
        <w:jc w:val="left"/>
        <w:rPr>
          <w:rFonts w:ascii="宋体" w:hAnsi="宋体"/>
          <w:color w:val="auto"/>
          <w:sz w:val="24"/>
          <w:highlight w:val="none"/>
        </w:rPr>
      </w:pPr>
      <w:r>
        <w:rPr>
          <w:rFonts w:hint="eastAsia" w:ascii="宋体" w:hAnsi="宋体"/>
          <w:color w:val="auto"/>
          <w:sz w:val="24"/>
          <w:highlight w:val="none"/>
        </w:rPr>
        <w:t>说明：</w:t>
      </w:r>
    </w:p>
    <w:p w14:paraId="45B9F556">
      <w:pPr>
        <w:numPr>
          <w:ilvl w:val="0"/>
          <w:numId w:val="1"/>
        </w:num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合同总价包含设备费、设备到达</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交货地点的运杂费（含保险）、设备安装调试费、设备强制计量检测费及应缴纳的全部税款等费用。</w:t>
      </w:r>
    </w:p>
    <w:p w14:paraId="0A05B3D2">
      <w:pPr>
        <w:numPr>
          <w:ilvl w:val="0"/>
          <w:numId w:val="1"/>
        </w:num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合同总价一次包死，不受市场价格变化的影响，并作为结算的唯一依据。</w:t>
      </w:r>
    </w:p>
    <w:p w14:paraId="6CD89419">
      <w:pPr>
        <w:spacing w:line="360" w:lineRule="auto"/>
        <w:ind w:left="420" w:leftChars="200"/>
        <w:jc w:val="left"/>
        <w:rPr>
          <w:rFonts w:ascii="宋体" w:hAnsi="宋体"/>
          <w:color w:val="auto"/>
          <w:sz w:val="24"/>
          <w:highlight w:val="none"/>
        </w:rPr>
      </w:pPr>
      <w:r>
        <w:rPr>
          <w:rFonts w:hint="eastAsia" w:ascii="宋体" w:hAnsi="宋体"/>
          <w:color w:val="auto"/>
          <w:sz w:val="24"/>
          <w:highlight w:val="none"/>
        </w:rPr>
        <w:t>采购包2：</w:t>
      </w:r>
    </w:p>
    <w:p w14:paraId="3021548A">
      <w:pPr>
        <w:spacing w:line="360" w:lineRule="auto"/>
        <w:ind w:left="420" w:leftChars="200"/>
        <w:jc w:val="left"/>
        <w:rPr>
          <w:rFonts w:ascii="宋体" w:hAnsi="宋体"/>
          <w:color w:val="auto"/>
          <w:sz w:val="24"/>
          <w:highlight w:val="none"/>
        </w:rPr>
      </w:pPr>
      <w:r>
        <w:rPr>
          <w:rFonts w:hint="eastAsia" w:ascii="宋体" w:hAnsi="宋体"/>
          <w:color w:val="auto"/>
          <w:sz w:val="24"/>
          <w:highlight w:val="none"/>
        </w:rPr>
        <w:t>合同单价：</w:t>
      </w:r>
      <w:r>
        <w:rPr>
          <w:rFonts w:hint="eastAsia" w:ascii="宋体" w:hAnsi="宋体"/>
          <w:color w:val="auto"/>
          <w:sz w:val="24"/>
          <w:highlight w:val="none"/>
          <w:u w:val="single"/>
        </w:rPr>
        <w:t xml:space="preserve">人民币       元整（¥         元） </w:t>
      </w:r>
    </w:p>
    <w:p w14:paraId="20B1D3D5">
      <w:pPr>
        <w:spacing w:line="360" w:lineRule="auto"/>
        <w:jc w:val="left"/>
        <w:rPr>
          <w:rFonts w:ascii="宋体" w:hAnsi="宋体"/>
          <w:color w:val="auto"/>
          <w:sz w:val="24"/>
          <w:highlight w:val="none"/>
        </w:rPr>
      </w:pPr>
      <w:r>
        <w:rPr>
          <w:rFonts w:hint="eastAsia" w:ascii="宋体" w:hAnsi="宋体"/>
          <w:color w:val="auto"/>
          <w:sz w:val="24"/>
          <w:highlight w:val="none"/>
        </w:rPr>
        <w:t>说明：</w:t>
      </w:r>
    </w:p>
    <w:p w14:paraId="44E769DD">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（一）合同单价包含设备费、设备到达</w:t>
      </w:r>
      <w:r>
        <w:rPr>
          <w:rFonts w:hint="eastAsia" w:ascii="宋体" w:hAnsi="宋体"/>
          <w:color w:val="auto"/>
          <w:sz w:val="24"/>
          <w:highlight w:val="none"/>
          <w:u w:val="single"/>
        </w:rPr>
        <w:t xml:space="preserve">         </w:t>
      </w:r>
      <w:r>
        <w:rPr>
          <w:rFonts w:hint="eastAsia" w:ascii="宋体" w:hAnsi="宋体"/>
          <w:color w:val="auto"/>
          <w:sz w:val="24"/>
          <w:highlight w:val="none"/>
        </w:rPr>
        <w:t>交货地点的运杂费（含保险）、设备安装调试费、设备强制计量检测费及应缴纳的全部税款等费用。</w:t>
      </w:r>
    </w:p>
    <w:p w14:paraId="0623CFA9">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（二）合同单价一次包死，不受市场价格变化的影响，并作为结算的唯一依据。</w:t>
      </w:r>
    </w:p>
    <w:p w14:paraId="17D02F05">
      <w:pPr>
        <w:spacing w:line="360" w:lineRule="auto"/>
        <w:jc w:val="left"/>
        <w:rPr>
          <w:rFonts w:ascii="宋体" w:hAnsi="宋体"/>
          <w:b/>
          <w:color w:val="auto"/>
          <w:sz w:val="24"/>
          <w:highlight w:val="none"/>
        </w:rPr>
      </w:pPr>
      <w:r>
        <w:rPr>
          <w:rFonts w:hint="eastAsia" w:ascii="宋体" w:hAnsi="宋体"/>
          <w:b/>
          <w:color w:val="auto"/>
          <w:sz w:val="24"/>
          <w:highlight w:val="none"/>
        </w:rPr>
        <w:t>三、合同款项支付</w:t>
      </w:r>
    </w:p>
    <w:p w14:paraId="4884A434">
      <w:pPr>
        <w:pStyle w:val="7"/>
        <w:adjustRightInd w:val="0"/>
        <w:snapToGrid w:val="0"/>
        <w:spacing w:line="360" w:lineRule="auto"/>
        <w:ind w:firstLine="480" w:firstLineChars="200"/>
        <w:outlineLvl w:val="3"/>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采购包1：</w:t>
      </w:r>
    </w:p>
    <w:p w14:paraId="36767A8F">
      <w:pPr>
        <w:pStyle w:val="7"/>
        <w:adjustRightInd w:val="0"/>
        <w:snapToGrid w:val="0"/>
        <w:spacing w:line="360" w:lineRule="auto"/>
        <w:ind w:firstLine="480" w:firstLineChars="200"/>
        <w:outlineLvl w:val="3"/>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付款条件说明</w:t>
      </w:r>
      <w:r>
        <w:rPr>
          <w:rFonts w:ascii="宋体" w:hAnsi="宋体" w:eastAsia="宋体" w:cs="宋体"/>
          <w:color w:val="auto"/>
          <w:sz w:val="24"/>
          <w:szCs w:val="24"/>
          <w:highlight w:val="none"/>
          <w:lang w:eastAsia="zh-CN"/>
        </w:rPr>
        <w:t>1</w:t>
      </w:r>
      <w:r>
        <w:rPr>
          <w:rFonts w:ascii="宋体" w:hAnsi="宋体" w:eastAsia="宋体" w:cs="宋体"/>
          <w:color w:val="auto"/>
          <w:sz w:val="24"/>
          <w:szCs w:val="24"/>
          <w:highlight w:val="none"/>
        </w:rPr>
        <w:t>：合同签订后，达到付款条件起</w:t>
      </w:r>
      <w:r>
        <w:rPr>
          <w:rFonts w:hint="default" w:ascii="宋体" w:hAnsi="宋体" w:eastAsia="宋体" w:cs="宋体"/>
          <w:color w:val="auto"/>
          <w:sz w:val="24"/>
          <w:szCs w:val="24"/>
          <w:highlight w:val="none"/>
        </w:rPr>
        <w:t>15</w:t>
      </w:r>
      <w:r>
        <w:rPr>
          <w:rFonts w:ascii="宋体" w:hAnsi="宋体" w:eastAsia="宋体" w:cs="宋体"/>
          <w:color w:val="auto"/>
          <w:sz w:val="24"/>
          <w:szCs w:val="24"/>
          <w:highlight w:val="none"/>
        </w:rPr>
        <w:t>日内，支付合同总金额的</w:t>
      </w:r>
      <w:r>
        <w:rPr>
          <w:rFonts w:hint="default" w:ascii="宋体" w:hAnsi="宋体" w:eastAsia="宋体" w:cs="宋体"/>
          <w:color w:val="auto"/>
          <w:sz w:val="24"/>
          <w:szCs w:val="24"/>
          <w:highlight w:val="none"/>
          <w:lang w:eastAsia="zh-CN"/>
        </w:rPr>
        <w:t>1</w:t>
      </w:r>
      <w:r>
        <w:rPr>
          <w:rFonts w:ascii="宋体" w:hAnsi="宋体" w:eastAsia="宋体" w:cs="宋体"/>
          <w:color w:val="auto"/>
          <w:sz w:val="24"/>
          <w:szCs w:val="24"/>
          <w:highlight w:val="none"/>
          <w:lang w:eastAsia="zh-CN"/>
        </w:rPr>
        <w:t>0</w:t>
      </w:r>
      <w:r>
        <w:rPr>
          <w:rFonts w:ascii="宋体" w:hAnsi="宋体" w:eastAsia="宋体" w:cs="宋体"/>
          <w:color w:val="auto"/>
          <w:sz w:val="24"/>
          <w:szCs w:val="24"/>
          <w:highlight w:val="none"/>
        </w:rPr>
        <w:t>.00%。</w:t>
      </w:r>
    </w:p>
    <w:p w14:paraId="7A488D32">
      <w:pPr>
        <w:pStyle w:val="7"/>
        <w:adjustRightInd w:val="0"/>
        <w:snapToGrid w:val="0"/>
        <w:spacing w:line="360" w:lineRule="auto"/>
        <w:ind w:firstLine="480" w:firstLineChars="200"/>
        <w:outlineLvl w:val="3"/>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付款条件说明2：货物配送安装结束，达到付款条件起</w:t>
      </w:r>
      <w:r>
        <w:rPr>
          <w:rFonts w:hint="default" w:ascii="宋体" w:hAnsi="宋体" w:eastAsia="宋体" w:cs="宋体"/>
          <w:color w:val="auto"/>
          <w:sz w:val="24"/>
          <w:szCs w:val="24"/>
          <w:highlight w:val="none"/>
        </w:rPr>
        <w:t>15</w:t>
      </w:r>
      <w:r>
        <w:rPr>
          <w:rFonts w:ascii="宋体" w:hAnsi="宋体" w:eastAsia="宋体" w:cs="宋体"/>
          <w:color w:val="auto"/>
          <w:sz w:val="24"/>
          <w:szCs w:val="24"/>
          <w:highlight w:val="none"/>
        </w:rPr>
        <w:t>日内，支付合同总金额的</w:t>
      </w:r>
      <w:r>
        <w:rPr>
          <w:rFonts w:hint="default" w:ascii="宋体" w:hAnsi="宋体" w:eastAsia="宋体" w:cs="宋体"/>
          <w:color w:val="auto"/>
          <w:sz w:val="24"/>
          <w:szCs w:val="24"/>
          <w:highlight w:val="none"/>
        </w:rPr>
        <w:t>5</w:t>
      </w:r>
      <w:r>
        <w:rPr>
          <w:rFonts w:ascii="宋体" w:hAnsi="宋体" w:eastAsia="宋体" w:cs="宋体"/>
          <w:color w:val="auto"/>
          <w:sz w:val="24"/>
          <w:szCs w:val="24"/>
          <w:highlight w:val="none"/>
        </w:rPr>
        <w:t>0.00%。</w:t>
      </w:r>
    </w:p>
    <w:p w14:paraId="3A9B16B8">
      <w:pPr>
        <w:pStyle w:val="7"/>
        <w:adjustRightInd w:val="0"/>
        <w:snapToGrid w:val="0"/>
        <w:spacing w:line="360" w:lineRule="auto"/>
        <w:ind w:firstLine="480" w:firstLineChars="200"/>
        <w:outlineLvl w:val="3"/>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付款条件说明</w:t>
      </w:r>
      <w:r>
        <w:rPr>
          <w:rFonts w:hint="default" w:ascii="宋体" w:hAnsi="宋体" w:eastAsia="宋体" w:cs="宋体"/>
          <w:color w:val="auto"/>
          <w:sz w:val="24"/>
          <w:szCs w:val="24"/>
          <w:highlight w:val="none"/>
        </w:rPr>
        <w:t>3</w:t>
      </w:r>
      <w:r>
        <w:rPr>
          <w:rFonts w:ascii="宋体" w:hAnsi="宋体" w:eastAsia="宋体" w:cs="宋体"/>
          <w:color w:val="auto"/>
          <w:sz w:val="24"/>
          <w:szCs w:val="24"/>
          <w:highlight w:val="none"/>
        </w:rPr>
        <w:t>：所有项目验收完成，达到付款条件起</w:t>
      </w:r>
      <w:r>
        <w:rPr>
          <w:rFonts w:hint="default" w:ascii="宋体" w:hAnsi="宋体" w:eastAsia="宋体" w:cs="宋体"/>
          <w:color w:val="auto"/>
          <w:sz w:val="24"/>
          <w:szCs w:val="24"/>
          <w:highlight w:val="none"/>
        </w:rPr>
        <w:t>15</w:t>
      </w:r>
      <w:r>
        <w:rPr>
          <w:rFonts w:ascii="宋体" w:hAnsi="宋体" w:eastAsia="宋体" w:cs="宋体"/>
          <w:color w:val="auto"/>
          <w:sz w:val="24"/>
          <w:szCs w:val="24"/>
          <w:highlight w:val="none"/>
        </w:rPr>
        <w:t>日内，支付合同总金额的</w:t>
      </w:r>
      <w:r>
        <w:rPr>
          <w:rFonts w:hint="default" w:ascii="宋体" w:hAnsi="宋体" w:eastAsia="宋体" w:cs="宋体"/>
          <w:color w:val="auto"/>
          <w:sz w:val="24"/>
          <w:szCs w:val="24"/>
          <w:highlight w:val="none"/>
        </w:rPr>
        <w:t>4</w:t>
      </w:r>
      <w:r>
        <w:rPr>
          <w:rFonts w:ascii="宋体" w:hAnsi="宋体" w:eastAsia="宋体" w:cs="宋体"/>
          <w:color w:val="auto"/>
          <w:sz w:val="24"/>
          <w:szCs w:val="24"/>
          <w:highlight w:val="none"/>
        </w:rPr>
        <w:t>0.00%。</w:t>
      </w:r>
    </w:p>
    <w:p w14:paraId="6AC366B6">
      <w:pPr>
        <w:pStyle w:val="7"/>
        <w:adjustRightInd w:val="0"/>
        <w:snapToGrid w:val="0"/>
        <w:spacing w:line="360" w:lineRule="auto"/>
        <w:ind w:firstLine="480" w:firstLineChars="200"/>
        <w:outlineLvl w:val="3"/>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采购包2：</w:t>
      </w:r>
    </w:p>
    <w:p w14:paraId="680E19A6">
      <w:pPr>
        <w:pStyle w:val="7"/>
        <w:adjustRightInd w:val="0"/>
        <w:snapToGrid w:val="0"/>
        <w:spacing w:line="360" w:lineRule="auto"/>
        <w:ind w:firstLine="480" w:firstLineChars="200"/>
        <w:outlineLvl w:val="3"/>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付款条件说明：完成供货并验收合格后，根据实际供货数量据实结算，达到付款条件起</w:t>
      </w:r>
      <w:r>
        <w:rPr>
          <w:rFonts w:hint="default" w:ascii="宋体" w:hAnsi="宋体" w:eastAsia="宋体" w:cs="宋体"/>
          <w:color w:val="auto"/>
          <w:sz w:val="24"/>
          <w:szCs w:val="24"/>
          <w:highlight w:val="none"/>
        </w:rPr>
        <w:t>15</w:t>
      </w:r>
      <w:r>
        <w:rPr>
          <w:rFonts w:ascii="宋体" w:hAnsi="宋体" w:eastAsia="宋体" w:cs="宋体"/>
          <w:color w:val="auto"/>
          <w:sz w:val="24"/>
          <w:szCs w:val="24"/>
          <w:highlight w:val="none"/>
        </w:rPr>
        <w:t>日内，支付合同总金额的</w:t>
      </w:r>
      <w:r>
        <w:rPr>
          <w:rFonts w:hint="default" w:ascii="宋体" w:hAnsi="宋体" w:eastAsia="宋体" w:cs="宋体"/>
          <w:color w:val="auto"/>
          <w:sz w:val="24"/>
          <w:szCs w:val="24"/>
          <w:highlight w:val="none"/>
        </w:rPr>
        <w:t>100</w:t>
      </w:r>
      <w:r>
        <w:rPr>
          <w:rFonts w:ascii="宋体" w:hAnsi="宋体" w:eastAsia="宋体" w:cs="宋体"/>
          <w:color w:val="auto"/>
          <w:sz w:val="24"/>
          <w:szCs w:val="24"/>
          <w:highlight w:val="none"/>
        </w:rPr>
        <w:t>.00%。</w:t>
      </w:r>
    </w:p>
    <w:p w14:paraId="578BAF4A">
      <w:pPr>
        <w:spacing w:line="360" w:lineRule="auto"/>
        <w:jc w:val="left"/>
        <w:rPr>
          <w:rFonts w:ascii="宋体" w:hAnsi="宋体"/>
          <w:b/>
          <w:color w:val="auto"/>
          <w:sz w:val="24"/>
          <w:highlight w:val="none"/>
        </w:rPr>
      </w:pPr>
      <w:r>
        <w:rPr>
          <w:rFonts w:hint="eastAsia" w:ascii="宋体" w:hAnsi="宋体"/>
          <w:b/>
          <w:color w:val="auto"/>
          <w:sz w:val="24"/>
          <w:highlight w:val="none"/>
        </w:rPr>
        <w:t>四、交货条件</w:t>
      </w:r>
    </w:p>
    <w:p w14:paraId="5D30734A">
      <w:pPr>
        <w:widowControl/>
        <w:spacing w:line="360" w:lineRule="auto"/>
        <w:ind w:firstLine="480" w:firstLineChars="200"/>
        <w:jc w:val="left"/>
        <w:rPr>
          <w:rFonts w:ascii="宋体" w:hAnsi="宋体" w:cs="Helvetica"/>
          <w:b/>
          <w:bCs/>
          <w:color w:val="auto"/>
          <w:kern w:val="0"/>
          <w:sz w:val="24"/>
          <w:highlight w:val="none"/>
        </w:rPr>
      </w:pPr>
      <w:r>
        <w:rPr>
          <w:rFonts w:hint="eastAsia" w:ascii="宋体" w:hAnsi="宋体"/>
          <w:color w:val="auto"/>
          <w:sz w:val="24"/>
          <w:highlight w:val="none"/>
        </w:rPr>
        <w:t>（一）</w:t>
      </w:r>
      <w:r>
        <w:rPr>
          <w:rFonts w:hint="eastAsia" w:ascii="宋体" w:hAnsi="宋体" w:cs="Helvetica"/>
          <w:b/>
          <w:bCs/>
          <w:color w:val="auto"/>
          <w:kern w:val="0"/>
          <w:sz w:val="24"/>
          <w:highlight w:val="none"/>
        </w:rPr>
        <w:t>交货期：</w:t>
      </w:r>
    </w:p>
    <w:p w14:paraId="24D08C44">
      <w:pPr>
        <w:widowControl/>
        <w:spacing w:line="360" w:lineRule="auto"/>
        <w:ind w:firstLine="480" w:firstLineChars="200"/>
        <w:jc w:val="left"/>
        <w:rPr>
          <w:rFonts w:ascii="宋体" w:hAnsi="宋体" w:cs="Helvetica"/>
          <w:color w:val="auto"/>
          <w:kern w:val="0"/>
          <w:sz w:val="24"/>
          <w:highlight w:val="none"/>
        </w:rPr>
      </w:pPr>
      <w:r>
        <w:rPr>
          <w:rFonts w:hint="eastAsia" w:ascii="宋体" w:hAnsi="宋体" w:cs="Helvetica"/>
          <w:bCs/>
          <w:color w:val="auto"/>
          <w:kern w:val="0"/>
          <w:sz w:val="24"/>
          <w:highlight w:val="none"/>
        </w:rPr>
        <w:t>采购包1：</w:t>
      </w:r>
      <w:r>
        <w:rPr>
          <w:rFonts w:hint="eastAsia" w:ascii="宋体" w:hAnsi="宋体" w:cs="Helvetica"/>
          <w:color w:val="auto"/>
          <w:kern w:val="0"/>
          <w:sz w:val="24"/>
          <w:highlight w:val="none"/>
        </w:rPr>
        <w:t>合同签订生效后</w:t>
      </w:r>
      <w:r>
        <w:rPr>
          <w:rFonts w:hint="eastAsia" w:ascii="宋体" w:hAnsi="宋体" w:cs="Helvetica"/>
          <w:color w:val="auto"/>
          <w:kern w:val="0"/>
          <w:sz w:val="24"/>
          <w:highlight w:val="none"/>
          <w:lang w:val="en-US" w:eastAsia="zh-CN"/>
        </w:rPr>
        <w:t>60</w:t>
      </w:r>
      <w:bookmarkStart w:id="0" w:name="_GoBack"/>
      <w:bookmarkEnd w:id="0"/>
      <w:r>
        <w:rPr>
          <w:rFonts w:hint="eastAsia" w:ascii="宋体" w:hAnsi="宋体" w:cs="Helvetica"/>
          <w:color w:val="auto"/>
          <w:kern w:val="0"/>
          <w:sz w:val="24"/>
          <w:highlight w:val="none"/>
        </w:rPr>
        <w:t>个日历日</w:t>
      </w:r>
    </w:p>
    <w:p w14:paraId="61923EAC">
      <w:pPr>
        <w:widowControl/>
        <w:spacing w:line="360" w:lineRule="auto"/>
        <w:ind w:firstLine="480" w:firstLineChars="200"/>
        <w:jc w:val="left"/>
        <w:rPr>
          <w:rFonts w:ascii="宋体" w:hAnsi="宋体"/>
          <w:color w:val="auto"/>
          <w:sz w:val="24"/>
          <w:highlight w:val="none"/>
        </w:rPr>
      </w:pPr>
      <w:r>
        <w:rPr>
          <w:rFonts w:hint="eastAsia" w:ascii="宋体" w:hAnsi="宋体" w:cs="Helvetica"/>
          <w:bCs/>
          <w:color w:val="auto"/>
          <w:kern w:val="0"/>
          <w:sz w:val="24"/>
          <w:highlight w:val="none"/>
        </w:rPr>
        <w:t>采购包</w:t>
      </w:r>
      <w:r>
        <w:rPr>
          <w:rFonts w:ascii="宋体" w:hAnsi="宋体" w:cs="Helvetica"/>
          <w:bCs/>
          <w:color w:val="auto"/>
          <w:kern w:val="0"/>
          <w:sz w:val="24"/>
          <w:highlight w:val="none"/>
        </w:rPr>
        <w:t>2</w:t>
      </w:r>
      <w:r>
        <w:rPr>
          <w:rFonts w:hint="eastAsia" w:ascii="宋体" w:hAnsi="宋体" w:cs="Helvetica"/>
          <w:bCs/>
          <w:color w:val="auto"/>
          <w:kern w:val="0"/>
          <w:sz w:val="24"/>
          <w:highlight w:val="none"/>
        </w:rPr>
        <w:t>：</w:t>
      </w:r>
      <w:r>
        <w:rPr>
          <w:rFonts w:ascii="宋体" w:hAnsi="宋体" w:eastAsia="宋体" w:cs="宋体"/>
          <w:color w:val="auto"/>
          <w:sz w:val="24"/>
          <w:highlight w:val="none"/>
        </w:rPr>
        <w:t>接采购人通知后7个日历日</w:t>
      </w:r>
      <w:r>
        <w:rPr>
          <w:rFonts w:hint="eastAsia" w:ascii="宋体" w:hAnsi="宋体"/>
          <w:color w:val="auto"/>
          <w:sz w:val="24"/>
          <w:highlight w:val="none"/>
        </w:rPr>
        <w:t xml:space="preserve"> </w:t>
      </w:r>
    </w:p>
    <w:p w14:paraId="6FA1D322">
      <w:pPr>
        <w:pStyle w:val="3"/>
        <w:spacing w:line="360" w:lineRule="auto"/>
        <w:ind w:firstLine="480" w:firstLineChars="200"/>
        <w:jc w:val="left"/>
        <w:rPr>
          <w:rFonts w:hAnsi="宋体"/>
          <w:color w:val="auto"/>
          <w:sz w:val="24"/>
          <w:highlight w:val="none"/>
        </w:rPr>
      </w:pPr>
      <w:r>
        <w:rPr>
          <w:rFonts w:hint="eastAsia" w:hAnsi="宋体"/>
          <w:color w:val="auto"/>
          <w:sz w:val="24"/>
          <w:highlight w:val="none"/>
        </w:rPr>
        <w:t>（二）</w:t>
      </w:r>
      <w:r>
        <w:rPr>
          <w:rFonts w:hint="eastAsia" w:hAnsi="宋体"/>
          <w:b/>
          <w:bCs/>
          <w:color w:val="auto"/>
          <w:sz w:val="24"/>
          <w:highlight w:val="none"/>
        </w:rPr>
        <w:t>交货地点：</w:t>
      </w:r>
      <w:r>
        <w:rPr>
          <w:rFonts w:hint="eastAsia" w:hAnsi="宋体" w:eastAsia="宋体" w:cs="宋体"/>
          <w:color w:val="auto"/>
          <w:kern w:val="0"/>
          <w:sz w:val="24"/>
          <w:highlight w:val="none"/>
          <w:shd w:val="clear" w:color="auto" w:fill="FFFFFF"/>
          <w:lang w:bidi="ar"/>
        </w:rPr>
        <w:t>采购人指定地点</w:t>
      </w:r>
      <w:r>
        <w:rPr>
          <w:rFonts w:cs="宋体"/>
          <w:color w:val="auto"/>
          <w:sz w:val="24"/>
          <w:highlight w:val="none"/>
          <w:shd w:val="clear" w:color="auto" w:fill="FFFFFF"/>
          <w:lang w:bidi="ar"/>
        </w:rPr>
        <w:t>。</w:t>
      </w:r>
    </w:p>
    <w:p w14:paraId="0700E6D4">
      <w:pPr>
        <w:pStyle w:val="3"/>
        <w:spacing w:line="360" w:lineRule="auto"/>
        <w:ind w:firstLine="480" w:firstLineChars="200"/>
        <w:jc w:val="left"/>
        <w:rPr>
          <w:rFonts w:hAnsi="宋体"/>
          <w:b/>
          <w:bCs/>
          <w:color w:val="auto"/>
          <w:sz w:val="24"/>
          <w:highlight w:val="none"/>
        </w:rPr>
      </w:pPr>
      <w:r>
        <w:rPr>
          <w:rFonts w:hint="eastAsia" w:hAnsi="宋体"/>
          <w:color w:val="auto"/>
          <w:sz w:val="24"/>
          <w:highlight w:val="none"/>
        </w:rPr>
        <w:t>（三）</w:t>
      </w:r>
      <w:r>
        <w:rPr>
          <w:rFonts w:hint="eastAsia" w:hAnsi="宋体"/>
          <w:b/>
          <w:bCs/>
          <w:color w:val="auto"/>
          <w:sz w:val="24"/>
          <w:highlight w:val="none"/>
        </w:rPr>
        <w:t>质保期：</w:t>
      </w:r>
    </w:p>
    <w:p w14:paraId="59687D4C">
      <w:pPr>
        <w:widowControl/>
        <w:spacing w:line="360" w:lineRule="auto"/>
        <w:ind w:firstLine="480" w:firstLineChars="200"/>
        <w:jc w:val="left"/>
        <w:rPr>
          <w:rFonts w:ascii="宋体" w:hAnsi="宋体" w:cs="Helvetica"/>
          <w:color w:val="auto"/>
          <w:kern w:val="0"/>
          <w:sz w:val="24"/>
          <w:highlight w:val="none"/>
        </w:rPr>
      </w:pPr>
      <w:r>
        <w:rPr>
          <w:rFonts w:hint="eastAsia" w:ascii="宋体" w:hAnsi="宋体" w:cs="Helvetica"/>
          <w:bCs/>
          <w:color w:val="auto"/>
          <w:kern w:val="0"/>
          <w:sz w:val="24"/>
          <w:highlight w:val="none"/>
        </w:rPr>
        <w:t>采购包1：</w:t>
      </w:r>
      <w:r>
        <w:rPr>
          <w:rFonts w:ascii="宋体" w:hAnsi="宋体" w:eastAsia="宋体" w:cs="宋体"/>
          <w:color w:val="auto"/>
          <w:sz w:val="24"/>
          <w:highlight w:val="none"/>
        </w:rPr>
        <w:t>产品主要零部件保修期为三年</w:t>
      </w:r>
    </w:p>
    <w:p w14:paraId="39B4AEA0">
      <w:pPr>
        <w:spacing w:line="360" w:lineRule="auto"/>
        <w:ind w:firstLine="480" w:firstLineChars="200"/>
        <w:jc w:val="left"/>
        <w:rPr>
          <w:rFonts w:ascii="宋体" w:hAnsi="宋体" w:cs="Helvetica"/>
          <w:bCs/>
          <w:color w:val="auto"/>
          <w:kern w:val="0"/>
          <w:sz w:val="24"/>
          <w:highlight w:val="none"/>
        </w:rPr>
      </w:pPr>
      <w:r>
        <w:rPr>
          <w:rFonts w:hint="eastAsia" w:ascii="宋体" w:hAnsi="宋体" w:cs="Helvetica"/>
          <w:bCs/>
          <w:color w:val="auto"/>
          <w:kern w:val="0"/>
          <w:sz w:val="24"/>
          <w:highlight w:val="none"/>
        </w:rPr>
        <w:t>采购包</w:t>
      </w:r>
      <w:r>
        <w:rPr>
          <w:rFonts w:ascii="宋体" w:hAnsi="宋体" w:cs="Helvetica"/>
          <w:bCs/>
          <w:color w:val="auto"/>
          <w:kern w:val="0"/>
          <w:sz w:val="24"/>
          <w:highlight w:val="none"/>
        </w:rPr>
        <w:t>2</w:t>
      </w:r>
      <w:r>
        <w:rPr>
          <w:rFonts w:hint="eastAsia" w:ascii="宋体" w:hAnsi="宋体" w:cs="Helvetica"/>
          <w:bCs/>
          <w:color w:val="auto"/>
          <w:kern w:val="0"/>
          <w:sz w:val="24"/>
          <w:highlight w:val="none"/>
        </w:rPr>
        <w:t>：三年</w:t>
      </w:r>
    </w:p>
    <w:p w14:paraId="2A9F0D68">
      <w:pPr>
        <w:spacing w:line="360" w:lineRule="auto"/>
        <w:jc w:val="left"/>
        <w:rPr>
          <w:rFonts w:ascii="宋体" w:hAnsi="宋体"/>
          <w:b/>
          <w:color w:val="auto"/>
          <w:sz w:val="24"/>
          <w:highlight w:val="none"/>
        </w:rPr>
      </w:pPr>
      <w:r>
        <w:rPr>
          <w:rFonts w:hint="eastAsia" w:ascii="宋体" w:hAnsi="宋体"/>
          <w:b/>
          <w:color w:val="auto"/>
          <w:sz w:val="24"/>
          <w:highlight w:val="none"/>
        </w:rPr>
        <w:t>五、包装运输</w:t>
      </w:r>
    </w:p>
    <w:p w14:paraId="32D20FAC">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3FAFF880">
      <w:pPr>
        <w:spacing w:line="360" w:lineRule="auto"/>
        <w:jc w:val="left"/>
        <w:rPr>
          <w:rFonts w:ascii="宋体" w:hAnsi="宋体"/>
          <w:b/>
          <w:color w:val="auto"/>
          <w:sz w:val="24"/>
          <w:highlight w:val="none"/>
        </w:rPr>
      </w:pPr>
      <w:r>
        <w:rPr>
          <w:rFonts w:hint="eastAsia" w:ascii="宋体" w:hAnsi="宋体"/>
          <w:b/>
          <w:color w:val="auto"/>
          <w:sz w:val="24"/>
          <w:highlight w:val="none"/>
        </w:rPr>
        <w:t>六、质量保证</w:t>
      </w:r>
    </w:p>
    <w:p w14:paraId="5CDD171F">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（一）乙方提供给甲方的产品必须是设计科学、技术成熟、工艺优良，是用优质材料制造的、先进的、原厂生产的未曾使用过的、全新的合格产品。</w:t>
      </w:r>
    </w:p>
    <w:p w14:paraId="28CCEB30">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（二）设计技术专利、外形专利、应用软件专利等均应符合我国有关法律及行业标准，凡因以上问题与第三方发生的任何纠纷均与甲方无关。</w:t>
      </w:r>
    </w:p>
    <w:p w14:paraId="58674BA1">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（三）安全可靠。在正常使用下不应对操作者造成任何人身伤害，如因产品质量或标示不明确而对操作者造成损失的，甲方将保留依法索赔的权利。</w:t>
      </w:r>
    </w:p>
    <w:p w14:paraId="0DCD4C5D">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（四）有强制性安全标准的产品，乙方应提供该产品的制造许可证证明。</w:t>
      </w:r>
    </w:p>
    <w:p w14:paraId="17F73C57">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（五）属于国家计量检测强检的产品，供货时提供本省法定计量检测机构出具的检测证书。</w:t>
      </w:r>
    </w:p>
    <w:p w14:paraId="02D2A40F">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（六）产品性能必须与其标示的技术指标项符合，甲方有权在产品的有效保质期内依据技术指标对该产品进行技术验收，其主要的技术参数达不到标准时，甲方有权无条件退货或依据有关法律索赔。</w:t>
      </w:r>
    </w:p>
    <w:p w14:paraId="65EC8DBE">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（七）</w:t>
      </w:r>
      <w:r>
        <w:rPr>
          <w:rFonts w:hint="eastAsia" w:ascii="宋体" w:hAnsi="宋体"/>
          <w:bCs/>
          <w:color w:val="auto"/>
          <w:sz w:val="24"/>
          <w:highlight w:val="none"/>
        </w:rPr>
        <w:t>乙方所提供设备质保期为_____。设备质保期按设备安装验收合格办理入库之日算起。</w:t>
      </w:r>
      <w:r>
        <w:rPr>
          <w:rFonts w:hint="eastAsia" w:ascii="宋体" w:hAnsi="宋体"/>
          <w:color w:val="auto"/>
          <w:sz w:val="24"/>
          <w:highlight w:val="none"/>
        </w:rPr>
        <w:t>质保期满后如需更换零部件，只收取零部件成本费，终身免费维护保养。</w:t>
      </w:r>
    </w:p>
    <w:p w14:paraId="3F069801">
      <w:pPr>
        <w:spacing w:line="360" w:lineRule="auto"/>
        <w:jc w:val="left"/>
        <w:rPr>
          <w:rFonts w:ascii="宋体" w:hAnsi="宋体"/>
          <w:b/>
          <w:color w:val="auto"/>
          <w:sz w:val="24"/>
          <w:highlight w:val="none"/>
        </w:rPr>
      </w:pPr>
      <w:r>
        <w:rPr>
          <w:rFonts w:hint="eastAsia" w:ascii="宋体" w:hAnsi="宋体"/>
          <w:b/>
          <w:color w:val="auto"/>
          <w:sz w:val="24"/>
          <w:highlight w:val="none"/>
        </w:rPr>
        <w:t>七、技术规格及标准。（详见附件2）</w:t>
      </w:r>
    </w:p>
    <w:p w14:paraId="7B023102">
      <w:pPr>
        <w:spacing w:line="360" w:lineRule="auto"/>
        <w:jc w:val="left"/>
        <w:rPr>
          <w:rFonts w:ascii="宋体" w:hAnsi="宋体"/>
          <w:b/>
          <w:color w:val="auto"/>
          <w:sz w:val="24"/>
          <w:highlight w:val="none"/>
        </w:rPr>
      </w:pPr>
      <w:r>
        <w:rPr>
          <w:rFonts w:hint="eastAsia" w:ascii="宋体" w:hAnsi="宋体"/>
          <w:b/>
          <w:color w:val="auto"/>
          <w:sz w:val="24"/>
          <w:highlight w:val="none"/>
        </w:rPr>
        <w:t>八、配置清单。（详见附件3）</w:t>
      </w:r>
    </w:p>
    <w:p w14:paraId="1E1F00FB">
      <w:pPr>
        <w:spacing w:line="360" w:lineRule="auto"/>
        <w:jc w:val="left"/>
        <w:rPr>
          <w:rFonts w:ascii="宋体" w:hAnsi="宋体"/>
          <w:b/>
          <w:color w:val="auto"/>
          <w:sz w:val="24"/>
          <w:highlight w:val="none"/>
        </w:rPr>
      </w:pPr>
      <w:r>
        <w:rPr>
          <w:rFonts w:hint="eastAsia" w:ascii="宋体" w:hAnsi="宋体"/>
          <w:b/>
          <w:color w:val="auto"/>
          <w:sz w:val="24"/>
          <w:highlight w:val="none"/>
        </w:rPr>
        <w:t>九、技术服务</w:t>
      </w:r>
    </w:p>
    <w:p w14:paraId="26755C5A">
      <w:pPr>
        <w:spacing w:line="360" w:lineRule="auto"/>
        <w:ind w:firstLine="482" w:firstLineChars="200"/>
        <w:jc w:val="left"/>
        <w:rPr>
          <w:rFonts w:ascii="宋体" w:hAnsi="宋体"/>
          <w:b/>
          <w:color w:val="auto"/>
          <w:sz w:val="24"/>
          <w:highlight w:val="none"/>
        </w:rPr>
      </w:pPr>
      <w:r>
        <w:rPr>
          <w:rFonts w:hint="eastAsia" w:ascii="宋体" w:hAnsi="宋体"/>
          <w:b/>
          <w:color w:val="auto"/>
          <w:sz w:val="24"/>
          <w:highlight w:val="none"/>
        </w:rPr>
        <w:t>（一）技术资料：</w:t>
      </w:r>
      <w:r>
        <w:rPr>
          <w:rFonts w:hint="eastAsia" w:ascii="宋体" w:hAnsi="宋体"/>
          <w:color w:val="auto"/>
          <w:sz w:val="24"/>
          <w:highlight w:val="none"/>
          <w:u w:val="single"/>
        </w:rPr>
        <w:t xml:space="preserve">       </w:t>
      </w:r>
    </w:p>
    <w:p w14:paraId="7F64A0E3">
      <w:pPr>
        <w:spacing w:line="360" w:lineRule="auto"/>
        <w:ind w:firstLine="482" w:firstLineChars="200"/>
        <w:jc w:val="left"/>
        <w:rPr>
          <w:rFonts w:ascii="宋体" w:hAnsi="宋体"/>
          <w:color w:val="auto"/>
          <w:sz w:val="24"/>
          <w:highlight w:val="none"/>
        </w:rPr>
      </w:pPr>
      <w:r>
        <w:rPr>
          <w:rFonts w:hint="eastAsia" w:ascii="宋体" w:hAnsi="宋体"/>
          <w:b/>
          <w:color w:val="auto"/>
          <w:sz w:val="24"/>
          <w:highlight w:val="none"/>
        </w:rPr>
        <w:t>（二）人员培训：</w:t>
      </w:r>
      <w:r>
        <w:rPr>
          <w:rFonts w:hint="eastAsia" w:ascii="宋体" w:hAnsi="宋体"/>
          <w:color w:val="auto"/>
          <w:sz w:val="24"/>
          <w:highlight w:val="none"/>
          <w:u w:val="single"/>
        </w:rPr>
        <w:t xml:space="preserve">       </w:t>
      </w:r>
      <w:r>
        <w:rPr>
          <w:rFonts w:ascii="宋体" w:hAnsi="宋体"/>
          <w:color w:val="auto"/>
          <w:sz w:val="24"/>
          <w:highlight w:val="none"/>
        </w:rPr>
        <w:t xml:space="preserve"> </w:t>
      </w:r>
    </w:p>
    <w:p w14:paraId="527D2D82">
      <w:pPr>
        <w:spacing w:line="360" w:lineRule="auto"/>
        <w:ind w:firstLine="482" w:firstLineChars="200"/>
        <w:jc w:val="left"/>
        <w:rPr>
          <w:rFonts w:ascii="宋体" w:hAnsi="宋体"/>
          <w:b/>
          <w:color w:val="auto"/>
          <w:sz w:val="24"/>
          <w:highlight w:val="none"/>
        </w:rPr>
      </w:pPr>
      <w:r>
        <w:rPr>
          <w:rFonts w:hint="eastAsia" w:ascii="宋体" w:hAnsi="宋体"/>
          <w:b/>
          <w:color w:val="auto"/>
          <w:sz w:val="24"/>
          <w:highlight w:val="none"/>
        </w:rPr>
        <w:t>（三）服务承诺：</w:t>
      </w:r>
      <w:r>
        <w:rPr>
          <w:rFonts w:hint="eastAsia" w:ascii="宋体" w:hAnsi="宋体"/>
          <w:color w:val="auto"/>
          <w:sz w:val="24"/>
          <w:highlight w:val="none"/>
          <w:u w:val="single"/>
        </w:rPr>
        <w:t xml:space="preserve">       </w:t>
      </w:r>
    </w:p>
    <w:p w14:paraId="2747B69C">
      <w:pPr>
        <w:spacing w:line="360" w:lineRule="auto"/>
        <w:jc w:val="left"/>
        <w:rPr>
          <w:rFonts w:ascii="宋体" w:hAnsi="宋体"/>
          <w:b/>
          <w:color w:val="auto"/>
          <w:sz w:val="24"/>
          <w:highlight w:val="none"/>
        </w:rPr>
      </w:pPr>
      <w:r>
        <w:rPr>
          <w:rFonts w:hint="eastAsia" w:ascii="宋体" w:hAnsi="宋体"/>
          <w:b/>
          <w:color w:val="auto"/>
          <w:sz w:val="24"/>
          <w:highlight w:val="none"/>
        </w:rPr>
        <w:t>十、违约责任</w:t>
      </w:r>
    </w:p>
    <w:p w14:paraId="0535451C">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（一）按《中华</w:t>
      </w:r>
      <w:r>
        <w:rPr>
          <w:rFonts w:ascii="宋体" w:hAnsi="宋体"/>
          <w:color w:val="auto"/>
          <w:sz w:val="24"/>
          <w:highlight w:val="none"/>
        </w:rPr>
        <w:t>人民共和国</w:t>
      </w:r>
      <w:r>
        <w:rPr>
          <w:rFonts w:hint="eastAsia" w:ascii="宋体" w:hAnsi="宋体"/>
          <w:color w:val="auto"/>
          <w:sz w:val="24"/>
          <w:highlight w:val="none"/>
        </w:rPr>
        <w:t>民法典》中的相关条款执行。</w:t>
      </w:r>
    </w:p>
    <w:p w14:paraId="67A8ECC1">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（二）未按合同要求的提供产品或设备质量不能满足技术要求，采购人有权终止合同，甚至对供方违约行为进行追究。</w:t>
      </w:r>
    </w:p>
    <w:p w14:paraId="568FA10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（三）如有纠纷，双方友好协商解决，协商不成时可诉讼到甲方所在地人民法院解决。</w:t>
      </w:r>
    </w:p>
    <w:p w14:paraId="5F2229A4">
      <w:pPr>
        <w:spacing w:line="360" w:lineRule="auto"/>
        <w:jc w:val="left"/>
        <w:rPr>
          <w:rFonts w:ascii="宋体" w:hAnsi="宋体"/>
          <w:b/>
          <w:color w:val="auto"/>
          <w:sz w:val="24"/>
          <w:highlight w:val="none"/>
        </w:rPr>
      </w:pPr>
      <w:r>
        <w:rPr>
          <w:rFonts w:hint="eastAsia" w:ascii="宋体" w:hAnsi="宋体"/>
          <w:b/>
          <w:color w:val="auto"/>
          <w:sz w:val="24"/>
          <w:highlight w:val="none"/>
        </w:rPr>
        <w:t>十一、验收</w:t>
      </w:r>
    </w:p>
    <w:p w14:paraId="7EFC589B">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采购包1：</w:t>
      </w:r>
    </w:p>
    <w:p w14:paraId="18FC00D3">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一）所有辅助器具安装、调试完毕，正常使用后，由使用单位和承接单位组成验收小组进行现场检验，对相关品类进行抽样检查；验收合格后使用对象对项目配置给予确认，所有验收结束后，承接单位做出关于项目完成实施情况的报告。</w:t>
      </w:r>
    </w:p>
    <w:p w14:paraId="16B86AC8">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（二）验收不合格的投标人，必须在接到通知后7个日历日内确保货物通过验收。如接到通知后7个日历日内验收仍不合格，采购人可提出索赔或取消其供货合同。</w:t>
      </w:r>
    </w:p>
    <w:p w14:paraId="3BE5431D">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（三）验收依据</w:t>
      </w:r>
    </w:p>
    <w:p w14:paraId="4D433294">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1、合同文本及合同补充文件（条款）；</w:t>
      </w:r>
    </w:p>
    <w:p w14:paraId="4236B0F4">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2、产品的合法来源渠道证明文件、响应功能证明材料；</w:t>
      </w:r>
    </w:p>
    <w:p w14:paraId="3BE03060">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3、招标文件；</w:t>
      </w:r>
    </w:p>
    <w:p w14:paraId="012A35C7">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4、投标人的投标文件；</w:t>
      </w:r>
    </w:p>
    <w:p w14:paraId="191EA221">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5、辅助器具配置清单；</w:t>
      </w:r>
    </w:p>
    <w:p w14:paraId="7E275E21">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采购包2：</w:t>
      </w:r>
    </w:p>
    <w:p w14:paraId="49B4A62E">
      <w:pPr>
        <w:spacing w:line="360" w:lineRule="auto"/>
        <w:ind w:firstLine="480" w:firstLineChars="200"/>
        <w:jc w:val="left"/>
        <w:rPr>
          <w:rFonts w:ascii="宋体" w:hAnsi="宋体"/>
          <w:color w:val="auto"/>
          <w:sz w:val="24"/>
          <w:highlight w:val="none"/>
        </w:rPr>
      </w:pPr>
      <w:r>
        <w:rPr>
          <w:rFonts w:ascii="宋体" w:hAnsi="宋体"/>
          <w:color w:val="auto"/>
          <w:sz w:val="24"/>
          <w:highlight w:val="none"/>
        </w:rPr>
        <w:t>以招标文件及合同的约定为准</w:t>
      </w:r>
    </w:p>
    <w:p w14:paraId="0944EA12">
      <w:pPr>
        <w:spacing w:line="360" w:lineRule="auto"/>
        <w:jc w:val="left"/>
        <w:rPr>
          <w:rFonts w:ascii="宋体" w:hAnsi="宋体"/>
          <w:b/>
          <w:color w:val="auto"/>
          <w:sz w:val="24"/>
          <w:highlight w:val="none"/>
        </w:rPr>
      </w:pPr>
      <w:r>
        <w:rPr>
          <w:rFonts w:hint="eastAsia" w:ascii="宋体" w:hAnsi="宋体"/>
          <w:b/>
          <w:color w:val="auto"/>
          <w:sz w:val="24"/>
          <w:highlight w:val="none"/>
        </w:rPr>
        <w:t>十二、其他事项</w:t>
      </w:r>
    </w:p>
    <w:p w14:paraId="33D4792D">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（一）陕西省财政厅政府采购管理处在合同的履行期间以及履行期后，可以随时检查项目的执行情况，对采购标准、采购内容进行调查核实，并对发现的问题进行处理。</w:t>
      </w:r>
    </w:p>
    <w:p w14:paraId="79397582">
      <w:pPr>
        <w:spacing w:line="360" w:lineRule="auto"/>
        <w:ind w:left="105" w:leftChars="50" w:firstLine="360" w:firstLineChars="150"/>
        <w:jc w:val="left"/>
        <w:rPr>
          <w:rFonts w:ascii="宋体" w:hAnsi="宋体"/>
          <w:color w:val="auto"/>
          <w:sz w:val="24"/>
          <w:highlight w:val="none"/>
        </w:rPr>
      </w:pPr>
      <w:r>
        <w:rPr>
          <w:rFonts w:hint="eastAsia" w:ascii="宋体" w:hAnsi="宋体"/>
          <w:color w:val="auto"/>
          <w:sz w:val="24"/>
          <w:highlight w:val="none"/>
        </w:rPr>
        <w:t>（二）本合同一式六份，甲方四份，乙方一份，采购</w:t>
      </w:r>
      <w:r>
        <w:rPr>
          <w:rFonts w:ascii="宋体" w:hAnsi="宋体"/>
          <w:color w:val="auto"/>
          <w:sz w:val="24"/>
          <w:highlight w:val="none"/>
        </w:rPr>
        <w:t>代理机构</w:t>
      </w:r>
      <w:r>
        <w:rPr>
          <w:rFonts w:hint="eastAsia" w:ascii="宋体" w:hAnsi="宋体"/>
          <w:color w:val="auto"/>
          <w:sz w:val="24"/>
          <w:highlight w:val="none"/>
        </w:rPr>
        <w:t>一份，甲乙双方签字盖章后生效。</w:t>
      </w:r>
    </w:p>
    <w:p w14:paraId="2C5DE4FA">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（三）</w:t>
      </w:r>
      <w:r>
        <w:rPr>
          <w:rFonts w:hint="eastAsia" w:ascii="宋体" w:hAnsi="宋体"/>
          <w:bCs/>
          <w:color w:val="auto"/>
          <w:sz w:val="24"/>
          <w:highlight w:val="none"/>
        </w:rPr>
        <w:t>招标文件、投标文件也是合同的组成部分，合同中未约定的以招标文件、投标文件为准。</w:t>
      </w:r>
    </w:p>
    <w:p w14:paraId="29262243">
      <w:pPr>
        <w:spacing w:line="360" w:lineRule="auto"/>
        <w:ind w:firstLine="600" w:firstLineChars="250"/>
        <w:jc w:val="left"/>
        <w:rPr>
          <w:rFonts w:ascii="宋体" w:hAnsi="宋体"/>
          <w:color w:val="auto"/>
          <w:sz w:val="24"/>
          <w:highlight w:val="none"/>
        </w:rPr>
      </w:pPr>
      <w:r>
        <w:rPr>
          <w:rFonts w:hint="eastAsia" w:ascii="宋体" w:hAnsi="宋体"/>
          <w:color w:val="auto"/>
          <w:sz w:val="24"/>
          <w:highlight w:val="none"/>
        </w:rPr>
        <w:t xml:space="preserve">合同签订地点：   </w:t>
      </w:r>
    </w:p>
    <w:p w14:paraId="36FD3D35">
      <w:pPr>
        <w:spacing w:line="360" w:lineRule="auto"/>
        <w:ind w:firstLine="600" w:firstLineChars="250"/>
        <w:jc w:val="left"/>
        <w:rPr>
          <w:rFonts w:ascii="宋体" w:hAnsi="宋体"/>
          <w:color w:val="auto"/>
          <w:sz w:val="24"/>
          <w:highlight w:val="none"/>
        </w:rPr>
      </w:pPr>
      <w:r>
        <w:rPr>
          <w:rFonts w:hint="eastAsia" w:ascii="宋体" w:hAnsi="宋体"/>
          <w:color w:val="auto"/>
          <w:sz w:val="24"/>
          <w:highlight w:val="none"/>
        </w:rPr>
        <w:t>合同签订时间：    年   月    日</w:t>
      </w:r>
    </w:p>
    <w:p w14:paraId="2C21DE11">
      <w:pPr>
        <w:spacing w:line="360" w:lineRule="auto"/>
        <w:jc w:val="left"/>
        <w:rPr>
          <w:rFonts w:ascii="宋体" w:hAnsi="宋体"/>
          <w:color w:val="auto"/>
          <w:sz w:val="24"/>
          <w:highlight w:val="none"/>
        </w:rPr>
      </w:pPr>
    </w:p>
    <w:p w14:paraId="2A50F46A">
      <w:pPr>
        <w:spacing w:line="360" w:lineRule="auto"/>
        <w:jc w:val="left"/>
        <w:rPr>
          <w:rFonts w:ascii="宋体" w:hAnsi="宋体"/>
          <w:color w:val="auto"/>
          <w:sz w:val="24"/>
          <w:highlight w:val="none"/>
        </w:rPr>
      </w:pPr>
      <w:r>
        <w:rPr>
          <w:rFonts w:hint="eastAsia" w:ascii="宋体" w:hAnsi="宋体"/>
          <w:color w:val="auto"/>
          <w:sz w:val="24"/>
          <w:highlight w:val="none"/>
        </w:rPr>
        <w:t>甲    方                           乙    方</w:t>
      </w:r>
    </w:p>
    <w:p w14:paraId="7EBD4FDC">
      <w:pPr>
        <w:spacing w:line="360" w:lineRule="auto"/>
        <w:jc w:val="left"/>
        <w:rPr>
          <w:rFonts w:ascii="宋体" w:hAnsi="宋体"/>
          <w:color w:val="auto"/>
          <w:sz w:val="24"/>
          <w:highlight w:val="none"/>
        </w:rPr>
      </w:pPr>
      <w:r>
        <w:rPr>
          <w:rFonts w:hint="eastAsia" w:ascii="宋体" w:hAnsi="宋体"/>
          <w:color w:val="auto"/>
          <w:sz w:val="24"/>
          <w:highlight w:val="none"/>
        </w:rPr>
        <w:t xml:space="preserve">单位名称：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   单位名称： </w:t>
      </w:r>
    </w:p>
    <w:p w14:paraId="3FADA475">
      <w:pPr>
        <w:spacing w:line="360" w:lineRule="auto"/>
        <w:jc w:val="left"/>
        <w:rPr>
          <w:rFonts w:ascii="宋体" w:hAnsi="宋体"/>
          <w:color w:val="auto"/>
          <w:sz w:val="24"/>
          <w:highlight w:val="none"/>
        </w:rPr>
      </w:pPr>
      <w:r>
        <w:rPr>
          <w:rFonts w:hint="eastAsia" w:ascii="宋体" w:hAnsi="宋体"/>
          <w:color w:val="auto"/>
          <w:sz w:val="24"/>
          <w:highlight w:val="none"/>
        </w:rPr>
        <w:t xml:space="preserve">地   址：  </w:t>
      </w:r>
      <w:r>
        <w:rPr>
          <w:rFonts w:hint="eastAsia" w:ascii="宋体" w:hAnsi="宋体"/>
          <w:color w:val="auto"/>
          <w:sz w:val="24"/>
          <w:highlight w:val="none"/>
        </w:rPr>
        <w:tab/>
      </w:r>
      <w:r>
        <w:rPr>
          <w:rFonts w:hint="eastAsia" w:ascii="宋体" w:hAnsi="宋体"/>
          <w:color w:val="auto"/>
          <w:sz w:val="24"/>
          <w:highlight w:val="none"/>
        </w:rPr>
        <w:t xml:space="preserve">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地    址：</w:t>
      </w:r>
    </w:p>
    <w:p w14:paraId="038AE7F6">
      <w:pPr>
        <w:spacing w:line="360" w:lineRule="auto"/>
        <w:jc w:val="left"/>
        <w:rPr>
          <w:rFonts w:ascii="宋体" w:hAnsi="宋体"/>
          <w:color w:val="auto"/>
          <w:sz w:val="24"/>
          <w:highlight w:val="none"/>
        </w:rPr>
      </w:pPr>
    </w:p>
    <w:p w14:paraId="02F1787A">
      <w:pPr>
        <w:spacing w:line="360" w:lineRule="auto"/>
        <w:jc w:val="left"/>
        <w:rPr>
          <w:rFonts w:ascii="宋体" w:hAnsi="宋体"/>
          <w:color w:val="auto"/>
          <w:sz w:val="24"/>
          <w:highlight w:val="none"/>
        </w:rPr>
      </w:pPr>
      <w:r>
        <w:rPr>
          <w:rFonts w:hint="eastAsia" w:ascii="宋体" w:hAnsi="宋体"/>
          <w:color w:val="auto"/>
          <w:sz w:val="24"/>
          <w:highlight w:val="none"/>
        </w:rPr>
        <w:t xml:space="preserve">法人代表：                         法人代表： </w:t>
      </w:r>
    </w:p>
    <w:p w14:paraId="04A784F7">
      <w:pPr>
        <w:spacing w:line="360" w:lineRule="auto"/>
        <w:jc w:val="left"/>
        <w:rPr>
          <w:rFonts w:ascii="宋体" w:hAnsi="宋体"/>
          <w:color w:val="auto"/>
          <w:sz w:val="24"/>
          <w:highlight w:val="none"/>
        </w:rPr>
      </w:pPr>
    </w:p>
    <w:p w14:paraId="29A4A464">
      <w:pPr>
        <w:spacing w:line="360" w:lineRule="auto"/>
        <w:jc w:val="left"/>
        <w:rPr>
          <w:rFonts w:ascii="宋体" w:hAnsi="宋体"/>
          <w:color w:val="auto"/>
          <w:sz w:val="24"/>
          <w:highlight w:val="none"/>
        </w:rPr>
      </w:pPr>
      <w:r>
        <w:rPr>
          <w:rFonts w:hint="eastAsia" w:ascii="宋体" w:hAnsi="宋体"/>
          <w:color w:val="auto"/>
          <w:sz w:val="24"/>
          <w:highlight w:val="none"/>
        </w:rPr>
        <w:t xml:space="preserve">联系电话：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联系电话： </w:t>
      </w:r>
    </w:p>
    <w:p w14:paraId="2C4364B1">
      <w:pPr>
        <w:spacing w:line="360" w:lineRule="auto"/>
        <w:jc w:val="left"/>
        <w:rPr>
          <w:rFonts w:ascii="宋体" w:hAnsi="宋体"/>
          <w:color w:val="auto"/>
          <w:sz w:val="24"/>
          <w:highlight w:val="none"/>
        </w:rPr>
      </w:pPr>
      <w:r>
        <w:rPr>
          <w:rFonts w:hint="eastAsia" w:ascii="宋体" w:hAnsi="宋体"/>
          <w:color w:val="auto"/>
          <w:sz w:val="24"/>
          <w:highlight w:val="none"/>
        </w:rPr>
        <w:t xml:space="preserve">开 户 行：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开 户 行： </w:t>
      </w:r>
    </w:p>
    <w:p w14:paraId="307A92C3">
      <w:pPr>
        <w:spacing w:line="360" w:lineRule="auto"/>
        <w:jc w:val="left"/>
        <w:rPr>
          <w:rFonts w:ascii="宋体" w:hAnsi="宋体"/>
          <w:color w:val="auto"/>
          <w:sz w:val="24"/>
          <w:highlight w:val="none"/>
        </w:rPr>
      </w:pPr>
      <w:r>
        <w:rPr>
          <w:rFonts w:hint="eastAsia" w:ascii="宋体" w:hAnsi="宋体"/>
          <w:color w:val="auto"/>
          <w:sz w:val="24"/>
          <w:highlight w:val="none"/>
        </w:rPr>
        <w:t xml:space="preserve">账    号：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 </w:t>
      </w:r>
      <w:r>
        <w:rPr>
          <w:rFonts w:hint="eastAsia" w:ascii="宋体" w:hAnsi="宋体"/>
          <w:color w:val="auto"/>
          <w:sz w:val="24"/>
          <w:highlight w:val="none"/>
        </w:rPr>
        <w:tab/>
      </w:r>
      <w:r>
        <w:rPr>
          <w:rFonts w:hint="eastAsia" w:ascii="宋体" w:hAnsi="宋体"/>
          <w:color w:val="auto"/>
          <w:sz w:val="24"/>
          <w:highlight w:val="none"/>
        </w:rPr>
        <w:t>账    号：</w:t>
      </w:r>
      <w:r>
        <w:rPr>
          <w:rFonts w:ascii="宋体" w:hAnsi="宋体"/>
          <w:b/>
          <w:bCs/>
          <w:color w:val="auto"/>
          <w:sz w:val="24"/>
          <w:highlight w:val="none"/>
        </w:rPr>
        <w:br w:type="page"/>
      </w:r>
      <w:r>
        <w:rPr>
          <w:rFonts w:hint="eastAsia" w:ascii="宋体" w:hAnsi="宋体"/>
          <w:b/>
          <w:bCs/>
          <w:color w:val="auto"/>
          <w:sz w:val="24"/>
          <w:highlight w:val="none"/>
        </w:rPr>
        <w:t>附件1 采购内容</w:t>
      </w:r>
    </w:p>
    <w:tbl>
      <w:tblPr>
        <w:tblStyle w:val="5"/>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14:paraId="1D83B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695D045D">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序号</w:t>
            </w:r>
          </w:p>
        </w:tc>
        <w:tc>
          <w:tcPr>
            <w:tcW w:w="1227" w:type="dxa"/>
            <w:vAlign w:val="center"/>
          </w:tcPr>
          <w:p w14:paraId="307D4ADA">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产品名称</w:t>
            </w:r>
          </w:p>
        </w:tc>
        <w:tc>
          <w:tcPr>
            <w:tcW w:w="850" w:type="dxa"/>
            <w:vAlign w:val="center"/>
          </w:tcPr>
          <w:p w14:paraId="51AD4DEF">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型号</w:t>
            </w:r>
          </w:p>
        </w:tc>
        <w:tc>
          <w:tcPr>
            <w:tcW w:w="849" w:type="dxa"/>
            <w:vAlign w:val="center"/>
          </w:tcPr>
          <w:p w14:paraId="0093A145">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产地</w:t>
            </w:r>
          </w:p>
        </w:tc>
        <w:tc>
          <w:tcPr>
            <w:tcW w:w="1133" w:type="dxa"/>
            <w:vAlign w:val="center"/>
          </w:tcPr>
          <w:p w14:paraId="3A9E8692">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 xml:space="preserve">生产 </w:t>
            </w:r>
            <w:r>
              <w:rPr>
                <w:rFonts w:ascii="宋体" w:hAnsi="宋体"/>
                <w:bCs/>
                <w:color w:val="auto"/>
                <w:sz w:val="24"/>
                <w:highlight w:val="none"/>
              </w:rPr>
              <w:t xml:space="preserve">    </w:t>
            </w:r>
            <w:r>
              <w:rPr>
                <w:rFonts w:hint="eastAsia" w:ascii="宋体" w:hAnsi="宋体"/>
                <w:bCs/>
                <w:color w:val="auto"/>
                <w:sz w:val="24"/>
                <w:highlight w:val="none"/>
              </w:rPr>
              <w:t>厂家</w:t>
            </w:r>
          </w:p>
        </w:tc>
        <w:tc>
          <w:tcPr>
            <w:tcW w:w="803" w:type="dxa"/>
            <w:vAlign w:val="center"/>
          </w:tcPr>
          <w:p w14:paraId="6E9D52D9">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单位</w:t>
            </w:r>
          </w:p>
        </w:tc>
        <w:tc>
          <w:tcPr>
            <w:tcW w:w="802" w:type="dxa"/>
            <w:vAlign w:val="center"/>
          </w:tcPr>
          <w:p w14:paraId="248042E6">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数量</w:t>
            </w:r>
          </w:p>
        </w:tc>
        <w:tc>
          <w:tcPr>
            <w:tcW w:w="1243" w:type="dxa"/>
            <w:vAlign w:val="center"/>
          </w:tcPr>
          <w:p w14:paraId="679332F7">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单价</w:t>
            </w:r>
          </w:p>
          <w:p w14:paraId="15171D87">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（元）</w:t>
            </w:r>
          </w:p>
        </w:tc>
        <w:tc>
          <w:tcPr>
            <w:tcW w:w="1148" w:type="dxa"/>
            <w:vAlign w:val="center"/>
          </w:tcPr>
          <w:p w14:paraId="32D477D2">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合计</w:t>
            </w:r>
          </w:p>
          <w:p w14:paraId="1C057A79">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（元）</w:t>
            </w:r>
          </w:p>
        </w:tc>
        <w:tc>
          <w:tcPr>
            <w:tcW w:w="819" w:type="dxa"/>
            <w:vAlign w:val="center"/>
          </w:tcPr>
          <w:p w14:paraId="19383CDD">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备注</w:t>
            </w:r>
          </w:p>
        </w:tc>
      </w:tr>
      <w:tr w14:paraId="743AE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6183C2C1">
            <w:pPr>
              <w:spacing w:line="400" w:lineRule="exact"/>
              <w:jc w:val="center"/>
              <w:rPr>
                <w:rFonts w:ascii="宋体" w:hAnsi="宋体"/>
                <w:bCs/>
                <w:color w:val="auto"/>
                <w:sz w:val="24"/>
                <w:highlight w:val="none"/>
              </w:rPr>
            </w:pPr>
          </w:p>
        </w:tc>
        <w:tc>
          <w:tcPr>
            <w:tcW w:w="1227" w:type="dxa"/>
            <w:vAlign w:val="center"/>
          </w:tcPr>
          <w:p w14:paraId="16D352C3">
            <w:pPr>
              <w:spacing w:line="400" w:lineRule="exact"/>
              <w:jc w:val="center"/>
              <w:rPr>
                <w:rFonts w:ascii="宋体" w:hAnsi="宋体"/>
                <w:bCs/>
                <w:color w:val="auto"/>
                <w:sz w:val="24"/>
                <w:highlight w:val="none"/>
              </w:rPr>
            </w:pPr>
          </w:p>
        </w:tc>
        <w:tc>
          <w:tcPr>
            <w:tcW w:w="850" w:type="dxa"/>
            <w:vAlign w:val="center"/>
          </w:tcPr>
          <w:p w14:paraId="441AC4DA">
            <w:pPr>
              <w:spacing w:line="400" w:lineRule="exact"/>
              <w:jc w:val="center"/>
              <w:rPr>
                <w:rFonts w:ascii="宋体" w:hAnsi="宋体"/>
                <w:bCs/>
                <w:color w:val="auto"/>
                <w:sz w:val="24"/>
                <w:highlight w:val="none"/>
              </w:rPr>
            </w:pPr>
          </w:p>
        </w:tc>
        <w:tc>
          <w:tcPr>
            <w:tcW w:w="849" w:type="dxa"/>
            <w:vAlign w:val="center"/>
          </w:tcPr>
          <w:p w14:paraId="51FEBA02">
            <w:pPr>
              <w:spacing w:line="400" w:lineRule="exact"/>
              <w:jc w:val="center"/>
              <w:rPr>
                <w:rFonts w:ascii="宋体" w:hAnsi="宋体"/>
                <w:bCs/>
                <w:color w:val="auto"/>
                <w:sz w:val="24"/>
                <w:highlight w:val="none"/>
              </w:rPr>
            </w:pPr>
          </w:p>
        </w:tc>
        <w:tc>
          <w:tcPr>
            <w:tcW w:w="1133" w:type="dxa"/>
            <w:vAlign w:val="center"/>
          </w:tcPr>
          <w:p w14:paraId="3432BE43">
            <w:pPr>
              <w:spacing w:line="400" w:lineRule="exact"/>
              <w:jc w:val="center"/>
              <w:rPr>
                <w:rFonts w:ascii="宋体" w:hAnsi="宋体"/>
                <w:bCs/>
                <w:color w:val="auto"/>
                <w:sz w:val="24"/>
                <w:highlight w:val="none"/>
              </w:rPr>
            </w:pPr>
          </w:p>
        </w:tc>
        <w:tc>
          <w:tcPr>
            <w:tcW w:w="803" w:type="dxa"/>
            <w:vAlign w:val="center"/>
          </w:tcPr>
          <w:p w14:paraId="19B9DA86">
            <w:pPr>
              <w:spacing w:line="400" w:lineRule="exact"/>
              <w:jc w:val="center"/>
              <w:rPr>
                <w:rFonts w:ascii="宋体" w:hAnsi="宋体"/>
                <w:bCs/>
                <w:color w:val="auto"/>
                <w:sz w:val="24"/>
                <w:highlight w:val="none"/>
              </w:rPr>
            </w:pPr>
          </w:p>
        </w:tc>
        <w:tc>
          <w:tcPr>
            <w:tcW w:w="802" w:type="dxa"/>
            <w:vAlign w:val="center"/>
          </w:tcPr>
          <w:p w14:paraId="0A00F36A">
            <w:pPr>
              <w:spacing w:line="400" w:lineRule="exact"/>
              <w:jc w:val="center"/>
              <w:rPr>
                <w:rFonts w:ascii="宋体" w:hAnsi="宋体"/>
                <w:bCs/>
                <w:color w:val="auto"/>
                <w:sz w:val="24"/>
                <w:highlight w:val="none"/>
              </w:rPr>
            </w:pPr>
          </w:p>
        </w:tc>
        <w:tc>
          <w:tcPr>
            <w:tcW w:w="1243" w:type="dxa"/>
            <w:vAlign w:val="center"/>
          </w:tcPr>
          <w:p w14:paraId="6186EDD7">
            <w:pPr>
              <w:spacing w:line="400" w:lineRule="exact"/>
              <w:jc w:val="center"/>
              <w:rPr>
                <w:rFonts w:ascii="宋体" w:hAnsi="宋体"/>
                <w:bCs/>
                <w:color w:val="auto"/>
                <w:sz w:val="24"/>
                <w:highlight w:val="none"/>
              </w:rPr>
            </w:pPr>
          </w:p>
        </w:tc>
        <w:tc>
          <w:tcPr>
            <w:tcW w:w="1148" w:type="dxa"/>
            <w:vAlign w:val="center"/>
          </w:tcPr>
          <w:p w14:paraId="105F4420">
            <w:pPr>
              <w:spacing w:line="400" w:lineRule="exact"/>
              <w:jc w:val="center"/>
              <w:rPr>
                <w:rFonts w:ascii="宋体" w:hAnsi="宋体"/>
                <w:bCs/>
                <w:color w:val="auto"/>
                <w:sz w:val="24"/>
                <w:highlight w:val="none"/>
              </w:rPr>
            </w:pPr>
          </w:p>
        </w:tc>
        <w:tc>
          <w:tcPr>
            <w:tcW w:w="819" w:type="dxa"/>
            <w:vAlign w:val="center"/>
          </w:tcPr>
          <w:p w14:paraId="31C52C22">
            <w:pPr>
              <w:spacing w:line="400" w:lineRule="exact"/>
              <w:jc w:val="center"/>
              <w:rPr>
                <w:rFonts w:ascii="宋体" w:hAnsi="宋体"/>
                <w:bCs/>
                <w:color w:val="auto"/>
                <w:sz w:val="24"/>
                <w:highlight w:val="none"/>
              </w:rPr>
            </w:pPr>
          </w:p>
        </w:tc>
      </w:tr>
      <w:tr w14:paraId="24019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3356676">
            <w:pPr>
              <w:spacing w:line="400" w:lineRule="exact"/>
              <w:jc w:val="center"/>
              <w:rPr>
                <w:rFonts w:ascii="宋体" w:hAnsi="宋体"/>
                <w:bCs/>
                <w:color w:val="auto"/>
                <w:sz w:val="24"/>
                <w:highlight w:val="none"/>
              </w:rPr>
            </w:pPr>
          </w:p>
        </w:tc>
        <w:tc>
          <w:tcPr>
            <w:tcW w:w="1227" w:type="dxa"/>
            <w:vAlign w:val="center"/>
          </w:tcPr>
          <w:p w14:paraId="02A86841">
            <w:pPr>
              <w:spacing w:line="400" w:lineRule="exact"/>
              <w:jc w:val="center"/>
              <w:rPr>
                <w:rFonts w:ascii="宋体" w:hAnsi="宋体"/>
                <w:bCs/>
                <w:color w:val="auto"/>
                <w:sz w:val="24"/>
                <w:highlight w:val="none"/>
              </w:rPr>
            </w:pPr>
          </w:p>
        </w:tc>
        <w:tc>
          <w:tcPr>
            <w:tcW w:w="850" w:type="dxa"/>
            <w:vAlign w:val="center"/>
          </w:tcPr>
          <w:p w14:paraId="11B43F9C">
            <w:pPr>
              <w:spacing w:line="400" w:lineRule="exact"/>
              <w:jc w:val="center"/>
              <w:rPr>
                <w:rFonts w:ascii="宋体" w:hAnsi="宋体"/>
                <w:bCs/>
                <w:color w:val="auto"/>
                <w:sz w:val="24"/>
                <w:highlight w:val="none"/>
              </w:rPr>
            </w:pPr>
          </w:p>
        </w:tc>
        <w:tc>
          <w:tcPr>
            <w:tcW w:w="849" w:type="dxa"/>
            <w:vAlign w:val="center"/>
          </w:tcPr>
          <w:p w14:paraId="4AF90DC7">
            <w:pPr>
              <w:spacing w:line="400" w:lineRule="exact"/>
              <w:jc w:val="center"/>
              <w:rPr>
                <w:rFonts w:ascii="宋体" w:hAnsi="宋体"/>
                <w:bCs/>
                <w:color w:val="auto"/>
                <w:sz w:val="24"/>
                <w:highlight w:val="none"/>
              </w:rPr>
            </w:pPr>
          </w:p>
        </w:tc>
        <w:tc>
          <w:tcPr>
            <w:tcW w:w="1133" w:type="dxa"/>
            <w:vAlign w:val="center"/>
          </w:tcPr>
          <w:p w14:paraId="4F926E6C">
            <w:pPr>
              <w:spacing w:line="400" w:lineRule="exact"/>
              <w:jc w:val="center"/>
              <w:rPr>
                <w:rFonts w:ascii="宋体" w:hAnsi="宋体"/>
                <w:bCs/>
                <w:color w:val="auto"/>
                <w:sz w:val="24"/>
                <w:highlight w:val="none"/>
              </w:rPr>
            </w:pPr>
          </w:p>
        </w:tc>
        <w:tc>
          <w:tcPr>
            <w:tcW w:w="803" w:type="dxa"/>
            <w:vAlign w:val="center"/>
          </w:tcPr>
          <w:p w14:paraId="3FA30AFD">
            <w:pPr>
              <w:spacing w:line="400" w:lineRule="exact"/>
              <w:jc w:val="center"/>
              <w:rPr>
                <w:rFonts w:ascii="宋体" w:hAnsi="宋体"/>
                <w:bCs/>
                <w:color w:val="auto"/>
                <w:sz w:val="24"/>
                <w:highlight w:val="none"/>
              </w:rPr>
            </w:pPr>
          </w:p>
        </w:tc>
        <w:tc>
          <w:tcPr>
            <w:tcW w:w="802" w:type="dxa"/>
            <w:vAlign w:val="center"/>
          </w:tcPr>
          <w:p w14:paraId="6CE95902">
            <w:pPr>
              <w:spacing w:line="400" w:lineRule="exact"/>
              <w:jc w:val="center"/>
              <w:rPr>
                <w:rFonts w:ascii="宋体" w:hAnsi="宋体"/>
                <w:bCs/>
                <w:color w:val="auto"/>
                <w:sz w:val="24"/>
                <w:highlight w:val="none"/>
              </w:rPr>
            </w:pPr>
          </w:p>
        </w:tc>
        <w:tc>
          <w:tcPr>
            <w:tcW w:w="1243" w:type="dxa"/>
            <w:vAlign w:val="center"/>
          </w:tcPr>
          <w:p w14:paraId="4F089E68">
            <w:pPr>
              <w:spacing w:line="400" w:lineRule="exact"/>
              <w:jc w:val="center"/>
              <w:rPr>
                <w:rFonts w:ascii="宋体" w:hAnsi="宋体"/>
                <w:bCs/>
                <w:color w:val="auto"/>
                <w:sz w:val="24"/>
                <w:highlight w:val="none"/>
              </w:rPr>
            </w:pPr>
          </w:p>
        </w:tc>
        <w:tc>
          <w:tcPr>
            <w:tcW w:w="1148" w:type="dxa"/>
            <w:vAlign w:val="center"/>
          </w:tcPr>
          <w:p w14:paraId="18B1DF37">
            <w:pPr>
              <w:spacing w:line="400" w:lineRule="exact"/>
              <w:jc w:val="center"/>
              <w:rPr>
                <w:rFonts w:ascii="宋体" w:hAnsi="宋体"/>
                <w:bCs/>
                <w:color w:val="auto"/>
                <w:sz w:val="24"/>
                <w:highlight w:val="none"/>
              </w:rPr>
            </w:pPr>
          </w:p>
        </w:tc>
        <w:tc>
          <w:tcPr>
            <w:tcW w:w="819" w:type="dxa"/>
            <w:vAlign w:val="center"/>
          </w:tcPr>
          <w:p w14:paraId="7ACCF5E0">
            <w:pPr>
              <w:spacing w:line="400" w:lineRule="exact"/>
              <w:jc w:val="center"/>
              <w:rPr>
                <w:rFonts w:ascii="宋体" w:hAnsi="宋体"/>
                <w:bCs/>
                <w:color w:val="auto"/>
                <w:sz w:val="24"/>
                <w:highlight w:val="none"/>
              </w:rPr>
            </w:pPr>
          </w:p>
        </w:tc>
      </w:tr>
      <w:tr w14:paraId="076BA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6CBFB9BB">
            <w:pPr>
              <w:spacing w:line="400" w:lineRule="exact"/>
              <w:jc w:val="center"/>
              <w:rPr>
                <w:rFonts w:ascii="宋体" w:hAnsi="宋体"/>
                <w:bCs/>
                <w:color w:val="auto"/>
                <w:sz w:val="24"/>
                <w:highlight w:val="none"/>
              </w:rPr>
            </w:pPr>
          </w:p>
        </w:tc>
        <w:tc>
          <w:tcPr>
            <w:tcW w:w="1227" w:type="dxa"/>
            <w:vAlign w:val="center"/>
          </w:tcPr>
          <w:p w14:paraId="12453D9D">
            <w:pPr>
              <w:spacing w:line="400" w:lineRule="exact"/>
              <w:jc w:val="center"/>
              <w:rPr>
                <w:rFonts w:ascii="宋体" w:hAnsi="宋体"/>
                <w:bCs/>
                <w:color w:val="auto"/>
                <w:sz w:val="24"/>
                <w:highlight w:val="none"/>
              </w:rPr>
            </w:pPr>
          </w:p>
        </w:tc>
        <w:tc>
          <w:tcPr>
            <w:tcW w:w="850" w:type="dxa"/>
            <w:vAlign w:val="center"/>
          </w:tcPr>
          <w:p w14:paraId="05595B1F">
            <w:pPr>
              <w:spacing w:line="400" w:lineRule="exact"/>
              <w:jc w:val="center"/>
              <w:rPr>
                <w:rFonts w:ascii="宋体" w:hAnsi="宋体"/>
                <w:bCs/>
                <w:color w:val="auto"/>
                <w:sz w:val="24"/>
                <w:highlight w:val="none"/>
              </w:rPr>
            </w:pPr>
          </w:p>
        </w:tc>
        <w:tc>
          <w:tcPr>
            <w:tcW w:w="849" w:type="dxa"/>
            <w:vAlign w:val="center"/>
          </w:tcPr>
          <w:p w14:paraId="500978BF">
            <w:pPr>
              <w:spacing w:line="400" w:lineRule="exact"/>
              <w:jc w:val="center"/>
              <w:rPr>
                <w:rFonts w:ascii="宋体" w:hAnsi="宋体"/>
                <w:bCs/>
                <w:color w:val="auto"/>
                <w:sz w:val="24"/>
                <w:highlight w:val="none"/>
              </w:rPr>
            </w:pPr>
          </w:p>
        </w:tc>
        <w:tc>
          <w:tcPr>
            <w:tcW w:w="1133" w:type="dxa"/>
            <w:vAlign w:val="center"/>
          </w:tcPr>
          <w:p w14:paraId="166A11FA">
            <w:pPr>
              <w:spacing w:line="400" w:lineRule="exact"/>
              <w:jc w:val="center"/>
              <w:rPr>
                <w:rFonts w:ascii="宋体" w:hAnsi="宋体"/>
                <w:bCs/>
                <w:color w:val="auto"/>
                <w:sz w:val="24"/>
                <w:highlight w:val="none"/>
              </w:rPr>
            </w:pPr>
          </w:p>
        </w:tc>
        <w:tc>
          <w:tcPr>
            <w:tcW w:w="803" w:type="dxa"/>
            <w:vAlign w:val="center"/>
          </w:tcPr>
          <w:p w14:paraId="7E406E72">
            <w:pPr>
              <w:spacing w:line="400" w:lineRule="exact"/>
              <w:jc w:val="center"/>
              <w:rPr>
                <w:rFonts w:ascii="宋体" w:hAnsi="宋体"/>
                <w:bCs/>
                <w:color w:val="auto"/>
                <w:sz w:val="24"/>
                <w:highlight w:val="none"/>
              </w:rPr>
            </w:pPr>
          </w:p>
        </w:tc>
        <w:tc>
          <w:tcPr>
            <w:tcW w:w="802" w:type="dxa"/>
            <w:vAlign w:val="center"/>
          </w:tcPr>
          <w:p w14:paraId="08DA0853">
            <w:pPr>
              <w:spacing w:line="400" w:lineRule="exact"/>
              <w:jc w:val="center"/>
              <w:rPr>
                <w:rFonts w:ascii="宋体" w:hAnsi="宋体"/>
                <w:bCs/>
                <w:color w:val="auto"/>
                <w:sz w:val="24"/>
                <w:highlight w:val="none"/>
              </w:rPr>
            </w:pPr>
          </w:p>
        </w:tc>
        <w:tc>
          <w:tcPr>
            <w:tcW w:w="1243" w:type="dxa"/>
            <w:vAlign w:val="center"/>
          </w:tcPr>
          <w:p w14:paraId="2F7E03D6">
            <w:pPr>
              <w:spacing w:line="400" w:lineRule="exact"/>
              <w:jc w:val="center"/>
              <w:rPr>
                <w:rFonts w:ascii="宋体" w:hAnsi="宋体"/>
                <w:bCs/>
                <w:color w:val="auto"/>
                <w:sz w:val="24"/>
                <w:highlight w:val="none"/>
              </w:rPr>
            </w:pPr>
          </w:p>
        </w:tc>
        <w:tc>
          <w:tcPr>
            <w:tcW w:w="1148" w:type="dxa"/>
            <w:vAlign w:val="center"/>
          </w:tcPr>
          <w:p w14:paraId="1065FE9D">
            <w:pPr>
              <w:spacing w:line="400" w:lineRule="exact"/>
              <w:jc w:val="center"/>
              <w:rPr>
                <w:rFonts w:ascii="宋体" w:hAnsi="宋体"/>
                <w:bCs/>
                <w:color w:val="auto"/>
                <w:sz w:val="24"/>
                <w:highlight w:val="none"/>
              </w:rPr>
            </w:pPr>
          </w:p>
        </w:tc>
        <w:tc>
          <w:tcPr>
            <w:tcW w:w="819" w:type="dxa"/>
            <w:vAlign w:val="center"/>
          </w:tcPr>
          <w:p w14:paraId="33E586A8">
            <w:pPr>
              <w:spacing w:line="400" w:lineRule="exact"/>
              <w:jc w:val="center"/>
              <w:rPr>
                <w:rFonts w:ascii="宋体" w:hAnsi="宋体"/>
                <w:bCs/>
                <w:color w:val="auto"/>
                <w:sz w:val="24"/>
                <w:highlight w:val="none"/>
              </w:rPr>
            </w:pPr>
          </w:p>
        </w:tc>
      </w:tr>
      <w:tr w14:paraId="51250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83215C3">
            <w:pPr>
              <w:spacing w:line="400" w:lineRule="exact"/>
              <w:jc w:val="center"/>
              <w:rPr>
                <w:rFonts w:ascii="宋体" w:hAnsi="宋体"/>
                <w:bCs/>
                <w:color w:val="auto"/>
                <w:sz w:val="24"/>
                <w:highlight w:val="none"/>
              </w:rPr>
            </w:pPr>
          </w:p>
        </w:tc>
        <w:tc>
          <w:tcPr>
            <w:tcW w:w="1227" w:type="dxa"/>
            <w:vAlign w:val="center"/>
          </w:tcPr>
          <w:p w14:paraId="4479C6C9">
            <w:pPr>
              <w:spacing w:line="400" w:lineRule="exact"/>
              <w:jc w:val="center"/>
              <w:rPr>
                <w:rFonts w:ascii="宋体" w:hAnsi="宋体"/>
                <w:bCs/>
                <w:color w:val="auto"/>
                <w:sz w:val="24"/>
                <w:highlight w:val="none"/>
              </w:rPr>
            </w:pPr>
          </w:p>
        </w:tc>
        <w:tc>
          <w:tcPr>
            <w:tcW w:w="850" w:type="dxa"/>
            <w:vAlign w:val="center"/>
          </w:tcPr>
          <w:p w14:paraId="0ECBEAE8">
            <w:pPr>
              <w:spacing w:line="400" w:lineRule="exact"/>
              <w:jc w:val="center"/>
              <w:rPr>
                <w:rFonts w:ascii="宋体" w:hAnsi="宋体"/>
                <w:bCs/>
                <w:color w:val="auto"/>
                <w:sz w:val="24"/>
                <w:highlight w:val="none"/>
              </w:rPr>
            </w:pPr>
          </w:p>
        </w:tc>
        <w:tc>
          <w:tcPr>
            <w:tcW w:w="849" w:type="dxa"/>
            <w:vAlign w:val="center"/>
          </w:tcPr>
          <w:p w14:paraId="3FFF909C">
            <w:pPr>
              <w:spacing w:line="400" w:lineRule="exact"/>
              <w:jc w:val="center"/>
              <w:rPr>
                <w:rFonts w:ascii="宋体" w:hAnsi="宋体"/>
                <w:bCs/>
                <w:color w:val="auto"/>
                <w:sz w:val="24"/>
                <w:highlight w:val="none"/>
              </w:rPr>
            </w:pPr>
          </w:p>
        </w:tc>
        <w:tc>
          <w:tcPr>
            <w:tcW w:w="1133" w:type="dxa"/>
            <w:vAlign w:val="center"/>
          </w:tcPr>
          <w:p w14:paraId="4A5B91B4">
            <w:pPr>
              <w:spacing w:line="400" w:lineRule="exact"/>
              <w:jc w:val="center"/>
              <w:rPr>
                <w:rFonts w:ascii="宋体" w:hAnsi="宋体"/>
                <w:bCs/>
                <w:color w:val="auto"/>
                <w:sz w:val="24"/>
                <w:highlight w:val="none"/>
              </w:rPr>
            </w:pPr>
          </w:p>
        </w:tc>
        <w:tc>
          <w:tcPr>
            <w:tcW w:w="803" w:type="dxa"/>
            <w:vAlign w:val="center"/>
          </w:tcPr>
          <w:p w14:paraId="35F188D9">
            <w:pPr>
              <w:spacing w:line="400" w:lineRule="exact"/>
              <w:jc w:val="center"/>
              <w:rPr>
                <w:rFonts w:ascii="宋体" w:hAnsi="宋体"/>
                <w:bCs/>
                <w:color w:val="auto"/>
                <w:sz w:val="24"/>
                <w:highlight w:val="none"/>
              </w:rPr>
            </w:pPr>
          </w:p>
        </w:tc>
        <w:tc>
          <w:tcPr>
            <w:tcW w:w="802" w:type="dxa"/>
            <w:vAlign w:val="center"/>
          </w:tcPr>
          <w:p w14:paraId="0E1BBA3D">
            <w:pPr>
              <w:spacing w:line="400" w:lineRule="exact"/>
              <w:jc w:val="center"/>
              <w:rPr>
                <w:rFonts w:ascii="宋体" w:hAnsi="宋体"/>
                <w:bCs/>
                <w:color w:val="auto"/>
                <w:sz w:val="24"/>
                <w:highlight w:val="none"/>
              </w:rPr>
            </w:pPr>
          </w:p>
        </w:tc>
        <w:tc>
          <w:tcPr>
            <w:tcW w:w="1243" w:type="dxa"/>
            <w:vAlign w:val="center"/>
          </w:tcPr>
          <w:p w14:paraId="58C45BA0">
            <w:pPr>
              <w:spacing w:line="400" w:lineRule="exact"/>
              <w:jc w:val="center"/>
              <w:rPr>
                <w:rFonts w:ascii="宋体" w:hAnsi="宋体"/>
                <w:bCs/>
                <w:color w:val="auto"/>
                <w:sz w:val="24"/>
                <w:highlight w:val="none"/>
              </w:rPr>
            </w:pPr>
          </w:p>
        </w:tc>
        <w:tc>
          <w:tcPr>
            <w:tcW w:w="1148" w:type="dxa"/>
            <w:vAlign w:val="center"/>
          </w:tcPr>
          <w:p w14:paraId="7FFBDC11">
            <w:pPr>
              <w:spacing w:line="400" w:lineRule="exact"/>
              <w:jc w:val="center"/>
              <w:rPr>
                <w:rFonts w:ascii="宋体" w:hAnsi="宋体"/>
                <w:bCs/>
                <w:color w:val="auto"/>
                <w:sz w:val="24"/>
                <w:highlight w:val="none"/>
              </w:rPr>
            </w:pPr>
          </w:p>
        </w:tc>
        <w:tc>
          <w:tcPr>
            <w:tcW w:w="819" w:type="dxa"/>
            <w:vAlign w:val="center"/>
          </w:tcPr>
          <w:p w14:paraId="7C367B4C">
            <w:pPr>
              <w:spacing w:line="400" w:lineRule="exact"/>
              <w:jc w:val="center"/>
              <w:rPr>
                <w:rFonts w:ascii="宋体" w:hAnsi="宋体"/>
                <w:bCs/>
                <w:color w:val="auto"/>
                <w:sz w:val="24"/>
                <w:highlight w:val="none"/>
              </w:rPr>
            </w:pPr>
          </w:p>
        </w:tc>
      </w:tr>
      <w:tr w14:paraId="726C4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15978F97">
            <w:pPr>
              <w:spacing w:line="400" w:lineRule="exact"/>
              <w:jc w:val="left"/>
              <w:rPr>
                <w:rFonts w:ascii="宋体" w:hAnsi="宋体"/>
                <w:color w:val="auto"/>
                <w:sz w:val="24"/>
                <w:highlight w:val="none"/>
              </w:rPr>
            </w:pPr>
            <w:r>
              <w:rPr>
                <w:rFonts w:hint="eastAsia" w:ascii="宋体" w:hAnsi="宋体"/>
                <w:bCs/>
                <w:color w:val="auto"/>
                <w:sz w:val="24"/>
                <w:highlight w:val="none"/>
              </w:rPr>
              <w:t>总金额：</w:t>
            </w:r>
            <w:r>
              <w:rPr>
                <w:rFonts w:hint="eastAsia" w:ascii="宋体" w:hAnsi="宋体"/>
                <w:color w:val="auto"/>
                <w:sz w:val="24"/>
                <w:highlight w:val="none"/>
              </w:rPr>
              <w:t>人民币</w:t>
            </w:r>
            <w:r>
              <w:rPr>
                <w:rFonts w:hint="eastAsia" w:ascii="宋体" w:hAnsi="宋体"/>
                <w:color w:val="auto"/>
                <w:sz w:val="24"/>
                <w:highlight w:val="none"/>
                <w:u w:val="single"/>
              </w:rPr>
              <w:t xml:space="preserve">      </w:t>
            </w:r>
            <w:r>
              <w:rPr>
                <w:rFonts w:hint="eastAsia" w:ascii="宋体" w:hAnsi="宋体"/>
                <w:color w:val="auto"/>
                <w:sz w:val="24"/>
                <w:highlight w:val="none"/>
              </w:rPr>
              <w:t>元整（¥</w:t>
            </w:r>
            <w:r>
              <w:rPr>
                <w:rFonts w:hint="eastAsia" w:ascii="宋体" w:hAnsi="宋体"/>
                <w:color w:val="auto"/>
                <w:sz w:val="24"/>
                <w:highlight w:val="none"/>
                <w:u w:val="single"/>
              </w:rPr>
              <w:t xml:space="preserve">       </w:t>
            </w:r>
            <w:r>
              <w:rPr>
                <w:rFonts w:hint="eastAsia" w:ascii="宋体" w:hAnsi="宋体"/>
                <w:color w:val="auto"/>
                <w:sz w:val="24"/>
                <w:highlight w:val="none"/>
              </w:rPr>
              <w:t>元）</w:t>
            </w:r>
          </w:p>
        </w:tc>
      </w:tr>
    </w:tbl>
    <w:p w14:paraId="3F3B7694">
      <w:pPr>
        <w:spacing w:line="360" w:lineRule="auto"/>
        <w:jc w:val="left"/>
        <w:rPr>
          <w:rFonts w:ascii="宋体" w:hAnsi="宋体"/>
          <w:b/>
          <w:bCs/>
          <w:color w:val="auto"/>
          <w:sz w:val="24"/>
          <w:highlight w:val="none"/>
        </w:rPr>
      </w:pPr>
    </w:p>
    <w:p w14:paraId="6740D32C">
      <w:pPr>
        <w:spacing w:line="360" w:lineRule="auto"/>
        <w:jc w:val="left"/>
        <w:rPr>
          <w:rFonts w:ascii="宋体" w:hAnsi="宋体"/>
          <w:b/>
          <w:bCs/>
          <w:color w:val="auto"/>
          <w:sz w:val="24"/>
          <w:highlight w:val="none"/>
        </w:rPr>
      </w:pPr>
      <w:r>
        <w:rPr>
          <w:rFonts w:hint="eastAsia" w:ascii="宋体" w:hAnsi="宋体"/>
          <w:b/>
          <w:bCs/>
          <w:color w:val="auto"/>
          <w:sz w:val="24"/>
          <w:highlight w:val="none"/>
        </w:rPr>
        <w:t xml:space="preserve">附件2 </w:t>
      </w:r>
      <w:r>
        <w:rPr>
          <w:rFonts w:hint="eastAsia" w:ascii="宋体" w:hAnsi="宋体"/>
          <w:b/>
          <w:color w:val="auto"/>
          <w:sz w:val="24"/>
          <w:highlight w:val="none"/>
        </w:rPr>
        <w:t>技术规格及标准</w:t>
      </w:r>
    </w:p>
    <w:p w14:paraId="3CF21CCC">
      <w:pPr>
        <w:spacing w:line="360" w:lineRule="auto"/>
        <w:rPr>
          <w:rFonts w:ascii="宋体" w:hAnsi="宋体"/>
          <w:bCs/>
          <w:color w:val="auto"/>
          <w:sz w:val="24"/>
          <w:highlight w:val="none"/>
        </w:rPr>
      </w:pPr>
    </w:p>
    <w:p w14:paraId="2F478179">
      <w:pPr>
        <w:pStyle w:val="4"/>
        <w:tabs>
          <w:tab w:val="center" w:pos="4140"/>
          <w:tab w:val="right" w:pos="8300"/>
          <w:tab w:val="clear" w:pos="4153"/>
          <w:tab w:val="clear" w:pos="8306"/>
        </w:tabs>
        <w:spacing w:line="360" w:lineRule="auto"/>
        <w:rPr>
          <w:rFonts w:ascii="宋体" w:hAnsi="宋体" w:eastAsia="宋体" w:cs="宋体"/>
          <w:b/>
          <w:bCs/>
          <w:color w:val="auto"/>
          <w:sz w:val="24"/>
          <w:highlight w:val="none"/>
        </w:rPr>
      </w:pPr>
      <w:r>
        <w:rPr>
          <w:rFonts w:hint="eastAsia" w:ascii="宋体" w:hAnsi="宋体"/>
          <w:b/>
          <w:bCs/>
          <w:color w:val="auto"/>
          <w:sz w:val="24"/>
          <w:highlight w:val="none"/>
        </w:rPr>
        <w:t>附件3 配置清单</w:t>
      </w:r>
    </w:p>
    <w:p w14:paraId="10BD6A76">
      <w:pPr>
        <w:pStyle w:val="7"/>
        <w:spacing w:line="276" w:lineRule="auto"/>
        <w:ind w:firstLine="960"/>
        <w:rPr>
          <w:rFonts w:hint="default" w:ascii="宋体" w:hAnsi="宋体" w:eastAsia="宋体" w:cs="宋体"/>
          <w:color w:val="auto"/>
          <w:sz w:val="21"/>
          <w:szCs w:val="21"/>
          <w:highlight w:val="none"/>
        </w:rPr>
      </w:pPr>
    </w:p>
    <w:p w14:paraId="408A970B">
      <w:pPr>
        <w:pStyle w:val="7"/>
        <w:rPr>
          <w:rFonts w:hint="default"/>
          <w:color w:val="auto"/>
          <w:highlight w:val="none"/>
        </w:rPr>
      </w:pPr>
    </w:p>
    <w:p w14:paraId="31434B87"/>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17AA05B6"/>
    <w:rsid w:val="17AA05B6"/>
    <w:rsid w:val="3E1C51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3">
    <w:name w:val="Plain Text"/>
    <w:basedOn w:val="1"/>
    <w:qFormat/>
    <w:uiPriority w:val="99"/>
    <w:pPr>
      <w:spacing w:line="324" w:lineRule="auto"/>
    </w:pPr>
    <w:rPr>
      <w:rFonts w:ascii="宋体" w:hAnsi="Courier New"/>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2099</Words>
  <Characters>2129</Characters>
  <Lines>0</Lines>
  <Paragraphs>0</Paragraphs>
  <TotalTime>0</TotalTime>
  <ScaleCrop>false</ScaleCrop>
  <LinksUpToDate>false</LinksUpToDate>
  <CharactersWithSpaces>2433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2024-11-01T08:37:00Z</dcterms:created>
  <dc:creator>～果Fruit%Tiramisu</dc:creator>
  <cp:lastModifiedBy>～果Fruit%Tiramisu</cp:lastModifiedBy>
  <dcterms:modified xsi:type="dcterms:W3CDTF">2024-11-01T09:59:04Z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1EF29F676AA4479D9D043D78C1C6CB65_11</vt:lpwstr>
  </property>
</Properties>
</file>