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版本号：241114002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单病种质控软件系统项目</w:t>
      </w:r>
    </w:p>
    <w:p>
      <w:pPr>
        <w:pStyle w:val="null3"/>
        <w:jc w:val="center"/>
        <w:outlineLvl w:val="2"/>
      </w:pPr>
      <w:r>
        <w:rPr>
          <w:sz w:val="28"/>
          <w:b/>
        </w:rPr>
        <w:t>采购项目编号：</w:t>
      </w:r>
      <w:r>
        <w:rPr>
          <w:sz w:val="28"/>
          <w:b/>
        </w:rPr>
        <w:t>KY2024-3-232</w:t>
      </w:r>
      <w:r>
        <w:br/>
      </w:r>
      <w:r>
        <w:br/>
      </w:r>
      <w:r>
        <w:br/>
      </w:r>
    </w:p>
    <w:p>
      <w:pPr>
        <w:pStyle w:val="null3"/>
        <w:jc w:val="center"/>
        <w:outlineLvl w:val="2"/>
      </w:pPr>
      <w:r>
        <w:rPr>
          <w:sz w:val="28"/>
          <w:b/>
        </w:rPr>
        <w:t>陕西省肿瘤医院</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2024年11月13日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陕西开源招标有限公司</w:t>
      </w:r>
      <w:r>
        <w:rPr/>
        <w:t>（以下简称“代理机构”）受</w:t>
      </w:r>
      <w:r>
        <w:rPr/>
        <w:t>陕西省肿瘤医院</w:t>
      </w:r>
      <w:r>
        <w:rPr/>
        <w:t>委托，拟对</w:t>
      </w:r>
      <w:r>
        <w:rPr/>
        <w:t>单病种质控软件系统项目</w:t>
      </w:r>
      <w:r>
        <w:rPr/>
        <w:t>采用竞争性磋商采购方式进行采购，兹邀请供应商参加本项目的竞争性磋商。</w:t>
      </w:r>
    </w:p>
    <w:p>
      <w:pPr>
        <w:pStyle w:val="null3"/>
        <w:outlineLvl w:val="2"/>
      </w:pPr>
      <w:r>
        <w:rPr>
          <w:sz w:val="28"/>
          <w:b/>
        </w:rPr>
        <w:t>一、项目编号：</w:t>
      </w:r>
      <w:r>
        <w:rPr>
          <w:sz w:val="28"/>
          <w:b/>
        </w:rPr>
        <w:t>KY2024-3-232</w:t>
      </w:r>
    </w:p>
    <w:p>
      <w:pPr>
        <w:pStyle w:val="null3"/>
        <w:outlineLvl w:val="2"/>
      </w:pPr>
      <w:r>
        <w:rPr>
          <w:sz w:val="28"/>
          <w:b/>
        </w:rPr>
        <w:t>二、项目名称：</w:t>
      </w:r>
      <w:r>
        <w:rPr>
          <w:sz w:val="28"/>
          <w:b/>
        </w:rPr>
        <w:t>单病种质控软件系统项目</w:t>
      </w:r>
    </w:p>
    <w:p>
      <w:pPr>
        <w:pStyle w:val="null3"/>
        <w:outlineLvl w:val="2"/>
      </w:pPr>
      <w:r>
        <w:rPr>
          <w:sz w:val="28"/>
          <w:b/>
        </w:rPr>
        <w:t>三、磋商项目简介</w:t>
      </w:r>
    </w:p>
    <w:p>
      <w:pPr>
        <w:pStyle w:val="null3"/>
        <w:ind w:firstLine="480"/>
      </w:pPr>
      <w:r>
        <w:rPr/>
        <w:t>项目概况：单病种质量控制一直是政府、医院管理者十分关注的问题，是我国近年来为老百姓“看病难、看病贵”等医疗制度问题而出台的新举措，也是我国医疗改革与世界接轨、实行单病种分类管理、实施医疗制度的方法之一，落实这一新型的医疗质量管理，是我国各医院的迫切任务之一。 “质量安全管理”是医院工作的核心和永恒主题，而医疗质量管理是一个不断完善和持续改进的过程，要以质量监测指标数据来指导与促进未来医疗质量的发展。单病种管理是医院管理的重要内容之一，构建科学合理的单病种管理体系是当前已有管理的方向和必然趋势，科学的单病种管理体系可以从质量、效率、费用三个维度推动医院精细化管理，为DRGs-PPS提供强有力的支撑。特定（单）病种质量管理已经成为《公立医院院长绩效考核》&amp;《等级医院评审》中的重要指标。</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6、控股管理关系：提供直接控股和管理关系清单。若与其他供应商存在单位负责人为同一人或者存在直接控股、管理关系的，则投标无效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8、法定代表人授权书：法定代表人授权书及被授权人身份证复印件。（法定代表人直接投标只须提交其身份证复印件；被授权人投标需提供投标人于2024年1月至今任意一个月为其缴纳的社保证明材料）</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陕西省肿瘤医院</w:t>
      </w:r>
    </w:p>
    <w:p>
      <w:pPr>
        <w:pStyle w:val="null3"/>
      </w:pPr>
      <w:r>
        <w:rPr/>
        <w:t xml:space="preserve"> 地址： </w:t>
      </w:r>
      <w:r>
        <w:rPr/>
        <w:t>西安市雁塔区雁塔西路309号</w:t>
      </w:r>
    </w:p>
    <w:p>
      <w:pPr>
        <w:pStyle w:val="null3"/>
      </w:pPr>
      <w:r>
        <w:rPr/>
        <w:t xml:space="preserve"> 邮编： </w:t>
      </w:r>
      <w:r>
        <w:rPr/>
        <w:t>710000</w:t>
      </w:r>
    </w:p>
    <w:p>
      <w:pPr>
        <w:pStyle w:val="null3"/>
      </w:pPr>
      <w:r>
        <w:rPr/>
        <w:t xml:space="preserve"> 联系人： </w:t>
      </w:r>
      <w:r>
        <w:rPr/>
        <w:t>李老师</w:t>
      </w:r>
    </w:p>
    <w:p>
      <w:pPr>
        <w:pStyle w:val="null3"/>
      </w:pPr>
      <w:r>
        <w:rPr/>
        <w:t xml:space="preserve"> 联系电话： </w:t>
      </w:r>
      <w:r>
        <w:rPr/>
        <w:t>029-85276353</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张娜、王琦、戈迪</w:t>
      </w:r>
    </w:p>
    <w:p>
      <w:pPr>
        <w:pStyle w:val="null3"/>
      </w:pPr>
      <w:r>
        <w:rPr/>
        <w:t xml:space="preserve"> 联系电话： </w:t>
      </w:r>
      <w:r>
        <w:rPr/>
        <w:t xml:space="preserve"> 029-81206622/81206633-835</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采购包1保证金金额：8,000.00元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银行账号：86113010750181501003704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依据成交金额向采购代理机构交纳成交服务费，交费金额参照国家计委颁布的《招标代理服务收费管理暂行办法》（计价格[2002]1980号）及发改办价格[2003]857号文件的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陕西省肿瘤医院</w:t>
      </w:r>
      <w:r>
        <w:rPr/>
        <w:t>和</w:t>
      </w:r>
      <w:r>
        <w:rPr/>
        <w:t>陕西开源招标有限公司</w:t>
      </w:r>
      <w:r>
        <w:rPr/>
        <w:t>享有。对磋商文件中供应商参加本次政府采购活动应当具备的条件，磋商项目技术、服务、商务及其他要求，评审细则及标准由</w:t>
      </w:r>
      <w:r>
        <w:rPr/>
        <w:t>陕西省肿瘤医院</w:t>
      </w:r>
      <w:r>
        <w:rPr/>
        <w:t>负责解释。除上述磋商文件内容，其他内容由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陕西省肿瘤医院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按磋商文件、投标文件及合同约定执行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联系人：张娜、王琦、戈迪</w:t>
      </w:r>
    </w:p>
    <w:p>
      <w:pPr>
        <w:pStyle w:val="null3"/>
      </w:pPr>
      <w:r>
        <w:rPr/>
        <w:t>联系电话：029-81206622/81206633-835</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单病种质量控制一直是政府、医院管理者十分关注的问题，是我国近年来为老百姓“看病难、看病贵”等医疗制度问题而出台的新举措，也是我国医疗改革与世界接轨、实行单病种分类管理、实施医疗制度的方法之一，落实这一新型的医疗质量管理，是我国各医院的迫切任务之一。 “质量安全管理”是医院工作的核心和永恒主题，而医疗质量管理是一个不断完善和持续改进的过程，要以质量监测指标数据来指导与促进未来医疗质量的发展。单病种管理是医院管理的重要内容之一，构建科学合理的单病种管理体系是当前已有管理的方向和必然趋势，科学的单病种管理体系可以从质量、效率、费用三个维度推动医院精细化管理，为DRGs-PPS提供强有力的支撑。特定（单）病种质量管理已经成为《公立医院院长绩效考核》&amp;《等级医院评审》中的重要指标</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单病种质控软件</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标的名称：单病种质控软件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arial" w:hAnsi="arial" w:cs="arial" w:eastAsia="arial"/>
                <w:sz w:val="24"/>
                <w:color w:val="000000"/>
              </w:rPr>
              <w:t>一、</w:t>
            </w:r>
            <w:r>
              <w:rPr>
                <w:rFonts w:ascii="宋体" w:hAnsi="宋体" w:cs="宋体" w:eastAsia="宋体"/>
                <w:sz w:val="24"/>
                <w:color w:val="000000"/>
              </w:rPr>
              <w:t>系统概况</w:t>
            </w:r>
          </w:p>
          <w:p>
            <w:pPr>
              <w:pStyle w:val="null3"/>
              <w:jc w:val="both"/>
            </w:pPr>
            <w:r>
              <w:rPr>
                <w:rFonts w:ascii="宋体" w:hAnsi="宋体" w:cs="宋体" w:eastAsia="宋体"/>
                <w:sz w:val="24"/>
                <w:color w:val="000000"/>
              </w:rPr>
              <w:t>单病种过程质量管理系统</w:t>
            </w:r>
            <w:r>
              <w:rPr>
                <w:rFonts w:ascii="宋体" w:hAnsi="宋体" w:cs="宋体" w:eastAsia="宋体"/>
                <w:sz w:val="24"/>
                <w:color w:val="000000"/>
              </w:rPr>
              <w:t xml:space="preserve">1套  </w:t>
            </w:r>
          </w:p>
          <w:p>
            <w:pPr>
              <w:pStyle w:val="null3"/>
            </w:pPr>
            <w:r>
              <w:rPr>
                <w:rFonts w:ascii="宋体" w:hAnsi="宋体" w:cs="宋体" w:eastAsia="宋体"/>
                <w:sz w:val="24"/>
                <w:color w:val="000000"/>
              </w:rPr>
              <w:t>以病种为管理单元，结合大数据技术、自然语言处理能力，</w:t>
            </w:r>
            <w:r>
              <w:rPr>
                <w:rFonts w:ascii="宋体" w:hAnsi="宋体" w:cs="宋体" w:eastAsia="宋体"/>
                <w:sz w:val="24"/>
                <w:color w:val="000000"/>
              </w:rPr>
              <w:t>AI自动审核医生诊疗行为是否符合临床规范并实时提醒，从而对医疗过程质量进行管理，能够实现对诊疗中主观行为、内涵质量管理，改变传统人工质控滞后性、偏重形式等弊端。借助人工智能强大的计算能力和无纸化高效传输，大幅减少质控人力成本，提高运营效率，提升医疗服务和质量安全。</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color w:val="000000"/>
              </w:rPr>
              <w:t>二、</w:t>
            </w:r>
            <w:r>
              <w:rPr>
                <w:rFonts w:ascii="宋体" w:hAnsi="宋体" w:cs="宋体" w:eastAsia="宋体"/>
                <w:sz w:val="24"/>
                <w:color w:val="000000"/>
              </w:rPr>
              <w:t>系统技术规格基本要求</w:t>
            </w:r>
          </w:p>
          <w:p>
            <w:pPr>
              <w:pStyle w:val="null3"/>
              <w:jc w:val="both"/>
            </w:pPr>
            <w:r>
              <w:rPr>
                <w:rFonts w:ascii="宋体" w:hAnsi="宋体" w:cs="宋体" w:eastAsia="宋体"/>
                <w:sz w:val="24"/>
                <w:color w:val="000000"/>
              </w:rPr>
              <w:t>1、维护更新</w:t>
            </w:r>
          </w:p>
          <w:p>
            <w:pPr>
              <w:pStyle w:val="null3"/>
            </w:pPr>
            <w:r>
              <w:rPr>
                <w:rFonts w:ascii="宋体" w:hAnsi="宋体" w:cs="宋体" w:eastAsia="宋体"/>
                <w:sz w:val="24"/>
                <w:color w:val="000000"/>
              </w:rPr>
              <w:t>系统维护期内，根据国家政策要求及时进行业务规则、知识库的更新。</w:t>
            </w:r>
          </w:p>
          <w:p>
            <w:pPr>
              <w:pStyle w:val="null3"/>
              <w:jc w:val="both"/>
            </w:pPr>
          </w:p>
        </w:tc>
      </w:tr>
      <w:tr>
        <w:tc>
          <w:tcPr>
            <w:tcW w:type="dxa" w:w="2769"/>
          </w:tcPr>
          <w:p/>
        </w:tc>
        <w:tc>
          <w:tcPr>
            <w:tcW w:type="dxa" w:w="2769"/>
          </w:tcPr>
          <w:p>
            <w:pPr>
              <w:pStyle w:val="null3"/>
            </w:pPr>
            <w:r>
              <w:rPr/>
              <w:t>3</w:t>
            </w:r>
          </w:p>
        </w:tc>
        <w:tc>
          <w:tcPr>
            <w:tcW w:type="dxa" w:w="2769"/>
          </w:tcPr>
          <w:p>
            <w:pPr>
              <w:pStyle w:val="null3"/>
            </w:pPr>
            <w:r>
              <w:rPr>
                <w:sz w:val="21"/>
              </w:rPr>
              <w:t>2、</w:t>
            </w:r>
            <w:r>
              <w:rPr>
                <w:rFonts w:ascii="宋体" w:hAnsi="宋体" w:cs="宋体" w:eastAsia="宋体"/>
                <w:sz w:val="24"/>
                <w:color w:val="000000"/>
              </w:rPr>
              <w:t>安全要求</w:t>
            </w:r>
          </w:p>
          <w:p>
            <w:pPr>
              <w:pStyle w:val="null3"/>
            </w:pPr>
            <w:r>
              <w:rPr>
                <w:rFonts w:ascii="宋体" w:hAnsi="宋体" w:cs="宋体" w:eastAsia="宋体"/>
                <w:sz w:val="24"/>
                <w:color w:val="000000"/>
              </w:rPr>
              <w:t>系统服务器必须在医院内网安装。</w:t>
            </w:r>
          </w:p>
        </w:tc>
      </w:tr>
      <w:tr>
        <w:tc>
          <w:tcPr>
            <w:tcW w:type="dxa" w:w="2769"/>
          </w:tcPr>
          <w:p/>
        </w:tc>
        <w:tc>
          <w:tcPr>
            <w:tcW w:type="dxa" w:w="2769"/>
          </w:tcPr>
          <w:p>
            <w:pPr>
              <w:pStyle w:val="null3"/>
            </w:pPr>
            <w:r>
              <w:rPr/>
              <w:t>4</w:t>
            </w:r>
          </w:p>
        </w:tc>
        <w:tc>
          <w:tcPr>
            <w:tcW w:type="dxa" w:w="2769"/>
          </w:tcPr>
          <w:p>
            <w:pPr>
              <w:pStyle w:val="null3"/>
            </w:pPr>
            <w:r>
              <w:rPr>
                <w:sz w:val="21"/>
              </w:rPr>
              <w:t>3、</w:t>
            </w:r>
            <w:r>
              <w:rPr>
                <w:rFonts w:ascii="宋体" w:hAnsi="宋体" w:cs="宋体" w:eastAsia="宋体"/>
                <w:sz w:val="24"/>
                <w:color w:val="000000"/>
              </w:rPr>
              <w:t>接口要求</w:t>
            </w:r>
          </w:p>
          <w:p>
            <w:pPr>
              <w:pStyle w:val="null3"/>
            </w:pPr>
            <w:r>
              <w:rPr/>
              <w:t>（1）</w:t>
            </w:r>
            <w:r>
              <w:rPr>
                <w:rFonts w:ascii="宋体" w:hAnsi="宋体" w:cs="宋体" w:eastAsia="宋体"/>
                <w:sz w:val="24"/>
                <w:color w:val="000000"/>
              </w:rPr>
              <w:t>符合卫计委颁布的《医院信息系统功能基本规范》。</w:t>
            </w:r>
          </w:p>
          <w:p>
            <w:pPr>
              <w:pStyle w:val="null3"/>
            </w:pPr>
            <w:r>
              <w:rPr/>
              <w:t>（2）</w:t>
            </w:r>
            <w:r>
              <w:rPr>
                <w:rFonts w:ascii="宋体" w:hAnsi="宋体" w:cs="宋体" w:eastAsia="宋体"/>
                <w:sz w:val="24"/>
                <w:color w:val="000000"/>
              </w:rPr>
              <w:t>符合卫计委颁布的《电子病历系统功能规范（试行）》。</w:t>
            </w:r>
          </w:p>
          <w:p>
            <w:pPr>
              <w:pStyle w:val="null3"/>
            </w:pPr>
            <w:r>
              <w:rPr/>
              <w:t>（3）</w:t>
            </w:r>
            <w:r>
              <w:rPr>
                <w:rFonts w:ascii="宋体" w:hAnsi="宋体" w:cs="宋体" w:eastAsia="宋体"/>
                <w:sz w:val="24"/>
                <w:color w:val="000000"/>
              </w:rPr>
              <w:t>符合卫计委颁布的《电子病历系统应用水平分级评价管理办法（试行）及评价标准（试行）》。</w:t>
            </w:r>
          </w:p>
          <w:p>
            <w:pPr>
              <w:pStyle w:val="null3"/>
            </w:pPr>
            <w:r>
              <w:rPr/>
              <w:t>（4）</w:t>
            </w:r>
            <w:r>
              <w:rPr>
                <w:rFonts w:ascii="宋体" w:hAnsi="宋体" w:cs="宋体" w:eastAsia="宋体"/>
                <w:sz w:val="24"/>
                <w:color w:val="000000"/>
              </w:rPr>
              <w:t>能够与医院住院电子病历对接，获取电子病历中的数据内容，包括但不限于主诉、现病史、既往史等信息。</w:t>
            </w:r>
          </w:p>
          <w:p>
            <w:pPr>
              <w:pStyle w:val="null3"/>
            </w:pPr>
            <w:r>
              <w:rPr/>
              <w:t>（5）</w:t>
            </w:r>
            <w:r>
              <w:rPr>
                <w:rFonts w:ascii="宋体" w:hAnsi="宋体" w:cs="宋体" w:eastAsia="宋体"/>
                <w:sz w:val="24"/>
                <w:color w:val="000000"/>
              </w:rPr>
              <w:t>能够与医院医嘱对接，获取医嘱信息，包括但不限于药品、检验、检查、手术医嘱。</w:t>
            </w:r>
          </w:p>
        </w:tc>
      </w:tr>
      <w:tr>
        <w:tc>
          <w:tcPr>
            <w:tcW w:type="dxa" w:w="2769"/>
          </w:tcPr>
          <w:p/>
        </w:tc>
        <w:tc>
          <w:tcPr>
            <w:tcW w:type="dxa" w:w="2769"/>
          </w:tcPr>
          <w:p>
            <w:pPr>
              <w:pStyle w:val="null3"/>
            </w:pPr>
            <w:r>
              <w:rPr/>
              <w:t>5</w:t>
            </w:r>
          </w:p>
        </w:tc>
        <w:tc>
          <w:tcPr>
            <w:tcW w:type="dxa" w:w="2769"/>
          </w:tcPr>
          <w:p>
            <w:pPr>
              <w:pStyle w:val="null3"/>
            </w:pPr>
            <w:r>
              <w:rPr>
                <w:sz w:val="21"/>
              </w:rPr>
              <w:t>4、</w:t>
            </w:r>
            <w:r>
              <w:rPr>
                <w:rFonts w:ascii="宋体" w:hAnsi="宋体" w:cs="宋体" w:eastAsia="宋体"/>
                <w:sz w:val="24"/>
                <w:color w:val="000000"/>
              </w:rPr>
              <w:t>性能要求</w:t>
            </w:r>
          </w:p>
          <w:p>
            <w:pPr>
              <w:pStyle w:val="null3"/>
            </w:pPr>
            <w:r>
              <w:rPr>
                <w:rFonts w:ascii="宋体" w:hAnsi="宋体" w:cs="宋体" w:eastAsia="宋体"/>
                <w:sz w:val="24"/>
                <w:color w:val="000000"/>
              </w:rPr>
              <w:t>提供不同级别，不同故障情况下的应用系统的应急预案（指技术实现方案）。避免因计算机故障导致的医疗工作的延迟和医疗差错。</w:t>
            </w:r>
          </w:p>
        </w:tc>
      </w:tr>
      <w:tr>
        <w:tc>
          <w:tcPr>
            <w:tcW w:type="dxa" w:w="2769"/>
          </w:tcPr>
          <w:p/>
        </w:tc>
        <w:tc>
          <w:tcPr>
            <w:tcW w:type="dxa" w:w="2769"/>
          </w:tcPr>
          <w:p>
            <w:pPr>
              <w:pStyle w:val="null3"/>
            </w:pPr>
            <w:r>
              <w:rPr/>
              <w:t>6</w:t>
            </w:r>
          </w:p>
        </w:tc>
        <w:tc>
          <w:tcPr>
            <w:tcW w:type="dxa" w:w="2769"/>
          </w:tcPr>
          <w:p>
            <w:pPr>
              <w:pStyle w:val="null3"/>
            </w:pPr>
            <w:r>
              <w:rPr>
                <w:sz w:val="21"/>
              </w:rPr>
              <w:t>5、</w:t>
            </w:r>
            <w:r>
              <w:rPr>
                <w:rFonts w:ascii="宋体" w:hAnsi="宋体" w:cs="宋体" w:eastAsia="宋体"/>
                <w:sz w:val="24"/>
                <w:color w:val="000000"/>
              </w:rPr>
              <w:t>数据格式化要求</w:t>
            </w:r>
          </w:p>
          <w:p>
            <w:pPr>
              <w:pStyle w:val="null3"/>
            </w:pPr>
            <w:r>
              <w:rPr>
                <w:rFonts w:ascii="宋体" w:hAnsi="宋体" w:cs="宋体" w:eastAsia="宋体"/>
                <w:sz w:val="24"/>
                <w:color w:val="000000"/>
              </w:rPr>
              <w:t>可以从非结构化电子病历内容中，通过机器学习，自动抽取结构化信息</w:t>
            </w:r>
          </w:p>
        </w:tc>
      </w:tr>
      <w:tr>
        <w:tc>
          <w:tcPr>
            <w:tcW w:type="dxa" w:w="2769"/>
          </w:tcPr>
          <w:p/>
        </w:tc>
        <w:tc>
          <w:tcPr>
            <w:tcW w:type="dxa" w:w="2769"/>
          </w:tcPr>
          <w:p>
            <w:pPr>
              <w:pStyle w:val="null3"/>
            </w:pPr>
            <w:r>
              <w:rPr/>
              <w:t>7</w:t>
            </w:r>
          </w:p>
        </w:tc>
        <w:tc>
          <w:tcPr>
            <w:tcW w:type="dxa" w:w="2769"/>
          </w:tcPr>
          <w:p>
            <w:pPr>
              <w:pStyle w:val="null3"/>
            </w:pPr>
            <w:r>
              <w:rPr>
                <w:sz w:val="21"/>
              </w:rPr>
              <w:t>6、</w:t>
            </w:r>
            <w:r>
              <w:rPr>
                <w:rFonts w:ascii="宋体" w:hAnsi="宋体" w:cs="宋体" w:eastAsia="宋体"/>
                <w:sz w:val="24"/>
                <w:color w:val="000000"/>
              </w:rPr>
              <w:t>终端用户操作性能指标</w:t>
            </w:r>
          </w:p>
          <w:p>
            <w:pPr>
              <w:pStyle w:val="null3"/>
            </w:pPr>
            <w:r>
              <w:rPr>
                <w:rFonts w:ascii="宋体" w:hAnsi="宋体" w:cs="宋体" w:eastAsia="宋体"/>
                <w:sz w:val="24"/>
                <w:color w:val="000000"/>
              </w:rPr>
              <w:t>软件系统要体现易于理解掌握、操作简单、提示清晰、逻辑性强，直观简洁、帮助信息丰富等特点。</w:t>
            </w:r>
          </w:p>
        </w:tc>
      </w:tr>
      <w:tr>
        <w:tc>
          <w:tcPr>
            <w:tcW w:type="dxa" w:w="2769"/>
          </w:tcPr>
          <w:p/>
        </w:tc>
        <w:tc>
          <w:tcPr>
            <w:tcW w:type="dxa" w:w="2769"/>
          </w:tcPr>
          <w:p>
            <w:pPr>
              <w:pStyle w:val="null3"/>
            </w:pPr>
            <w:r>
              <w:rPr/>
              <w:t>8</w:t>
            </w:r>
          </w:p>
        </w:tc>
        <w:tc>
          <w:tcPr>
            <w:tcW w:type="dxa" w:w="2769"/>
          </w:tcPr>
          <w:p>
            <w:pPr>
              <w:pStyle w:val="null3"/>
            </w:pPr>
            <w:r>
              <w:rPr>
                <w:rFonts w:ascii="arial" w:hAnsi="arial" w:cs="arial" w:eastAsia="arial"/>
                <w:sz w:val="24"/>
                <w:color w:val="000000"/>
              </w:rPr>
              <w:t>三、</w:t>
            </w:r>
            <w:r>
              <w:rPr>
                <w:rFonts w:ascii="宋体" w:hAnsi="宋体" w:cs="宋体" w:eastAsia="宋体"/>
                <w:sz w:val="24"/>
                <w:color w:val="000000"/>
              </w:rPr>
              <w:t>数据管理</w:t>
            </w:r>
          </w:p>
          <w:p>
            <w:pPr>
              <w:pStyle w:val="null3"/>
            </w:pPr>
            <w:r>
              <w:rPr>
                <w:rFonts w:ascii="宋体" w:hAnsi="宋体" w:cs="宋体" w:eastAsia="宋体"/>
                <w:sz w:val="24"/>
                <w:color w:val="000000"/>
              </w:rPr>
              <w:t>1、前端数据采集</w:t>
            </w:r>
          </w:p>
          <w:p>
            <w:pPr>
              <w:pStyle w:val="null3"/>
            </w:pPr>
            <w:r>
              <w:rPr>
                <w:rFonts w:ascii="宋体" w:hAnsi="宋体" w:cs="宋体" w:eastAsia="宋体"/>
                <w:sz w:val="24"/>
                <w:color w:val="000000"/>
              </w:rPr>
              <w:t>与电子病历、</w:t>
            </w:r>
            <w:r>
              <w:rPr>
                <w:rFonts w:ascii="宋体" w:hAnsi="宋体" w:cs="宋体" w:eastAsia="宋体"/>
                <w:sz w:val="24"/>
                <w:color w:val="000000"/>
              </w:rPr>
              <w:t>HIS</w:t>
            </w:r>
            <w:r>
              <w:rPr>
                <w:rFonts w:ascii="宋体" w:hAnsi="宋体" w:cs="宋体" w:eastAsia="宋体"/>
                <w:sz w:val="24"/>
                <w:color w:val="000000"/>
              </w:rPr>
              <w:t>系统进行前端功能接口对接，支持各类主流开发框架及开发语言，对接方式支持：客户端、</w:t>
            </w:r>
            <w:r>
              <w:rPr>
                <w:rFonts w:ascii="宋体" w:hAnsi="宋体" w:cs="宋体" w:eastAsia="宋体"/>
                <w:sz w:val="24"/>
                <w:color w:val="000000"/>
              </w:rPr>
              <w:t>dll</w:t>
            </w:r>
            <w:r>
              <w:rPr>
                <w:rFonts w:ascii="宋体" w:hAnsi="宋体" w:cs="宋体" w:eastAsia="宋体"/>
                <w:sz w:val="24"/>
                <w:color w:val="000000"/>
              </w:rPr>
              <w:t>、</w:t>
            </w:r>
            <w:r>
              <w:rPr>
                <w:rFonts w:ascii="宋体" w:hAnsi="宋体" w:cs="宋体" w:eastAsia="宋体"/>
                <w:sz w:val="24"/>
                <w:color w:val="000000"/>
              </w:rPr>
              <w:t>jssdk</w:t>
            </w:r>
            <w:r>
              <w:rPr>
                <w:rFonts w:ascii="宋体" w:hAnsi="宋体" w:cs="宋体" w:eastAsia="宋体"/>
                <w:sz w:val="24"/>
                <w:color w:val="000000"/>
              </w:rPr>
              <w:t>等，实现功能实时触发，数据实时采集。</w:t>
            </w:r>
          </w:p>
        </w:tc>
      </w:tr>
      <w:tr>
        <w:tc>
          <w:tcPr>
            <w:tcW w:type="dxa" w:w="2769"/>
          </w:tcPr>
          <w:p/>
        </w:tc>
        <w:tc>
          <w:tcPr>
            <w:tcW w:type="dxa" w:w="2769"/>
          </w:tcPr>
          <w:p>
            <w:pPr>
              <w:pStyle w:val="null3"/>
            </w:pPr>
            <w:r>
              <w:rPr/>
              <w:t>9</w:t>
            </w:r>
          </w:p>
        </w:tc>
        <w:tc>
          <w:tcPr>
            <w:tcW w:type="dxa" w:w="2769"/>
          </w:tcPr>
          <w:p>
            <w:pPr>
              <w:pStyle w:val="null3"/>
            </w:pPr>
            <w:r>
              <w:rPr>
                <w:sz w:val="21"/>
              </w:rPr>
              <w:t>2、</w:t>
            </w:r>
            <w:r>
              <w:rPr>
                <w:rFonts w:ascii="宋体" w:hAnsi="宋体" w:cs="宋体" w:eastAsia="宋体"/>
                <w:sz w:val="24"/>
                <w:color w:val="000000"/>
              </w:rPr>
              <w:t>后端数据采集</w:t>
            </w:r>
          </w:p>
          <w:p>
            <w:pPr>
              <w:pStyle w:val="null3"/>
            </w:pPr>
            <w:r>
              <w:rPr/>
              <w:t>（1）</w:t>
            </w:r>
            <w:r>
              <w:rPr>
                <w:rFonts w:ascii="宋体" w:hAnsi="宋体" w:cs="宋体" w:eastAsia="宋体"/>
                <w:sz w:val="24"/>
                <w:color w:val="000000"/>
              </w:rPr>
              <w:t>实现各数据采集集成方式，原始数据视图接口，集成平台接口，数据中心接口。</w:t>
            </w:r>
          </w:p>
          <w:p>
            <w:pPr>
              <w:pStyle w:val="null3"/>
            </w:pPr>
            <w:r>
              <w:rPr/>
              <w:t>（2）</w:t>
            </w:r>
            <w:r>
              <w:rPr>
                <w:rFonts w:ascii="宋体" w:hAnsi="宋体" w:cs="宋体" w:eastAsia="宋体"/>
                <w:sz w:val="24"/>
                <w:color w:val="000000"/>
              </w:rPr>
              <w:t>实现数据采集数据源配置，支持</w:t>
            </w:r>
            <w:r>
              <w:rPr>
                <w:rFonts w:ascii="宋体" w:hAnsi="宋体" w:cs="宋体" w:eastAsia="宋体"/>
                <w:sz w:val="24"/>
                <w:color w:val="000000"/>
              </w:rPr>
              <w:t>mysql、SQLServer、Oracle、Cache等多种数据库接入；</w:t>
            </w:r>
          </w:p>
          <w:p>
            <w:pPr>
              <w:pStyle w:val="null3"/>
            </w:pPr>
            <w:r>
              <w:rPr/>
              <w:t>（3）</w:t>
            </w:r>
            <w:r>
              <w:rPr>
                <w:rFonts w:ascii="宋体" w:hAnsi="宋体" w:cs="宋体" w:eastAsia="宋体"/>
                <w:sz w:val="24"/>
                <w:color w:val="000000"/>
              </w:rPr>
              <w:t>实现</w:t>
            </w:r>
            <w:r>
              <w:rPr>
                <w:rFonts w:ascii="宋体" w:hAnsi="宋体" w:cs="宋体" w:eastAsia="宋体"/>
                <w:sz w:val="24"/>
                <w:color w:val="000000"/>
              </w:rPr>
              <w:t>ETL方式对采集数据进行转换和抽取；</w:t>
            </w:r>
          </w:p>
          <w:p>
            <w:pPr>
              <w:pStyle w:val="null3"/>
            </w:pPr>
            <w:r>
              <w:rPr/>
              <w:t>（4）</w:t>
            </w:r>
            <w:r>
              <w:rPr>
                <w:rFonts w:ascii="宋体" w:hAnsi="宋体" w:cs="宋体" w:eastAsia="宋体"/>
                <w:sz w:val="24"/>
                <w:color w:val="000000"/>
              </w:rPr>
              <w:t>实现增量数据采集：支持采用定时任务的采集方式增数据采集与汇集量采集临床数据，且不影响业务系统；</w:t>
            </w:r>
          </w:p>
          <w:p>
            <w:pPr>
              <w:pStyle w:val="null3"/>
            </w:pPr>
            <w:r>
              <w:rPr/>
              <w:t>（5）</w:t>
            </w:r>
            <w:r>
              <w:rPr>
                <w:rFonts w:ascii="宋体" w:hAnsi="宋体" w:cs="宋体" w:eastAsia="宋体"/>
                <w:sz w:val="24"/>
                <w:color w:val="000000"/>
              </w:rPr>
              <w:t>实现实时数据的采集：支持使用数据实时采集方式采集数据，对业务系统数据库性能无影响；支持数据集成过程监控与管理；</w:t>
            </w:r>
          </w:p>
          <w:p>
            <w:pPr>
              <w:pStyle w:val="null3"/>
            </w:pPr>
            <w:r>
              <w:rPr/>
              <w:t>（6）</w:t>
            </w:r>
            <w:r>
              <w:rPr>
                <w:rFonts w:ascii="宋体" w:hAnsi="宋体" w:cs="宋体" w:eastAsia="宋体"/>
                <w:sz w:val="24"/>
                <w:color w:val="000000"/>
              </w:rPr>
              <w:t>实现多种采集任务的时间配置，通过对任务时间的配置，实现定时任务自由配置的效果。</w:t>
            </w:r>
          </w:p>
        </w:tc>
      </w:tr>
      <w:tr>
        <w:tc>
          <w:tcPr>
            <w:tcW w:type="dxa" w:w="2769"/>
          </w:tcPr>
          <w:p>
            <w:pPr>
              <w:pStyle w:val="null3"/>
            </w:pPr>
            <w:r>
              <w:rPr/>
              <w:t>▲</w:t>
            </w:r>
          </w:p>
        </w:tc>
        <w:tc>
          <w:tcPr>
            <w:tcW w:type="dxa" w:w="2769"/>
          </w:tcPr>
          <w:p>
            <w:pPr>
              <w:pStyle w:val="null3"/>
            </w:pPr>
            <w:r>
              <w:rPr/>
              <w:t>10</w:t>
            </w:r>
          </w:p>
        </w:tc>
        <w:tc>
          <w:tcPr>
            <w:tcW w:type="dxa" w:w="2769"/>
          </w:tcPr>
          <w:p>
            <w:pPr>
              <w:pStyle w:val="null3"/>
            </w:pPr>
            <w:r>
              <w:rPr>
                <w:sz w:val="21"/>
              </w:rPr>
              <w:t>3、</w:t>
            </w:r>
            <w:r>
              <w:rPr>
                <w:rFonts w:ascii="宋体" w:hAnsi="宋体" w:cs="宋体" w:eastAsia="宋体"/>
                <w:sz w:val="24"/>
                <w:color w:val="000000"/>
              </w:rPr>
              <w:t>数据质量管理</w:t>
            </w:r>
          </w:p>
          <w:p>
            <w:pPr>
              <w:pStyle w:val="null3"/>
            </w:pPr>
            <w:r>
              <w:rPr>
                <w:rFonts w:ascii="宋体" w:hAnsi="宋体" w:cs="宋体" w:eastAsia="宋体"/>
                <w:sz w:val="24"/>
                <w:color w:val="000000"/>
              </w:rPr>
              <w:t>产品依赖基础数据质量监控，至少包含以下业务：</w:t>
            </w:r>
          </w:p>
          <w:p>
            <w:pPr>
              <w:pStyle w:val="null3"/>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自动对病房医师、门诊医师、检查科室、检验处理等业务项目自动进行数据质量评分。</w:t>
            </w:r>
          </w:p>
          <w:p>
            <w:pPr>
              <w:pStyle w:val="null3"/>
            </w:pPr>
            <w:r>
              <w:rPr>
                <w:rFonts w:ascii="宋体" w:hAnsi="宋体" w:cs="宋体" w:eastAsia="宋体"/>
                <w:sz w:val="24"/>
                <w:color w:val="000000"/>
              </w:rPr>
              <w:t>（</w:t>
            </w:r>
            <w:r>
              <w:rPr>
                <w:rFonts w:ascii="宋体" w:hAnsi="宋体" w:cs="宋体" w:eastAsia="宋体"/>
                <w:sz w:val="24"/>
                <w:color w:val="000000"/>
              </w:rPr>
              <w:t>2）针对病房医师，纳入数据质量监控的业务项目至少包含：医嘱处理、检验报告、检验申请、检查报告、检查申请、病历记录。针对检查科室，纳入数据质量监控的业务项目至少包含：申请与预约、检查记录、检查报告。</w:t>
            </w:r>
          </w:p>
          <w:p>
            <w:pPr>
              <w:pStyle w:val="null3"/>
            </w:pPr>
            <w:r>
              <w:rPr>
                <w:rFonts w:ascii="宋体" w:hAnsi="宋体" w:cs="宋体" w:eastAsia="宋体"/>
                <w:sz w:val="24"/>
                <w:color w:val="000000"/>
              </w:rPr>
              <w:t>（</w:t>
            </w:r>
            <w:r>
              <w:rPr>
                <w:rFonts w:ascii="宋体" w:hAnsi="宋体" w:cs="宋体" w:eastAsia="宋体"/>
                <w:sz w:val="24"/>
                <w:color w:val="000000"/>
              </w:rPr>
              <w:t>3）对各个业务数据的编码对照率、字段有值率、字段关联率、时间顺序正确进行自动统计并支持对于缺陷数据下钻至记录明细，记录明细至少包含：角色、业务项目、评价标准、评价项目、未通过记录</w:t>
            </w:r>
            <w:r>
              <w:rPr>
                <w:rFonts w:ascii="宋体" w:hAnsi="宋体" w:cs="宋体" w:eastAsia="宋体"/>
                <w:sz w:val="24"/>
                <w:color w:val="000000"/>
              </w:rPr>
              <w:t>ID</w:t>
            </w:r>
            <w:r>
              <w:rPr>
                <w:rFonts w:ascii="宋体" w:hAnsi="宋体" w:cs="宋体" w:eastAsia="宋体"/>
                <w:sz w:val="24"/>
                <w:color w:val="000000"/>
              </w:rPr>
              <w:t>、患者标识。</w:t>
            </w:r>
          </w:p>
          <w:p>
            <w:pPr>
              <w:pStyle w:val="null3"/>
            </w:pPr>
            <w:r>
              <w:rPr>
                <w:rFonts w:ascii="宋体" w:hAnsi="宋体" w:cs="宋体" w:eastAsia="宋体"/>
                <w:sz w:val="24"/>
                <w:color w:val="000000"/>
              </w:rPr>
              <w:t>（</w:t>
            </w:r>
            <w:r>
              <w:rPr>
                <w:rFonts w:ascii="宋体" w:hAnsi="宋体" w:cs="宋体" w:eastAsia="宋体"/>
                <w:sz w:val="24"/>
                <w:color w:val="000000"/>
              </w:rPr>
              <w:t>4）可直接查看任意评价项目的</w:t>
            </w:r>
            <w:r>
              <w:rPr>
                <w:rFonts w:ascii="宋体" w:hAnsi="宋体" w:cs="宋体" w:eastAsia="宋体"/>
                <w:sz w:val="24"/>
                <w:color w:val="000000"/>
              </w:rPr>
              <w:t>sql</w:t>
            </w:r>
            <w:r>
              <w:rPr>
                <w:rFonts w:ascii="宋体" w:hAnsi="宋体" w:cs="宋体" w:eastAsia="宋体"/>
                <w:sz w:val="24"/>
                <w:color w:val="000000"/>
              </w:rPr>
              <w:t>配置。</w:t>
            </w:r>
          </w:p>
        </w:tc>
      </w:tr>
      <w:tr>
        <w:tc>
          <w:tcPr>
            <w:tcW w:type="dxa" w:w="2769"/>
          </w:tcPr>
          <w:p>
            <w:pPr>
              <w:pStyle w:val="null3"/>
            </w:pPr>
            <w:r>
              <w:rPr/>
              <w:t>▲</w:t>
            </w:r>
          </w:p>
        </w:tc>
        <w:tc>
          <w:tcPr>
            <w:tcW w:type="dxa" w:w="2769"/>
          </w:tcPr>
          <w:p>
            <w:pPr>
              <w:pStyle w:val="null3"/>
            </w:pPr>
            <w:r>
              <w:rPr/>
              <w:t>11</w:t>
            </w:r>
          </w:p>
        </w:tc>
        <w:tc>
          <w:tcPr>
            <w:tcW w:type="dxa" w:w="2769"/>
          </w:tcPr>
          <w:p>
            <w:pPr>
              <w:pStyle w:val="null3"/>
            </w:pPr>
            <w:r>
              <w:rPr>
                <w:sz w:val="21"/>
              </w:rPr>
              <w:t>4、</w:t>
            </w:r>
            <w:r>
              <w:rPr>
                <w:rFonts w:ascii="宋体" w:hAnsi="宋体" w:cs="宋体" w:eastAsia="宋体"/>
                <w:sz w:val="24"/>
                <w:color w:val="000000"/>
              </w:rPr>
              <w:t>自然语言处理</w:t>
            </w:r>
          </w:p>
          <w:p>
            <w:pPr>
              <w:pStyle w:val="null3"/>
              <w:jc w:val="both"/>
            </w:pPr>
            <w:r>
              <w:rPr>
                <w:rFonts w:ascii="宋体" w:hAnsi="宋体" w:cs="宋体" w:eastAsia="宋体"/>
                <w:sz w:val="24"/>
                <w:color w:val="000000"/>
              </w:rPr>
              <w:t>可对各类非结构化医疗文书进行实时后结构化处理，如对于整段文本形式的出院记录可进行实时智能分析，至少包括：</w:t>
            </w:r>
          </w:p>
          <w:p>
            <w:pPr>
              <w:pStyle w:val="null3"/>
              <w:jc w:val="both"/>
            </w:pPr>
            <w:r>
              <w:rPr>
                <w:rFonts w:ascii="宋体" w:hAnsi="宋体" w:cs="宋体" w:eastAsia="宋体"/>
                <w:sz w:val="24"/>
                <w:color w:val="000000"/>
              </w:rPr>
              <w:t>（</w:t>
            </w:r>
            <w:r>
              <w:rPr>
                <w:rFonts w:ascii="宋体" w:hAnsi="宋体" w:cs="宋体" w:eastAsia="宋体"/>
                <w:sz w:val="24"/>
                <w:color w:val="000000"/>
              </w:rPr>
              <w:t>1）自动分段、分句：自动解析出入院日期、出院日期、入院情况、入院诊断、诊疗经过、出院情况、出院诊断、出院医嘱。并将每段文本中的句子进行自动分段。</w:t>
            </w:r>
          </w:p>
          <w:p>
            <w:pPr>
              <w:pStyle w:val="null3"/>
            </w:pPr>
            <w:r>
              <w:rPr>
                <w:rFonts w:ascii="宋体" w:hAnsi="宋体" w:cs="宋体" w:eastAsia="宋体"/>
                <w:sz w:val="24"/>
                <w:color w:val="000000"/>
              </w:rPr>
              <w:t>（</w:t>
            </w:r>
            <w:r>
              <w:rPr>
                <w:rFonts w:ascii="宋体" w:hAnsi="宋体" w:cs="宋体" w:eastAsia="宋体"/>
                <w:sz w:val="24"/>
                <w:color w:val="000000"/>
              </w:rPr>
              <w:t>2）自动分词：自动对每句文本中的医学实体进行正确识别。</w:t>
            </w:r>
          </w:p>
        </w:tc>
      </w:tr>
      <w:tr>
        <w:tc>
          <w:tcPr>
            <w:tcW w:type="dxa" w:w="2769"/>
          </w:tcPr>
          <w:p/>
        </w:tc>
        <w:tc>
          <w:tcPr>
            <w:tcW w:type="dxa" w:w="2769"/>
          </w:tcPr>
          <w:p>
            <w:pPr>
              <w:pStyle w:val="null3"/>
            </w:pPr>
            <w:r>
              <w:rPr/>
              <w:t>12</w:t>
            </w:r>
          </w:p>
        </w:tc>
        <w:tc>
          <w:tcPr>
            <w:tcW w:type="dxa" w:w="2769"/>
          </w:tcPr>
          <w:p>
            <w:pPr>
              <w:pStyle w:val="null3"/>
            </w:pPr>
            <w:r>
              <w:rPr>
                <w:sz w:val="21"/>
              </w:rPr>
              <w:t>5、</w:t>
            </w:r>
            <w:r>
              <w:rPr>
                <w:rFonts w:ascii="宋体" w:hAnsi="宋体" w:cs="宋体" w:eastAsia="宋体"/>
                <w:sz w:val="24"/>
                <w:color w:val="000000"/>
              </w:rPr>
              <w:t>后结构化数据服务</w:t>
            </w:r>
          </w:p>
          <w:p>
            <w:pPr>
              <w:pStyle w:val="null3"/>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实体关联：对于不同实体之间的关系进行正确关联，如：对于肿瘤</w:t>
            </w:r>
            <w:r>
              <w:rPr>
                <w:rFonts w:ascii="宋体" w:hAnsi="宋体" w:cs="宋体" w:eastAsia="宋体"/>
                <w:sz w:val="24"/>
                <w:color w:val="000000"/>
              </w:rPr>
              <w:t>TNM</w:t>
            </w:r>
            <w:r>
              <w:rPr>
                <w:rFonts w:ascii="宋体" w:hAnsi="宋体" w:cs="宋体" w:eastAsia="宋体"/>
                <w:sz w:val="24"/>
                <w:color w:val="000000"/>
              </w:rPr>
              <w:t>分期可识别并与临床诊断进行关联。</w:t>
            </w:r>
          </w:p>
          <w:p>
            <w:pPr>
              <w:pStyle w:val="null3"/>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实体抽取：以数据库视图形式展示抽取的实体类型及值。</w:t>
            </w:r>
          </w:p>
          <w:p>
            <w:pPr>
              <w:pStyle w:val="null3"/>
            </w:pPr>
            <w:r>
              <w:rPr>
                <w:rFonts w:ascii="宋体" w:hAnsi="宋体" w:cs="宋体" w:eastAsia="宋体"/>
                <w:sz w:val="24"/>
                <w:color w:val="000000"/>
              </w:rPr>
              <w:t>（</w:t>
            </w:r>
            <w:r>
              <w:rPr>
                <w:rFonts w:ascii="宋体" w:hAnsi="宋体" w:cs="宋体" w:eastAsia="宋体"/>
                <w:sz w:val="24"/>
                <w:color w:val="000000"/>
              </w:rPr>
              <w:t>3）API</w:t>
            </w:r>
            <w:r>
              <w:rPr>
                <w:rFonts w:ascii="宋体" w:hAnsi="宋体" w:cs="宋体" w:eastAsia="宋体"/>
                <w:sz w:val="24"/>
                <w:color w:val="000000"/>
              </w:rPr>
              <w:t>视图：支持以</w:t>
            </w:r>
            <w:r>
              <w:rPr>
                <w:rFonts w:ascii="宋体" w:hAnsi="宋体" w:cs="宋体" w:eastAsia="宋体"/>
                <w:sz w:val="24"/>
                <w:color w:val="000000"/>
              </w:rPr>
              <w:t>RESTful API</w:t>
            </w:r>
            <w:r>
              <w:rPr>
                <w:rFonts w:ascii="宋体" w:hAnsi="宋体" w:cs="宋体" w:eastAsia="宋体"/>
                <w:sz w:val="24"/>
                <w:color w:val="000000"/>
              </w:rPr>
              <w:t>接口方式调用自然语言处理引擎并返回相应识别结果。</w:t>
            </w:r>
          </w:p>
        </w:tc>
      </w:tr>
      <w:tr>
        <w:tc>
          <w:tcPr>
            <w:tcW w:type="dxa" w:w="2769"/>
          </w:tcPr>
          <w:p/>
        </w:tc>
        <w:tc>
          <w:tcPr>
            <w:tcW w:type="dxa" w:w="2769"/>
          </w:tcPr>
          <w:p>
            <w:pPr>
              <w:pStyle w:val="null3"/>
            </w:pPr>
            <w:r>
              <w:rPr/>
              <w:t>13</w:t>
            </w:r>
          </w:p>
        </w:tc>
        <w:tc>
          <w:tcPr>
            <w:tcW w:type="dxa" w:w="2769"/>
          </w:tcPr>
          <w:p>
            <w:pPr>
              <w:pStyle w:val="null3"/>
            </w:pPr>
            <w:r>
              <w:rPr>
                <w:sz w:val="24"/>
              </w:rPr>
              <w:t>四、</w:t>
            </w:r>
            <w:r>
              <w:rPr>
                <w:rFonts w:ascii="宋体" w:hAnsi="宋体" w:cs="宋体" w:eastAsia="宋体"/>
                <w:sz w:val="24"/>
                <w:color w:val="000000"/>
              </w:rPr>
              <w:t>单病种过程质控</w:t>
            </w:r>
          </w:p>
          <w:p>
            <w:pPr>
              <w:pStyle w:val="null3"/>
            </w:pPr>
            <w:r>
              <w:rPr>
                <w:rFonts w:ascii="宋体" w:hAnsi="宋体" w:cs="宋体" w:eastAsia="宋体"/>
                <w:sz w:val="24"/>
                <w:color w:val="000000"/>
              </w:rPr>
              <w:t>1、病种覆盖</w:t>
            </w:r>
          </w:p>
          <w:p>
            <w:pPr>
              <w:pStyle w:val="null3"/>
              <w:jc w:val="both"/>
            </w:pPr>
            <w:r>
              <w:rPr>
                <w:rFonts w:ascii="宋体" w:hAnsi="宋体" w:cs="宋体" w:eastAsia="宋体"/>
                <w:sz w:val="24"/>
                <w:color w:val="000000"/>
              </w:rPr>
              <w:t>系统</w:t>
            </w:r>
            <w:r>
              <w:rPr>
                <w:rFonts w:ascii="宋体" w:hAnsi="宋体" w:cs="宋体" w:eastAsia="宋体"/>
                <w:sz w:val="24"/>
                <w:color w:val="000000"/>
              </w:rPr>
              <w:t>至少支持以</w:t>
            </w:r>
            <w:r>
              <w:rPr>
                <w:rFonts w:ascii="宋体" w:hAnsi="宋体" w:cs="宋体" w:eastAsia="宋体"/>
                <w:sz w:val="24"/>
                <w:color w:val="000000"/>
              </w:rPr>
              <w:t>下</w:t>
            </w:r>
            <w:r>
              <w:rPr>
                <w:rFonts w:ascii="宋体" w:hAnsi="宋体" w:cs="宋体" w:eastAsia="宋体"/>
                <w:sz w:val="24"/>
                <w:color w:val="000000"/>
              </w:rPr>
              <w:t>病种</w:t>
            </w:r>
            <w:r>
              <w:rPr>
                <w:rFonts w:ascii="宋体" w:hAnsi="宋体" w:cs="宋体" w:eastAsia="宋体"/>
                <w:sz w:val="24"/>
                <w:color w:val="000000"/>
              </w:rPr>
              <w:t>过程质控：肺癌（手术治疗）、甲状腺癌（手术治疗）、乳腺癌（手术治疗）、胃癌（手术治疗）、宫颈癌（手术治疗）、结直肠癌（手术治疗）、腮腺肿瘤（手术治疗）、子宫肌瘤（手术治疗）、急性肺血栓栓塞症（</w:t>
            </w:r>
            <w:r>
              <w:rPr>
                <w:rFonts w:ascii="宋体" w:hAnsi="宋体" w:cs="宋体" w:eastAsia="宋体"/>
                <w:sz w:val="24"/>
                <w:color w:val="000000"/>
              </w:rPr>
              <w:t>APTE）、甲状腺结节（手术治疗）、肝癌、卵巢癌、肾病（DKD）、前列腺癌、食管癌、子宫内膜癌、食管癌、肝癌、乳腺结节、宫颈癌、腮腺肿瘤、脑膜瘤、胶质瘤、垂体腺瘤、围手术期预防感染。</w:t>
            </w:r>
          </w:p>
          <w:p>
            <w:pPr>
              <w:pStyle w:val="null3"/>
            </w:pPr>
            <w:r>
              <w:rPr>
                <w:rFonts w:ascii="宋体" w:hAnsi="宋体" w:cs="宋体" w:eastAsia="宋体"/>
                <w:sz w:val="24"/>
                <w:color w:val="000000"/>
              </w:rPr>
              <w:t>合同签订后，由招标方</w:t>
            </w:r>
            <w:r>
              <w:rPr>
                <w:rFonts w:ascii="宋体" w:hAnsi="宋体" w:cs="宋体" w:eastAsia="宋体"/>
                <w:sz w:val="24"/>
                <w:color w:val="000000"/>
              </w:rPr>
              <w:t>按国家政策、上级部门相关要求以及招标方具体需求</w:t>
            </w:r>
            <w:r>
              <w:rPr>
                <w:rFonts w:ascii="宋体" w:hAnsi="宋体" w:cs="宋体" w:eastAsia="宋体"/>
                <w:sz w:val="24"/>
                <w:color w:val="000000"/>
              </w:rPr>
              <w:t>在以上病种中选取</w:t>
            </w:r>
            <w:r>
              <w:rPr>
                <w:rFonts w:ascii="宋体" w:hAnsi="宋体" w:cs="宋体" w:eastAsia="宋体"/>
                <w:sz w:val="24"/>
                <w:color w:val="000000"/>
              </w:rPr>
              <w:t>22个病种进行实施。</w:t>
            </w:r>
          </w:p>
        </w:tc>
      </w:tr>
      <w:tr>
        <w:tc>
          <w:tcPr>
            <w:tcW w:type="dxa" w:w="2769"/>
          </w:tcPr>
          <w:p>
            <w:pPr>
              <w:pStyle w:val="null3"/>
            </w:pPr>
            <w:r>
              <w:rPr/>
              <w:t>▲</w:t>
            </w:r>
          </w:p>
        </w:tc>
        <w:tc>
          <w:tcPr>
            <w:tcW w:type="dxa" w:w="2769"/>
          </w:tcPr>
          <w:p>
            <w:pPr>
              <w:pStyle w:val="null3"/>
            </w:pPr>
            <w:r>
              <w:rPr/>
              <w:t>14</w:t>
            </w:r>
          </w:p>
        </w:tc>
        <w:tc>
          <w:tcPr>
            <w:tcW w:type="dxa" w:w="2769"/>
          </w:tcPr>
          <w:p>
            <w:pPr>
              <w:pStyle w:val="null3"/>
            </w:pPr>
            <w:r>
              <w:rPr>
                <w:sz w:val="21"/>
              </w:rPr>
              <w:t>2、</w:t>
            </w:r>
            <w:r>
              <w:rPr>
                <w:rFonts w:ascii="宋体" w:hAnsi="宋体" w:cs="宋体" w:eastAsia="宋体"/>
                <w:sz w:val="24"/>
                <w:color w:val="000000"/>
              </w:rPr>
              <w:t>自动入组</w:t>
            </w:r>
          </w:p>
          <w:p>
            <w:pPr>
              <w:pStyle w:val="null3"/>
            </w:pPr>
            <w:r>
              <w:rPr>
                <w:rFonts w:ascii="宋体" w:hAnsi="宋体" w:cs="宋体" w:eastAsia="宋体"/>
                <w:sz w:val="24"/>
                <w:color w:val="000000"/>
              </w:rPr>
              <w:t>系统支持根据患者病情，自动将符合要求患者纳入单病种监控范围，并提醒。</w:t>
            </w:r>
          </w:p>
        </w:tc>
      </w:tr>
      <w:tr>
        <w:tc>
          <w:tcPr>
            <w:tcW w:type="dxa" w:w="2769"/>
          </w:tcPr>
          <w:p>
            <w:pPr>
              <w:pStyle w:val="null3"/>
            </w:pPr>
            <w:r>
              <w:rPr/>
              <w:t>▲</w:t>
            </w:r>
          </w:p>
        </w:tc>
        <w:tc>
          <w:tcPr>
            <w:tcW w:type="dxa" w:w="2769"/>
          </w:tcPr>
          <w:p>
            <w:pPr>
              <w:pStyle w:val="null3"/>
            </w:pPr>
            <w:r>
              <w:rPr/>
              <w:t>15</w:t>
            </w:r>
          </w:p>
        </w:tc>
        <w:tc>
          <w:tcPr>
            <w:tcW w:type="dxa" w:w="2769"/>
          </w:tcPr>
          <w:p>
            <w:pPr>
              <w:pStyle w:val="null3"/>
            </w:pPr>
            <w:r>
              <w:rPr>
                <w:sz w:val="21"/>
              </w:rPr>
              <w:t>3、</w:t>
            </w:r>
            <w:r>
              <w:rPr>
                <w:rFonts w:ascii="宋体" w:hAnsi="宋体" w:cs="宋体" w:eastAsia="宋体"/>
                <w:sz w:val="24"/>
                <w:color w:val="000000"/>
              </w:rPr>
              <w:t>手动出组</w:t>
            </w:r>
          </w:p>
          <w:p>
            <w:pPr>
              <w:pStyle w:val="null3"/>
            </w:pPr>
            <w:r>
              <w:rPr>
                <w:rFonts w:ascii="宋体" w:hAnsi="宋体" w:cs="宋体" w:eastAsia="宋体"/>
                <w:sz w:val="24"/>
                <w:color w:val="000000"/>
              </w:rPr>
              <w:t>支持临床根据自身需求对系统自动入组的患者进行手动出组，支持出组理由的输入。出组后，该患者后续将不会进行质控提醒。</w:t>
            </w:r>
          </w:p>
        </w:tc>
      </w:tr>
      <w:tr>
        <w:tc>
          <w:tcPr>
            <w:tcW w:type="dxa" w:w="2769"/>
          </w:tcPr>
          <w:p/>
        </w:tc>
        <w:tc>
          <w:tcPr>
            <w:tcW w:type="dxa" w:w="2769"/>
          </w:tcPr>
          <w:p>
            <w:pPr>
              <w:pStyle w:val="null3"/>
            </w:pPr>
            <w:r>
              <w:rPr/>
              <w:t>16</w:t>
            </w:r>
          </w:p>
        </w:tc>
        <w:tc>
          <w:tcPr>
            <w:tcW w:type="dxa" w:w="2769"/>
          </w:tcPr>
          <w:p>
            <w:pPr>
              <w:pStyle w:val="null3"/>
            </w:pPr>
            <w:r>
              <w:rPr>
                <w:sz w:val="21"/>
              </w:rPr>
              <w:t>4、</w:t>
            </w:r>
            <w:r>
              <w:rPr>
                <w:rFonts w:ascii="宋体" w:hAnsi="宋体" w:cs="宋体" w:eastAsia="宋体"/>
                <w:sz w:val="24"/>
                <w:color w:val="000000"/>
              </w:rPr>
              <w:t>指标</w:t>
            </w:r>
            <w:r>
              <w:rPr>
                <w:rFonts w:ascii="宋体" w:hAnsi="宋体" w:cs="宋体" w:eastAsia="宋体"/>
                <w:sz w:val="24"/>
                <w:color w:val="000000"/>
              </w:rPr>
              <w:t>依据</w:t>
            </w:r>
          </w:p>
          <w:p>
            <w:pPr>
              <w:pStyle w:val="null3"/>
            </w:pPr>
            <w:r>
              <w:rPr>
                <w:rFonts w:ascii="宋体" w:hAnsi="宋体" w:cs="宋体" w:eastAsia="宋体"/>
                <w:sz w:val="24"/>
                <w:color w:val="000000"/>
              </w:rPr>
              <w:t>质控指标来源国家卫健委单病种上报平台规定的特定（单）病种质控指标。</w:t>
            </w:r>
          </w:p>
        </w:tc>
      </w:tr>
      <w:tr>
        <w:tc>
          <w:tcPr>
            <w:tcW w:type="dxa" w:w="2769"/>
          </w:tcPr>
          <w:p/>
        </w:tc>
        <w:tc>
          <w:tcPr>
            <w:tcW w:type="dxa" w:w="2769"/>
          </w:tcPr>
          <w:p>
            <w:pPr>
              <w:pStyle w:val="null3"/>
            </w:pPr>
            <w:r>
              <w:rPr/>
              <w:t>17</w:t>
            </w:r>
          </w:p>
        </w:tc>
        <w:tc>
          <w:tcPr>
            <w:tcW w:type="dxa" w:w="2769"/>
          </w:tcPr>
          <w:p>
            <w:pPr>
              <w:pStyle w:val="null3"/>
            </w:pPr>
            <w:r>
              <w:rPr>
                <w:sz w:val="21"/>
              </w:rPr>
              <w:t>5、</w:t>
            </w:r>
            <w:r>
              <w:rPr>
                <w:rFonts w:ascii="宋体" w:hAnsi="宋体" w:cs="宋体" w:eastAsia="宋体"/>
                <w:sz w:val="24"/>
                <w:color w:val="000000"/>
              </w:rPr>
              <w:t>事中过程质控</w:t>
            </w:r>
          </w:p>
          <w:p>
            <w:pPr>
              <w:pStyle w:val="null3"/>
            </w:pPr>
            <w:r>
              <w:rPr>
                <w:rFonts w:ascii="宋体" w:hAnsi="宋体" w:cs="宋体" w:eastAsia="宋体"/>
                <w:sz w:val="24"/>
                <w:color w:val="000000"/>
              </w:rPr>
              <w:t>（</w:t>
            </w:r>
            <w:r>
              <w:rPr>
                <w:rFonts w:ascii="宋体" w:hAnsi="宋体" w:cs="宋体" w:eastAsia="宋体"/>
                <w:sz w:val="24"/>
                <w:color w:val="000000"/>
              </w:rPr>
              <w:t>1）在诊疗过程中，支持自动对电子病历和医嘱等进行质控项目的规范性检查，一旦发现医生诊疗行为偏离质控指标要求将会实时提醒，引导医生按照规范要求完成诊疗项目。</w:t>
            </w:r>
          </w:p>
        </w:tc>
      </w:tr>
      <w:tr>
        <w:tc>
          <w:tcPr>
            <w:tcW w:type="dxa" w:w="2769"/>
          </w:tcPr>
          <w:p>
            <w:pPr>
              <w:pStyle w:val="null3"/>
            </w:pPr>
            <w:r>
              <w:rPr/>
              <w:t>▲</w:t>
            </w:r>
          </w:p>
        </w:tc>
        <w:tc>
          <w:tcPr>
            <w:tcW w:type="dxa" w:w="2769"/>
          </w:tcPr>
          <w:p>
            <w:pPr>
              <w:pStyle w:val="null3"/>
            </w:pPr>
            <w:r>
              <w:rPr/>
              <w:t>18</w:t>
            </w:r>
          </w:p>
        </w:tc>
        <w:tc>
          <w:tcPr>
            <w:tcW w:type="dxa" w:w="2769"/>
          </w:tcPr>
          <w:p>
            <w:pPr>
              <w:pStyle w:val="null3"/>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在患者住院的整个诊疗过程中，系统支持自动解析病历内容，根据病历内容变化，对医疗过程质量进行实时质检，并及时提醒医生。</w:t>
            </w:r>
          </w:p>
        </w:tc>
      </w:tr>
      <w:tr>
        <w:tc>
          <w:tcPr>
            <w:tcW w:type="dxa" w:w="2769"/>
          </w:tcPr>
          <w:p/>
        </w:tc>
        <w:tc>
          <w:tcPr>
            <w:tcW w:type="dxa" w:w="2769"/>
          </w:tcPr>
          <w:p>
            <w:pPr>
              <w:pStyle w:val="null3"/>
            </w:pPr>
            <w:r>
              <w:rPr/>
              <w:t>19</w:t>
            </w:r>
          </w:p>
        </w:tc>
        <w:tc>
          <w:tcPr>
            <w:tcW w:type="dxa" w:w="2769"/>
          </w:tcPr>
          <w:p>
            <w:pPr>
              <w:pStyle w:val="null3"/>
            </w:pPr>
            <w:r>
              <w:rPr>
                <w:rFonts w:ascii="宋体" w:hAnsi="宋体" w:cs="宋体" w:eastAsia="宋体"/>
                <w:sz w:val="24"/>
                <w:color w:val="000000"/>
              </w:rPr>
              <w:t>（</w:t>
            </w:r>
            <w:r>
              <w:rPr>
                <w:rFonts w:ascii="宋体" w:hAnsi="宋体" w:cs="宋体" w:eastAsia="宋体"/>
                <w:sz w:val="24"/>
                <w:color w:val="000000"/>
              </w:rPr>
              <w:t>3）</w:t>
            </w:r>
            <w:r>
              <w:rPr>
                <w:rFonts w:ascii="宋体" w:hAnsi="宋体" w:cs="宋体" w:eastAsia="宋体"/>
                <w:sz w:val="24"/>
                <w:color w:val="000000"/>
              </w:rPr>
              <w:t>在质控过程中，支持医生对某个质控项手动点击</w:t>
            </w:r>
            <w:r>
              <w:rPr>
                <w:rFonts w:ascii="宋体" w:hAnsi="宋体" w:cs="宋体" w:eastAsia="宋体"/>
                <w:sz w:val="24"/>
                <w:color w:val="000000"/>
              </w:rPr>
              <w:t>“完成”按钮，并支持完成理由的选择，以及忽略理由的输入。</w:t>
            </w:r>
          </w:p>
        </w:tc>
      </w:tr>
      <w:tr>
        <w:tc>
          <w:tcPr>
            <w:tcW w:type="dxa" w:w="2769"/>
          </w:tcPr>
          <w:p/>
        </w:tc>
        <w:tc>
          <w:tcPr>
            <w:tcW w:type="dxa" w:w="2769"/>
          </w:tcPr>
          <w:p>
            <w:pPr>
              <w:pStyle w:val="null3"/>
            </w:pPr>
            <w:r>
              <w:rPr/>
              <w:t>20</w:t>
            </w:r>
          </w:p>
        </w:tc>
        <w:tc>
          <w:tcPr>
            <w:tcW w:type="dxa" w:w="2769"/>
          </w:tcPr>
          <w:p>
            <w:pPr>
              <w:pStyle w:val="null3"/>
            </w:pPr>
            <w:r>
              <w:rPr>
                <w:rFonts w:ascii="宋体" w:hAnsi="宋体" w:cs="宋体" w:eastAsia="宋体"/>
                <w:sz w:val="24"/>
                <w:color w:val="000000"/>
              </w:rPr>
              <w:t>（</w:t>
            </w:r>
            <w:r>
              <w:rPr>
                <w:rFonts w:ascii="宋体" w:hAnsi="宋体" w:cs="宋体" w:eastAsia="宋体"/>
                <w:sz w:val="24"/>
                <w:color w:val="000000"/>
              </w:rPr>
              <w:t>4）</w:t>
            </w:r>
            <w:r>
              <w:rPr>
                <w:rFonts w:ascii="宋体" w:hAnsi="宋体" w:cs="宋体" w:eastAsia="宋体"/>
                <w:sz w:val="24"/>
                <w:color w:val="000000"/>
              </w:rPr>
              <w:t>支持必完成项目标记提醒。</w:t>
            </w:r>
          </w:p>
        </w:tc>
      </w:tr>
      <w:tr>
        <w:tc>
          <w:tcPr>
            <w:tcW w:type="dxa" w:w="2769"/>
          </w:tcPr>
          <w:p/>
        </w:tc>
        <w:tc>
          <w:tcPr>
            <w:tcW w:type="dxa" w:w="2769"/>
          </w:tcPr>
          <w:p>
            <w:pPr>
              <w:pStyle w:val="null3"/>
            </w:pPr>
            <w:r>
              <w:rPr/>
              <w:t>21</w:t>
            </w:r>
          </w:p>
        </w:tc>
        <w:tc>
          <w:tcPr>
            <w:tcW w:type="dxa" w:w="2769"/>
          </w:tcPr>
          <w:p>
            <w:pPr>
              <w:pStyle w:val="null3"/>
            </w:pPr>
            <w:r>
              <w:rPr>
                <w:sz w:val="21"/>
              </w:rPr>
              <w:t>6、</w:t>
            </w:r>
            <w:r>
              <w:rPr>
                <w:rFonts w:ascii="宋体" w:hAnsi="宋体" w:cs="宋体" w:eastAsia="宋体"/>
                <w:sz w:val="24"/>
                <w:color w:val="000000"/>
              </w:rPr>
              <w:t>诊疗行为闭环管理</w:t>
            </w:r>
          </w:p>
          <w:p>
            <w:pPr>
              <w:pStyle w:val="null3"/>
            </w:pPr>
            <w:r>
              <w:rPr>
                <w:rFonts w:ascii="宋体" w:hAnsi="宋体" w:cs="宋体" w:eastAsia="宋体"/>
                <w:sz w:val="24"/>
                <w:color w:val="000000"/>
              </w:rPr>
              <w:t>（</w:t>
            </w:r>
            <w:r>
              <w:rPr>
                <w:rFonts w:ascii="宋体" w:hAnsi="宋体" w:cs="宋体" w:eastAsia="宋体"/>
                <w:sz w:val="24"/>
                <w:color w:val="000000"/>
              </w:rPr>
              <w:t>1）支持诊疗行为闭环管理，如果医生完成推送的评估、检验检查或治疗处置操作时，系统自动隐退推送消息。</w:t>
            </w:r>
          </w:p>
        </w:tc>
      </w:tr>
      <w:tr>
        <w:tc>
          <w:tcPr>
            <w:tcW w:type="dxa" w:w="2769"/>
          </w:tcPr>
          <w:p/>
        </w:tc>
        <w:tc>
          <w:tcPr>
            <w:tcW w:type="dxa" w:w="2769"/>
          </w:tcPr>
          <w:p>
            <w:pPr>
              <w:pStyle w:val="null3"/>
            </w:pPr>
            <w:r>
              <w:rPr/>
              <w:t>22</w:t>
            </w:r>
          </w:p>
        </w:tc>
        <w:tc>
          <w:tcPr>
            <w:tcW w:type="dxa" w:w="2769"/>
          </w:tcPr>
          <w:p>
            <w:pPr>
              <w:pStyle w:val="null3"/>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评估表质控</w:t>
            </w:r>
            <w:r>
              <w:rPr>
                <w:rFonts w:ascii="宋体" w:hAnsi="宋体" w:cs="宋体" w:eastAsia="宋体"/>
                <w:sz w:val="24"/>
                <w:b/>
                <w:color w:val="000000"/>
              </w:rPr>
              <w:t>（本项功能需要演示）</w:t>
            </w:r>
            <w:r>
              <w:rPr>
                <w:rFonts w:ascii="宋体" w:hAnsi="宋体" w:cs="宋体" w:eastAsia="宋体"/>
                <w:sz w:val="24"/>
                <w:color w:val="000000"/>
              </w:rPr>
              <w:t>：</w:t>
            </w:r>
          </w:p>
          <w:p>
            <w:pPr>
              <w:pStyle w:val="null3"/>
            </w:pPr>
            <w:r>
              <w:rPr>
                <w:rFonts w:ascii="宋体" w:hAnsi="宋体" w:cs="宋体" w:eastAsia="宋体"/>
                <w:sz w:val="24"/>
                <w:color w:val="000000"/>
              </w:rPr>
              <w:t>a.根据患者的病情，系统可实时为医生推荐该病种需要进行评估的评估表如：为心力衰竭患者推送NYHA心功能分级评估表，并支持在线评估。</w:t>
            </w:r>
          </w:p>
          <w:p>
            <w:pPr>
              <w:pStyle w:val="null3"/>
            </w:pPr>
            <w:r>
              <w:rPr>
                <w:rFonts w:ascii="宋体" w:hAnsi="宋体" w:cs="宋体" w:eastAsia="宋体"/>
                <w:sz w:val="24"/>
                <w:color w:val="000000"/>
              </w:rPr>
              <w:t>b.根据评分情况进行程度分析，自动计算分值，并评估患者当前情况。</w:t>
            </w:r>
          </w:p>
          <w:p>
            <w:pPr>
              <w:pStyle w:val="null3"/>
            </w:pPr>
            <w:r>
              <w:rPr>
                <w:rFonts w:ascii="宋体" w:hAnsi="宋体" w:cs="宋体" w:eastAsia="宋体"/>
                <w:sz w:val="24"/>
                <w:color w:val="000000"/>
              </w:rPr>
              <w:t>c.支持在线完成评估，可将评分结果自动写回电子病历中。</w:t>
            </w:r>
          </w:p>
          <w:p>
            <w:pPr>
              <w:pStyle w:val="null3"/>
            </w:pPr>
            <w:r>
              <w:rPr>
                <w:rFonts w:ascii="宋体" w:hAnsi="宋体" w:cs="宋体" w:eastAsia="宋体"/>
                <w:sz w:val="24"/>
                <w:color w:val="000000"/>
              </w:rPr>
              <w:t>d.支持查阅患者所有在线评估的评估表历史，并支持对评估内容的修改评估、重新评估。</w:t>
            </w:r>
          </w:p>
          <w:p>
            <w:pPr>
              <w:pStyle w:val="null3"/>
            </w:pPr>
            <w:r>
              <w:rPr>
                <w:rFonts w:ascii="宋体" w:hAnsi="宋体" w:cs="宋体" w:eastAsia="宋体"/>
                <w:sz w:val="24"/>
                <w:color w:val="000000"/>
              </w:rPr>
              <w:t>e.支持评估完成的评估表进行在线打印、下载。</w:t>
            </w:r>
          </w:p>
        </w:tc>
      </w:tr>
      <w:tr>
        <w:tc>
          <w:tcPr>
            <w:tcW w:type="dxa" w:w="2769"/>
          </w:tcPr>
          <w:p/>
        </w:tc>
        <w:tc>
          <w:tcPr>
            <w:tcW w:type="dxa" w:w="2769"/>
          </w:tcPr>
          <w:p>
            <w:pPr>
              <w:pStyle w:val="null3"/>
            </w:pPr>
            <w:r>
              <w:rPr/>
              <w:t>23</w:t>
            </w:r>
          </w:p>
        </w:tc>
        <w:tc>
          <w:tcPr>
            <w:tcW w:type="dxa" w:w="2769"/>
          </w:tcPr>
          <w:p>
            <w:pPr>
              <w:pStyle w:val="null3"/>
            </w:pPr>
            <w:r>
              <w:rPr>
                <w:rFonts w:ascii="宋体" w:hAnsi="宋体" w:cs="宋体" w:eastAsia="宋体"/>
                <w:sz w:val="24"/>
                <w:color w:val="000000"/>
              </w:rPr>
              <w:t>（</w:t>
            </w:r>
            <w:r>
              <w:rPr>
                <w:rFonts w:ascii="宋体" w:hAnsi="宋体" w:cs="宋体" w:eastAsia="宋体"/>
                <w:sz w:val="24"/>
                <w:color w:val="000000"/>
              </w:rPr>
              <w:t>3）</w:t>
            </w:r>
            <w:r>
              <w:rPr>
                <w:rFonts w:ascii="宋体" w:hAnsi="宋体" w:cs="宋体" w:eastAsia="宋体"/>
                <w:sz w:val="24"/>
                <w:color w:val="000000"/>
              </w:rPr>
              <w:t>检查</w:t>
            </w:r>
            <w:r>
              <w:rPr>
                <w:rFonts w:ascii="宋体" w:hAnsi="宋体" w:cs="宋体" w:eastAsia="宋体"/>
                <w:sz w:val="24"/>
                <w:color w:val="000000"/>
              </w:rPr>
              <w:t>/检验质控</w:t>
            </w:r>
            <w:r>
              <w:rPr>
                <w:rFonts w:ascii="宋体" w:hAnsi="宋体" w:cs="宋体" w:eastAsia="宋体"/>
                <w:sz w:val="24"/>
                <w:b/>
                <w:color w:val="000000"/>
              </w:rPr>
              <w:t>（本项功能需要演示）</w:t>
            </w:r>
            <w:r>
              <w:rPr>
                <w:rFonts w:ascii="宋体" w:hAnsi="宋体" w:cs="宋体" w:eastAsia="宋体"/>
                <w:sz w:val="24"/>
                <w:color w:val="000000"/>
              </w:rPr>
              <w:t>：</w:t>
            </w:r>
          </w:p>
          <w:p>
            <w:pPr>
              <w:pStyle w:val="null3"/>
            </w:pPr>
            <w:r>
              <w:rPr>
                <w:rFonts w:ascii="宋体" w:hAnsi="宋体" w:cs="宋体" w:eastAsia="宋体"/>
                <w:sz w:val="24"/>
                <w:color w:val="000000"/>
              </w:rPr>
              <w:t>基于单病种管理及指南要求，实时质控医生检查</w:t>
            </w:r>
            <w:r>
              <w:rPr>
                <w:rFonts w:ascii="宋体" w:hAnsi="宋体" w:cs="宋体" w:eastAsia="宋体"/>
                <w:sz w:val="24"/>
                <w:color w:val="000000"/>
              </w:rPr>
              <w:t>/检验项目是否有遗漏，并及时提醒医生完成相关的检查/检验项目。如：对于ST段抬高型心肌梗死患者质控医生有没有完成血脂检查，BNP检测，超声心动图等项目，若未完成，则及时提醒，医生规范完成后提醒自动消失。</w:t>
            </w:r>
          </w:p>
        </w:tc>
      </w:tr>
      <w:tr>
        <w:tc>
          <w:tcPr>
            <w:tcW w:type="dxa" w:w="2769"/>
          </w:tcPr>
          <w:p/>
        </w:tc>
        <w:tc>
          <w:tcPr>
            <w:tcW w:type="dxa" w:w="2769"/>
          </w:tcPr>
          <w:p>
            <w:pPr>
              <w:pStyle w:val="null3"/>
            </w:pPr>
            <w:r>
              <w:rPr/>
              <w:t>24</w:t>
            </w:r>
          </w:p>
        </w:tc>
        <w:tc>
          <w:tcPr>
            <w:tcW w:type="dxa" w:w="2769"/>
          </w:tcPr>
          <w:p>
            <w:pPr>
              <w:pStyle w:val="null3"/>
            </w:pPr>
            <w:r>
              <w:rPr>
                <w:rFonts w:ascii="宋体" w:hAnsi="宋体" w:cs="宋体" w:eastAsia="宋体"/>
                <w:sz w:val="24"/>
                <w:color w:val="000000"/>
              </w:rPr>
              <w:t>（</w:t>
            </w:r>
            <w:r>
              <w:rPr>
                <w:rFonts w:ascii="宋体" w:hAnsi="宋体" w:cs="宋体" w:eastAsia="宋体"/>
                <w:sz w:val="24"/>
                <w:color w:val="000000"/>
              </w:rPr>
              <w:t>4）</w:t>
            </w:r>
            <w:r>
              <w:rPr>
                <w:rFonts w:ascii="宋体" w:hAnsi="宋体" w:cs="宋体" w:eastAsia="宋体"/>
                <w:sz w:val="24"/>
                <w:color w:val="000000"/>
              </w:rPr>
              <w:t>治疗方案质控：</w:t>
            </w:r>
          </w:p>
          <w:p>
            <w:pPr>
              <w:pStyle w:val="null3"/>
            </w:pPr>
            <w:r>
              <w:rPr>
                <w:rFonts w:ascii="宋体" w:hAnsi="宋体" w:cs="宋体" w:eastAsia="宋体"/>
                <w:sz w:val="24"/>
                <w:color w:val="000000"/>
              </w:rPr>
              <w:t>基于患者病情，结合单病种管理及国内外最新指南，给与临床医生治疗方案的指引，如未在合适时机使用治疗药物，引导医生按照指南要求完成诊疗项目。</w:t>
            </w:r>
          </w:p>
        </w:tc>
      </w:tr>
      <w:tr>
        <w:tc>
          <w:tcPr>
            <w:tcW w:type="dxa" w:w="2769"/>
          </w:tcPr>
          <w:p/>
        </w:tc>
        <w:tc>
          <w:tcPr>
            <w:tcW w:type="dxa" w:w="2769"/>
          </w:tcPr>
          <w:p>
            <w:pPr>
              <w:pStyle w:val="null3"/>
            </w:pPr>
            <w:r>
              <w:rPr/>
              <w:t>25</w:t>
            </w:r>
          </w:p>
        </w:tc>
        <w:tc>
          <w:tcPr>
            <w:tcW w:type="dxa" w:w="2769"/>
          </w:tcPr>
          <w:p>
            <w:pPr>
              <w:pStyle w:val="null3"/>
            </w:pPr>
            <w:r>
              <w:rPr>
                <w:sz w:val="21"/>
              </w:rPr>
              <w:t>7、</w:t>
            </w:r>
            <w:r>
              <w:rPr>
                <w:rFonts w:ascii="宋体" w:hAnsi="宋体" w:cs="宋体" w:eastAsia="宋体"/>
                <w:sz w:val="24"/>
                <w:color w:val="000000"/>
              </w:rPr>
              <w:t>分级卡控</w:t>
            </w:r>
            <w:r>
              <w:rPr>
                <w:rFonts w:ascii="宋体" w:hAnsi="宋体" w:cs="宋体" w:eastAsia="宋体"/>
                <w:sz w:val="24"/>
                <w:b/>
                <w:color w:val="000000"/>
              </w:rPr>
              <w:t>（本项功能需要演示）</w:t>
            </w:r>
          </w:p>
          <w:p>
            <w:pPr>
              <w:pStyle w:val="null3"/>
            </w:pPr>
            <w:r>
              <w:rPr>
                <w:rFonts w:ascii="宋体" w:hAnsi="宋体" w:cs="宋体" w:eastAsia="宋体"/>
                <w:sz w:val="24"/>
                <w:color w:val="000000"/>
              </w:rPr>
              <w:t>结合医院监管需求，医院可根据自身业务需求设置过程质控的提醒方式，强度分为三级卡控提醒。</w:t>
            </w:r>
          </w:p>
          <w:p>
            <w:pPr>
              <w:pStyle w:val="null3"/>
            </w:pPr>
            <w:r>
              <w:rPr>
                <w:rFonts w:ascii="宋体" w:hAnsi="宋体" w:cs="宋体" w:eastAsia="宋体"/>
                <w:sz w:val="24"/>
                <w:color w:val="000000"/>
              </w:rPr>
              <w:t>支持质控项的单个、批量进行配置。</w:t>
            </w:r>
          </w:p>
        </w:tc>
      </w:tr>
      <w:tr>
        <w:tc>
          <w:tcPr>
            <w:tcW w:type="dxa" w:w="2769"/>
          </w:tcPr>
          <w:p/>
        </w:tc>
        <w:tc>
          <w:tcPr>
            <w:tcW w:type="dxa" w:w="2769"/>
          </w:tcPr>
          <w:p>
            <w:pPr>
              <w:pStyle w:val="null3"/>
            </w:pPr>
            <w:r>
              <w:rPr/>
              <w:t>26</w:t>
            </w:r>
          </w:p>
        </w:tc>
        <w:tc>
          <w:tcPr>
            <w:tcW w:type="dxa" w:w="2769"/>
          </w:tcPr>
          <w:p>
            <w:pPr>
              <w:pStyle w:val="null3"/>
            </w:pPr>
            <w:r>
              <w:rPr>
                <w:sz w:val="24"/>
              </w:rPr>
              <w:t>五、</w:t>
            </w:r>
            <w:r>
              <w:rPr>
                <w:rFonts w:ascii="宋体" w:hAnsi="宋体" w:cs="宋体" w:eastAsia="宋体"/>
                <w:sz w:val="24"/>
                <w:color w:val="000000"/>
              </w:rPr>
              <w:t>质量管理平台</w:t>
            </w:r>
            <w:r>
              <w:rPr>
                <w:rFonts w:ascii="宋体" w:hAnsi="宋体" w:cs="宋体" w:eastAsia="宋体"/>
                <w:sz w:val="24"/>
                <w:b/>
                <w:color w:val="000000"/>
              </w:rPr>
              <w:t>（本项功能需要演示）</w:t>
            </w:r>
          </w:p>
          <w:p>
            <w:pPr>
              <w:pStyle w:val="null3"/>
            </w:pPr>
            <w:r>
              <w:rPr>
                <w:rFonts w:ascii="宋体" w:hAnsi="宋体" w:cs="宋体" w:eastAsia="宋体"/>
                <w:sz w:val="24"/>
                <w:color w:val="000000"/>
              </w:rPr>
              <w:t>1、质控分析</w:t>
            </w:r>
          </w:p>
          <w:p>
            <w:pPr>
              <w:pStyle w:val="null3"/>
            </w:pPr>
            <w:r>
              <w:rPr>
                <w:rFonts w:ascii="宋体" w:hAnsi="宋体" w:cs="宋体" w:eastAsia="宋体"/>
                <w:sz w:val="24"/>
                <w:color w:val="000000"/>
              </w:rPr>
              <w:t>（</w:t>
            </w:r>
            <w:r>
              <w:rPr>
                <w:rFonts w:ascii="宋体" w:hAnsi="宋体" w:cs="宋体" w:eastAsia="宋体"/>
                <w:sz w:val="24"/>
                <w:color w:val="000000"/>
              </w:rPr>
              <w:t>1）单病种概况：</w:t>
            </w:r>
          </w:p>
          <w:p>
            <w:pPr>
              <w:pStyle w:val="null3"/>
            </w:pPr>
            <w:r>
              <w:rPr>
                <w:rFonts w:ascii="宋体" w:hAnsi="宋体" w:cs="宋体" w:eastAsia="宋体"/>
                <w:sz w:val="24"/>
                <w:color w:val="000000"/>
              </w:rPr>
              <w:t>a.系统支持查看医生之间单病种质控指标的完成率和失败率比较情况，并支持下载统计结果，临床质控执行情况按照质控项目以图形化进行汇总。</w:t>
            </w:r>
          </w:p>
          <w:p>
            <w:pPr>
              <w:pStyle w:val="null3"/>
            </w:pPr>
            <w:r>
              <w:rPr>
                <w:rFonts w:ascii="宋体" w:hAnsi="宋体" w:cs="宋体" w:eastAsia="宋体"/>
                <w:sz w:val="24"/>
                <w:color w:val="000000"/>
              </w:rPr>
              <w:t>b.统计结果图表支持按具体病种的质控指标单独或全部展示完成率和失败率，并支持数据下载。</w:t>
            </w:r>
          </w:p>
        </w:tc>
      </w:tr>
      <w:tr>
        <w:tc>
          <w:tcPr>
            <w:tcW w:type="dxa" w:w="2769"/>
          </w:tcPr>
          <w:p/>
        </w:tc>
        <w:tc>
          <w:tcPr>
            <w:tcW w:type="dxa" w:w="2769"/>
          </w:tcPr>
          <w:p>
            <w:pPr>
              <w:pStyle w:val="null3"/>
            </w:pPr>
            <w:r>
              <w:rPr/>
              <w:t>27</w:t>
            </w:r>
          </w:p>
        </w:tc>
        <w:tc>
          <w:tcPr>
            <w:tcW w:type="dxa" w:w="2769"/>
          </w:tcPr>
          <w:p>
            <w:pPr>
              <w:pStyle w:val="null3"/>
            </w:pPr>
            <w:r>
              <w:rPr>
                <w:rFonts w:ascii="宋体" w:hAnsi="宋体" w:cs="宋体" w:eastAsia="宋体"/>
                <w:sz w:val="24"/>
                <w:color w:val="000000"/>
              </w:rPr>
              <w:t>（</w:t>
            </w:r>
            <w:r>
              <w:rPr>
                <w:rFonts w:ascii="宋体" w:hAnsi="宋体" w:cs="宋体" w:eastAsia="宋体"/>
                <w:sz w:val="24"/>
                <w:color w:val="000000"/>
              </w:rPr>
              <w:t>2）医生质控监测：以医生为统计维度，系统支持对医院科室、病种、质控项目的维度，统计出单病种质控指标的完成率和失败率比较情况。统计结果图表应支持按具体病种的质控指标单独或全部展示完成率和失败率，支持下载统计结果。</w:t>
            </w:r>
          </w:p>
        </w:tc>
      </w:tr>
      <w:tr>
        <w:tc>
          <w:tcPr>
            <w:tcW w:type="dxa" w:w="2769"/>
          </w:tcPr>
          <w:p/>
        </w:tc>
        <w:tc>
          <w:tcPr>
            <w:tcW w:type="dxa" w:w="2769"/>
          </w:tcPr>
          <w:p>
            <w:pPr>
              <w:pStyle w:val="null3"/>
            </w:pPr>
            <w:r>
              <w:rPr/>
              <w:t>28</w:t>
            </w:r>
          </w:p>
        </w:tc>
        <w:tc>
          <w:tcPr>
            <w:tcW w:type="dxa" w:w="2769"/>
          </w:tcPr>
          <w:p>
            <w:pPr>
              <w:pStyle w:val="null3"/>
            </w:pPr>
            <w:r>
              <w:rPr>
                <w:rFonts w:ascii="宋体" w:hAnsi="宋体" w:cs="宋体" w:eastAsia="宋体"/>
                <w:sz w:val="24"/>
                <w:color w:val="000000"/>
              </w:rPr>
              <w:t>（</w:t>
            </w:r>
            <w:r>
              <w:rPr>
                <w:rFonts w:ascii="宋体" w:hAnsi="宋体" w:cs="宋体" w:eastAsia="宋体"/>
                <w:sz w:val="24"/>
                <w:color w:val="000000"/>
              </w:rPr>
              <w:t>3）科室质控监测：以科室为统计维度，系统应支持对医院科室、病种、质控项目的维度，统计出单病种质控指标的完成率和失败率比较情况。统计结果图表应支持按具体病种的质控指标单独或全部展示完成率和失败率，支持下载统计结果。</w:t>
            </w:r>
          </w:p>
        </w:tc>
      </w:tr>
      <w:tr>
        <w:tc>
          <w:tcPr>
            <w:tcW w:type="dxa" w:w="2769"/>
          </w:tcPr>
          <w:p/>
        </w:tc>
        <w:tc>
          <w:tcPr>
            <w:tcW w:type="dxa" w:w="2769"/>
          </w:tcPr>
          <w:p>
            <w:pPr>
              <w:pStyle w:val="null3"/>
            </w:pPr>
            <w:r>
              <w:rPr/>
              <w:t>29</w:t>
            </w:r>
          </w:p>
        </w:tc>
        <w:tc>
          <w:tcPr>
            <w:tcW w:type="dxa" w:w="2769"/>
          </w:tcPr>
          <w:p>
            <w:pPr>
              <w:pStyle w:val="null3"/>
            </w:pPr>
            <w:r>
              <w:rPr>
                <w:sz w:val="21"/>
              </w:rPr>
              <w:t>2、</w:t>
            </w:r>
            <w:r>
              <w:rPr>
                <w:rFonts w:ascii="宋体" w:hAnsi="宋体" w:cs="宋体" w:eastAsia="宋体"/>
                <w:sz w:val="24"/>
                <w:color w:val="000000"/>
              </w:rPr>
              <w:t>患者分析</w:t>
            </w:r>
          </w:p>
          <w:p>
            <w:pPr>
              <w:pStyle w:val="null3"/>
            </w:pPr>
            <w:r>
              <w:rPr>
                <w:rFonts w:ascii="宋体" w:hAnsi="宋体" w:cs="宋体" w:eastAsia="宋体"/>
                <w:sz w:val="24"/>
                <w:color w:val="000000"/>
              </w:rPr>
              <w:t>（</w:t>
            </w:r>
            <w:r>
              <w:rPr>
                <w:rFonts w:ascii="宋体" w:hAnsi="宋体" w:cs="宋体" w:eastAsia="宋体"/>
                <w:sz w:val="24"/>
                <w:color w:val="000000"/>
              </w:rPr>
              <w:t>1）出院人次：支持患者出院人数趋势图查看；支持查看患者明细，至少应包括：主管医生、患者姓名、年龄、出院日期、住院天数等，表格支持下载。</w:t>
            </w:r>
          </w:p>
        </w:tc>
      </w:tr>
      <w:tr>
        <w:tc>
          <w:tcPr>
            <w:tcW w:type="dxa" w:w="2769"/>
          </w:tcPr>
          <w:p/>
        </w:tc>
        <w:tc>
          <w:tcPr>
            <w:tcW w:type="dxa" w:w="2769"/>
          </w:tcPr>
          <w:p>
            <w:pPr>
              <w:pStyle w:val="null3"/>
            </w:pPr>
            <w:r>
              <w:rPr/>
              <w:t>30</w:t>
            </w:r>
          </w:p>
        </w:tc>
        <w:tc>
          <w:tcPr>
            <w:tcW w:type="dxa" w:w="2769"/>
          </w:tcPr>
          <w:p>
            <w:pPr>
              <w:pStyle w:val="null3"/>
            </w:pPr>
            <w:r>
              <w:rPr>
                <w:rFonts w:ascii="宋体" w:hAnsi="宋体" w:cs="宋体" w:eastAsia="宋体"/>
                <w:sz w:val="24"/>
                <w:color w:val="000000"/>
              </w:rPr>
              <w:t>（</w:t>
            </w:r>
            <w:r>
              <w:rPr>
                <w:rFonts w:ascii="宋体" w:hAnsi="宋体" w:cs="宋体" w:eastAsia="宋体"/>
                <w:sz w:val="24"/>
                <w:color w:val="000000"/>
              </w:rPr>
              <w:t>2）住院天数：系统支持对医院科室、病种的维度，统计患住院天数、平均住院日、住院日中位数的具体数值情况统计，支持患者明细查看，至少应包括：主管医生、患者姓名、年龄、出院日期、住院天数等，表格支持下载。</w:t>
            </w:r>
          </w:p>
        </w:tc>
      </w:tr>
      <w:tr>
        <w:tc>
          <w:tcPr>
            <w:tcW w:type="dxa" w:w="2769"/>
          </w:tcPr>
          <w:p/>
        </w:tc>
        <w:tc>
          <w:tcPr>
            <w:tcW w:type="dxa" w:w="2769"/>
          </w:tcPr>
          <w:p>
            <w:pPr>
              <w:pStyle w:val="null3"/>
            </w:pPr>
            <w:r>
              <w:rPr/>
              <w:t>31</w:t>
            </w:r>
          </w:p>
        </w:tc>
        <w:tc>
          <w:tcPr>
            <w:tcW w:type="dxa" w:w="2769"/>
          </w:tcPr>
          <w:p>
            <w:pPr>
              <w:pStyle w:val="null3"/>
            </w:pPr>
            <w:r>
              <w:rPr>
                <w:rFonts w:ascii="宋体" w:hAnsi="宋体" w:cs="宋体" w:eastAsia="宋体"/>
                <w:sz w:val="24"/>
                <w:color w:val="000000"/>
              </w:rPr>
              <w:t>（</w:t>
            </w:r>
            <w:r>
              <w:rPr>
                <w:rFonts w:ascii="宋体" w:hAnsi="宋体" w:cs="宋体" w:eastAsia="宋体"/>
                <w:sz w:val="24"/>
                <w:color w:val="000000"/>
              </w:rPr>
              <w:t>3）年龄分布：系统支持对医院科室、病种的维度，统计出年龄分布的情况，包括条形图以及趋势图，并支持以图形形式查看患者明细，至少应包括：主管医生、患者姓名、年龄、出院日期、住院天数等，表格支持下载。</w:t>
            </w:r>
          </w:p>
        </w:tc>
      </w:tr>
      <w:tr>
        <w:tc>
          <w:tcPr>
            <w:tcW w:type="dxa" w:w="2769"/>
          </w:tcPr>
          <w:p/>
        </w:tc>
        <w:tc>
          <w:tcPr>
            <w:tcW w:type="dxa" w:w="2769"/>
          </w:tcPr>
          <w:p>
            <w:pPr>
              <w:pStyle w:val="null3"/>
            </w:pPr>
            <w:r>
              <w:rPr/>
              <w:t>32</w:t>
            </w:r>
          </w:p>
        </w:tc>
        <w:tc>
          <w:tcPr>
            <w:tcW w:type="dxa" w:w="2769"/>
          </w:tcPr>
          <w:p>
            <w:pPr>
              <w:pStyle w:val="null3"/>
            </w:pPr>
            <w:r>
              <w:rPr>
                <w:rFonts w:ascii="宋体" w:hAnsi="宋体" w:cs="宋体" w:eastAsia="宋体"/>
                <w:sz w:val="24"/>
                <w:color w:val="000000"/>
              </w:rPr>
              <w:t>（</w:t>
            </w:r>
            <w:r>
              <w:rPr>
                <w:rFonts w:ascii="宋体" w:hAnsi="宋体" w:cs="宋体" w:eastAsia="宋体"/>
                <w:sz w:val="24"/>
                <w:color w:val="000000"/>
              </w:rPr>
              <w:t>4）主管医生：系统支持对医院科室、病种的维度，统计出该医生分管的患者例数情况，并支持查看患者明细，至少应包括：主管医生、患者姓名、年龄、出院日期、住院天数等，表格支持下载。</w:t>
            </w:r>
          </w:p>
        </w:tc>
      </w:tr>
      <w:tr>
        <w:tc>
          <w:tcPr>
            <w:tcW w:type="dxa" w:w="2769"/>
          </w:tcPr>
          <w:p/>
        </w:tc>
        <w:tc>
          <w:tcPr>
            <w:tcW w:type="dxa" w:w="2769"/>
          </w:tcPr>
          <w:p>
            <w:pPr>
              <w:pStyle w:val="null3"/>
            </w:pPr>
            <w:r>
              <w:rPr/>
              <w:t>33</w:t>
            </w:r>
          </w:p>
        </w:tc>
        <w:tc>
          <w:tcPr>
            <w:tcW w:type="dxa" w:w="2769"/>
          </w:tcPr>
          <w:p>
            <w:pPr>
              <w:pStyle w:val="null3"/>
            </w:pPr>
            <w:r>
              <w:rPr>
                <w:rFonts w:ascii="宋体" w:hAnsi="宋体" w:cs="宋体" w:eastAsia="宋体"/>
                <w:sz w:val="24"/>
                <w:color w:val="000000"/>
              </w:rPr>
              <w:t>（</w:t>
            </w:r>
            <w:r>
              <w:rPr>
                <w:rFonts w:ascii="宋体" w:hAnsi="宋体" w:cs="宋体" w:eastAsia="宋体"/>
                <w:sz w:val="24"/>
                <w:color w:val="000000"/>
              </w:rPr>
              <w:t>5）死亡患者：系统支持对医院科室、病种的维度，统计出某一个病种在特定时间段内的住院患者总例数和治疗结果死亡的例数具体数量，并支持查看患者明细，至少应包括：主管医生、患者姓名、年龄、出院日期、住院天数等，表格支持下载。</w:t>
            </w:r>
            <w:r>
              <w:rPr>
                <w:rFonts w:ascii="宋体" w:hAnsi="宋体" w:cs="宋体" w:eastAsia="宋体"/>
                <w:sz w:val="24"/>
                <w:b/>
                <w:color w:val="000000"/>
              </w:rPr>
              <w:t>（本项功能需要演示）</w:t>
            </w:r>
          </w:p>
        </w:tc>
      </w:tr>
      <w:tr>
        <w:tc>
          <w:tcPr>
            <w:tcW w:type="dxa" w:w="2769"/>
          </w:tcPr>
          <w:p/>
        </w:tc>
        <w:tc>
          <w:tcPr>
            <w:tcW w:type="dxa" w:w="2769"/>
          </w:tcPr>
          <w:p>
            <w:pPr>
              <w:pStyle w:val="null3"/>
            </w:pPr>
            <w:r>
              <w:rPr/>
              <w:t>34</w:t>
            </w:r>
          </w:p>
        </w:tc>
        <w:tc>
          <w:tcPr>
            <w:tcW w:type="dxa" w:w="2769"/>
          </w:tcPr>
          <w:p>
            <w:pPr>
              <w:pStyle w:val="null3"/>
            </w:pPr>
            <w:r>
              <w:rPr>
                <w:rFonts w:ascii="宋体" w:hAnsi="宋体" w:cs="宋体" w:eastAsia="宋体"/>
                <w:sz w:val="24"/>
                <w:color w:val="000000"/>
              </w:rPr>
              <w:t>（</w:t>
            </w:r>
            <w:r>
              <w:rPr>
                <w:rFonts w:ascii="宋体" w:hAnsi="宋体" w:cs="宋体" w:eastAsia="宋体"/>
                <w:sz w:val="24"/>
                <w:color w:val="000000"/>
              </w:rPr>
              <w:t>6）离院方式：系统支持对医院科室、病种的维度，统计出某一个病种在特定时间段内的住院患者各种离院方式的患者例数情况，并支持查看患者明细，至少应包括：主管医生、患者姓名、年龄、出院日期、住院天数等，表格支持下载。</w:t>
            </w:r>
          </w:p>
        </w:tc>
      </w:tr>
      <w:tr>
        <w:tc>
          <w:tcPr>
            <w:tcW w:type="dxa" w:w="2769"/>
          </w:tcPr>
          <w:p/>
        </w:tc>
        <w:tc>
          <w:tcPr>
            <w:tcW w:type="dxa" w:w="2769"/>
          </w:tcPr>
          <w:p>
            <w:pPr>
              <w:pStyle w:val="null3"/>
            </w:pPr>
            <w:r>
              <w:rPr/>
              <w:t>35</w:t>
            </w:r>
          </w:p>
        </w:tc>
        <w:tc>
          <w:tcPr>
            <w:tcW w:type="dxa" w:w="2769"/>
          </w:tcPr>
          <w:p>
            <w:pPr>
              <w:pStyle w:val="null3"/>
            </w:pPr>
            <w:r>
              <w:rPr>
                <w:sz w:val="24"/>
              </w:rPr>
              <w:t>六、</w:t>
            </w:r>
            <w:r>
              <w:rPr>
                <w:rFonts w:ascii="宋体" w:hAnsi="宋体" w:cs="宋体" w:eastAsia="宋体"/>
                <w:sz w:val="24"/>
                <w:color w:val="000000"/>
              </w:rPr>
              <w:t>建设效果</w:t>
            </w:r>
          </w:p>
          <w:p>
            <w:pPr>
              <w:pStyle w:val="null3"/>
            </w:pPr>
            <w:r>
              <w:rPr>
                <w:rFonts w:ascii="宋体" w:hAnsi="宋体" w:cs="宋体" w:eastAsia="宋体"/>
                <w:sz w:val="24"/>
                <w:color w:val="000000"/>
              </w:rPr>
              <w:t>1、</w:t>
            </w:r>
            <w:r>
              <w:rPr>
                <w:rFonts w:ascii="宋体" w:hAnsi="宋体" w:cs="宋体" w:eastAsia="宋体"/>
                <w:sz w:val="24"/>
                <w:color w:val="000000"/>
              </w:rPr>
              <w:t>过程质控</w:t>
            </w:r>
          </w:p>
          <w:p>
            <w:pPr>
              <w:pStyle w:val="null3"/>
            </w:pPr>
            <w:r>
              <w:rPr>
                <w:rFonts w:ascii="宋体" w:hAnsi="宋体" w:cs="宋体" w:eastAsia="宋体"/>
                <w:sz w:val="24"/>
                <w:color w:val="000000"/>
              </w:rPr>
              <w:t>利用AI技术对各项过程质控指标进行事中质控，规范临床医生诊疗行为。</w:t>
            </w:r>
          </w:p>
        </w:tc>
      </w:tr>
      <w:tr>
        <w:tc>
          <w:tcPr>
            <w:tcW w:type="dxa" w:w="2769"/>
          </w:tcPr>
          <w:p/>
        </w:tc>
        <w:tc>
          <w:tcPr>
            <w:tcW w:type="dxa" w:w="2769"/>
          </w:tcPr>
          <w:p>
            <w:pPr>
              <w:pStyle w:val="null3"/>
            </w:pPr>
            <w:r>
              <w:rPr/>
              <w:t>36</w:t>
            </w:r>
          </w:p>
        </w:tc>
        <w:tc>
          <w:tcPr>
            <w:tcW w:type="dxa" w:w="2769"/>
          </w:tcPr>
          <w:p>
            <w:pPr>
              <w:pStyle w:val="null3"/>
            </w:pPr>
            <w:r>
              <w:rPr>
                <w:sz w:val="21"/>
              </w:rPr>
              <w:t>2、</w:t>
            </w:r>
            <w:r>
              <w:rPr>
                <w:rFonts w:ascii="宋体" w:hAnsi="宋体" w:cs="宋体" w:eastAsia="宋体"/>
                <w:sz w:val="24"/>
                <w:color w:val="000000"/>
              </w:rPr>
              <w:t>精细化管理</w:t>
            </w:r>
          </w:p>
          <w:p>
            <w:pPr>
              <w:pStyle w:val="null3"/>
            </w:pPr>
            <w:r>
              <w:rPr>
                <w:rFonts w:ascii="宋体" w:hAnsi="宋体" w:cs="宋体" w:eastAsia="宋体"/>
                <w:sz w:val="24"/>
                <w:color w:val="000000"/>
              </w:rPr>
              <w:t>通过平台提供的统计指标，实时监测各科室、医生指标</w:t>
            </w:r>
          </w:p>
        </w:tc>
      </w:tr>
      <w:tr>
        <w:tc>
          <w:tcPr>
            <w:tcW w:type="dxa" w:w="2769"/>
          </w:tcPr>
          <w:p/>
        </w:tc>
        <w:tc>
          <w:tcPr>
            <w:tcW w:type="dxa" w:w="2769"/>
          </w:tcPr>
          <w:p>
            <w:pPr>
              <w:pStyle w:val="null3"/>
            </w:pPr>
            <w:r>
              <w:rPr/>
              <w:t>37</w:t>
            </w:r>
          </w:p>
        </w:tc>
        <w:tc>
          <w:tcPr>
            <w:tcW w:type="dxa" w:w="2769"/>
          </w:tcPr>
          <w:p>
            <w:pPr>
              <w:pStyle w:val="null3"/>
            </w:pPr>
            <w:r>
              <w:rPr>
                <w:sz w:val="21"/>
              </w:rPr>
              <w:t>3、</w:t>
            </w:r>
            <w:r>
              <w:rPr>
                <w:rFonts w:ascii="宋体" w:hAnsi="宋体" w:cs="宋体" w:eastAsia="宋体"/>
                <w:sz w:val="24"/>
                <w:color w:val="000000"/>
              </w:rPr>
              <w:t>规范化建设</w:t>
            </w:r>
          </w:p>
          <w:p>
            <w:pPr>
              <w:pStyle w:val="null3"/>
            </w:pPr>
            <w:r>
              <w:rPr>
                <w:rFonts w:ascii="宋体" w:hAnsi="宋体" w:cs="宋体" w:eastAsia="宋体"/>
                <w:sz w:val="24"/>
                <w:color w:val="000000"/>
              </w:rPr>
              <w:t>通过事中+事后全流程管理实现全院单病种质量同质化、规范化建设，提升单病种诊疗规范，降低院内单病种病死率，住院天数，次均费用</w:t>
            </w:r>
          </w:p>
        </w:tc>
      </w:tr>
      <w:tr>
        <w:tc>
          <w:tcPr>
            <w:tcW w:type="dxa" w:w="2769"/>
          </w:tcPr>
          <w:p/>
        </w:tc>
        <w:tc>
          <w:tcPr>
            <w:tcW w:type="dxa" w:w="2769"/>
          </w:tcPr>
          <w:p>
            <w:pPr>
              <w:pStyle w:val="null3"/>
            </w:pPr>
            <w:r>
              <w:rPr/>
              <w:t>38</w:t>
            </w:r>
          </w:p>
        </w:tc>
        <w:tc>
          <w:tcPr>
            <w:tcW w:type="dxa" w:w="2769"/>
          </w:tcPr>
          <w:p>
            <w:pPr>
              <w:pStyle w:val="null3"/>
            </w:pPr>
            <w:r>
              <w:rPr>
                <w:sz w:val="24"/>
              </w:rPr>
              <w:t>七、对接要求</w:t>
            </w:r>
          </w:p>
          <w:p>
            <w:pPr>
              <w:pStyle w:val="null3"/>
            </w:pPr>
            <w:r>
              <w:rPr>
                <w:sz w:val="24"/>
              </w:rPr>
              <w:t>本项目预留合同总价款10%-15%的费用，用于与本院其他软件系统及硬件设备对接。</w:t>
            </w:r>
          </w:p>
        </w:tc>
      </w:tr>
    </w:tbl>
    <w:p>
      <w:pPr>
        <w:pStyle w:val="null3"/>
        <w:outlineLvl w:val="2"/>
      </w:pPr>
      <w:r>
        <w:rPr>
          <w:sz w:val="28"/>
          <w:b/>
        </w:rPr>
        <w:t>3.2.3人员配置要求</w:t>
      </w:r>
    </w:p>
    <w:p>
      <w:pPr>
        <w:pStyle w:val="null3"/>
      </w:pPr>
      <w:r>
        <w:rPr/>
        <w:t>采购包1：</w:t>
      </w:r>
    </w:p>
    <w:p>
      <w:pPr>
        <w:pStyle w:val="null3"/>
      </w:pPr>
      <w:r>
        <w:rPr/>
        <w:t>满足项目实施要求</w:t>
      </w:r>
    </w:p>
    <w:p>
      <w:pPr>
        <w:pStyle w:val="null3"/>
        <w:outlineLvl w:val="2"/>
      </w:pPr>
      <w:r>
        <w:rPr>
          <w:sz w:val="28"/>
          <w:b/>
        </w:rPr>
        <w:t>3.2.4设施设备要求</w:t>
      </w:r>
    </w:p>
    <w:p>
      <w:pPr>
        <w:pStyle w:val="null3"/>
      </w:pPr>
      <w:r>
        <w:rPr/>
        <w:t>采购包1：</w:t>
      </w:r>
    </w:p>
    <w:p>
      <w:pPr>
        <w:pStyle w:val="null3"/>
      </w:pPr>
      <w:r>
        <w:rPr/>
        <w:t>满足项目实施要求</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交付期：自合同签订之日起 90日，质量保证期:三年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通过检验的项目成果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项目交付并经采购人验收合格后</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outlineLvl w:val="2"/>
      </w:pPr>
      <w:r>
        <w:rPr>
          <w:sz w:val="28"/>
          <w:b/>
        </w:rPr>
        <w:t>3.4其他要求</w:t>
      </w:r>
    </w:p>
    <w:p>
      <w:pPr>
        <w:pStyle w:val="null3"/>
      </w:pPr>
      <w:r>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张娜、王琦，联系电话：029-81206622/81206633-835）。 3、若电子响应文件与纸质响应文件不一致的，以电子响应文件为准。4、请供应商于开标截止时间之前到达西安市雁展路1111号莱安中心T6-15层第一会议室进行现场演示，演示设备自行准备。</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法定代表人授权书及被授权人身份证复印件。（法定代表人直接投标只须提交其身份证复印件；被授权人投标需提供投标人于2024年1月至今任意一个月为其缴纳的社保证明材料）</w:t>
            </w:r>
          </w:p>
        </w:tc>
        <w:tc>
          <w:tcPr>
            <w:tcW w:type="dxa" w:w="1661"/>
          </w:tcPr>
          <w:p>
            <w:pPr>
              <w:pStyle w:val="null3"/>
            </w:pPr>
            <w:r>
              <w:rPr/>
              <w:t>供应商资格条件证明文件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商务应答表 标的清单 报价表</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响应文件封面 供应商资格条件证明文件</w:t>
            </w:r>
          </w:p>
        </w:tc>
      </w:tr>
      <w:tr>
        <w:tc>
          <w:tcPr>
            <w:tcW w:type="dxa" w:w="831"/>
          </w:tcPr>
          <w:p>
            <w:pPr>
              <w:pStyle w:val="null3"/>
            </w:pPr>
            <w:r>
              <w:rPr/>
              <w:t>3</w:t>
            </w:r>
          </w:p>
        </w:tc>
        <w:tc>
          <w:tcPr>
            <w:tcW w:type="dxa" w:w="2492"/>
          </w:tcPr>
          <w:p>
            <w:pPr>
              <w:pStyle w:val="null3"/>
            </w:pPr>
            <w:r>
              <w:rPr/>
              <w:t>响应文件按磋商文件要求的数量、计量单位、报价货币及签字盖章</w:t>
            </w:r>
          </w:p>
        </w:tc>
        <w:tc>
          <w:tcPr>
            <w:tcW w:type="dxa" w:w="3322"/>
          </w:tcPr>
          <w:p>
            <w:pPr>
              <w:pStyle w:val="null3"/>
            </w:pPr>
            <w:r>
              <w:rPr/>
              <w:t>响应文件按磋商文件要求的数量、计量单位、报价货币及签字盖章</w:t>
            </w:r>
          </w:p>
        </w:tc>
        <w:tc>
          <w:tcPr>
            <w:tcW w:type="dxa" w:w="1661"/>
          </w:tcPr>
          <w:p>
            <w:pPr>
              <w:pStyle w:val="null3"/>
            </w:pPr>
            <w:r>
              <w:rPr/>
              <w:t>供应商资格条件证明文件 响应文件封面 分项报价表 商务应答表 标的清单 响应函</w:t>
            </w:r>
          </w:p>
        </w:tc>
      </w:tr>
      <w:tr>
        <w:tc>
          <w:tcPr>
            <w:tcW w:type="dxa" w:w="831"/>
          </w:tcPr>
          <w:p>
            <w:pPr>
              <w:pStyle w:val="null3"/>
            </w:pPr>
            <w:r>
              <w:rPr/>
              <w:t>4</w:t>
            </w:r>
          </w:p>
        </w:tc>
        <w:tc>
          <w:tcPr>
            <w:tcW w:type="dxa" w:w="2492"/>
          </w:tcPr>
          <w:p>
            <w:pPr>
              <w:pStyle w:val="null3"/>
            </w:pPr>
            <w:r>
              <w:rPr/>
              <w:t>响应文件的有效期达到磋商文件要求</w:t>
            </w:r>
          </w:p>
        </w:tc>
        <w:tc>
          <w:tcPr>
            <w:tcW w:type="dxa" w:w="3322"/>
          </w:tcPr>
          <w:p>
            <w:pPr>
              <w:pStyle w:val="null3"/>
            </w:pPr>
            <w:r>
              <w:rPr/>
              <w:t>响应文件的有效期达到磋商文件要求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符合法律、法规和磋商文件中规定的其他实质性要求</w:t>
            </w:r>
          </w:p>
        </w:tc>
        <w:tc>
          <w:tcPr>
            <w:tcW w:type="dxa" w:w="3322"/>
          </w:tcPr>
          <w:p>
            <w:pPr>
              <w:pStyle w:val="null3"/>
            </w:pPr>
            <w:r>
              <w:rPr/>
              <w:t>符合法律、法规和磋商文件中规定的其他实质性要求</w:t>
            </w:r>
          </w:p>
        </w:tc>
        <w:tc>
          <w:tcPr>
            <w:tcW w:type="dxa" w:w="1661"/>
          </w:tcPr>
          <w:p>
            <w:pPr>
              <w:pStyle w:val="null3"/>
            </w:pPr>
            <w:r>
              <w:rPr/>
              <w:t>供应商资格条件证明文件 服务内容及服务邀请应答表 供应商认为有必要说明的问题 分项报价表 商务应答表 标的清单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响应产品的技术指标、参数完全符合、满足磋商文件要求，没有负偏离的计20分；参数负偏离一项扣1分，扣完为止。“▲”的为重要指标，每负偏离一项扣2分。 注：提供响应产品的主要技术指标、参数的相应的证明材料（不限于产品彩页、测试报告、官网和功能截图等技术支持性文件资料），经评审专家审定得分。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服务方案</w:t>
            </w:r>
          </w:p>
          <w:p>
            <w:pPr>
              <w:pStyle w:val="null3"/>
            </w:pPr>
            <w:r>
              <w:rPr/>
              <w:t>详细评审---技术参数</w:t>
            </w:r>
          </w:p>
        </w:tc>
      </w:tr>
      <w:tr>
        <w:tc>
          <w:tcPr>
            <w:tcW w:type="dxa" w:w="831"/>
            <w:vMerge/>
          </w:tcPr>
          <w:p/>
        </w:tc>
        <w:tc>
          <w:tcPr>
            <w:tcW w:type="dxa" w:w="1661"/>
          </w:tcPr>
          <w:p>
            <w:pPr>
              <w:pStyle w:val="null3"/>
            </w:pPr>
            <w:r>
              <w:rPr/>
              <w:t>演示</w:t>
            </w:r>
          </w:p>
        </w:tc>
        <w:tc>
          <w:tcPr>
            <w:tcW w:type="dxa" w:w="2492"/>
          </w:tcPr>
          <w:p>
            <w:pPr>
              <w:pStyle w:val="null3"/>
            </w:pPr>
            <w:r>
              <w:rPr/>
              <w:t>供应商需对参数中演示项（共计5条）进行逐条演示，每条演示项成功演示且演示内容符合参数要求的计2分，每条演示项内容有瑕疵的计1分，未演示或演示内容不符合参数要求的不计分。本项满分10分。 备注：1、仅接受真实系统进行演示，PPT、视频等形式不计分，请供应商于开标截止时间之前到达西安市雁展路1111号莱安中心T6-15层第一会议室进行现场演示，演示设备自行准备，演示时长不超过10分钟。 2、说明：瑕疵是指演示项虽有内容但不完善、内容表述前后不一致或演示条理混乱等任意一种情形。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详细评审---演示</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供应商提供针对本项目的实施方案，方案针对本项目实施提出： 1、重点、难点分析并给出相应的解决方案； 2、应急保障措施； 3、进度安排、质量保证及验收方案的描述； 4、各个模块的开发方案。 方案各项内容全面详细、阐述条理清晰详尽、符合本项目采购需求、能有效保障本项目实施的得14分，每有一个缺项扣3.5分，每有一处内容存在缺陷，扣2分，扣完为止。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服务方案</w:t>
            </w:r>
          </w:p>
          <w:p>
            <w:pPr>
              <w:pStyle w:val="null3"/>
            </w:pPr>
            <w:r>
              <w:rPr/>
              <w:t>详细评审---实施方案</w:t>
            </w:r>
          </w:p>
        </w:tc>
      </w:tr>
      <w:tr>
        <w:tc>
          <w:tcPr>
            <w:tcW w:type="dxa" w:w="831"/>
            <w:vMerge/>
          </w:tcPr>
          <w:p/>
        </w:tc>
        <w:tc>
          <w:tcPr>
            <w:tcW w:type="dxa" w:w="1661"/>
          </w:tcPr>
          <w:p>
            <w:pPr>
              <w:pStyle w:val="null3"/>
            </w:pPr>
            <w:r>
              <w:rPr/>
              <w:t>企业实力1</w:t>
            </w:r>
          </w:p>
        </w:tc>
        <w:tc>
          <w:tcPr>
            <w:tcW w:type="dxa" w:w="2492"/>
          </w:tcPr>
          <w:p>
            <w:pPr>
              <w:pStyle w:val="null3"/>
            </w:pPr>
            <w:r>
              <w:rPr/>
              <w:t>供应商具有有效的ISO9001质量管理体系、ISO14001环境管理体系、ISO27001信息安全管理体系认证，ISO20000信息技术服务管理体系认证，每提供一个得1分。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服务方案</w:t>
            </w:r>
          </w:p>
          <w:p>
            <w:pPr>
              <w:pStyle w:val="null3"/>
            </w:pPr>
            <w:r>
              <w:rPr/>
              <w:t>详细评审---企业实力1</w:t>
            </w:r>
          </w:p>
        </w:tc>
      </w:tr>
      <w:tr>
        <w:tc>
          <w:tcPr>
            <w:tcW w:type="dxa" w:w="831"/>
            <w:vMerge/>
          </w:tcPr>
          <w:p/>
        </w:tc>
        <w:tc>
          <w:tcPr>
            <w:tcW w:type="dxa" w:w="1661"/>
          </w:tcPr>
          <w:p>
            <w:pPr>
              <w:pStyle w:val="null3"/>
            </w:pPr>
            <w:r>
              <w:rPr/>
              <w:t>企业实力2</w:t>
            </w:r>
          </w:p>
        </w:tc>
        <w:tc>
          <w:tcPr>
            <w:tcW w:type="dxa" w:w="2492"/>
          </w:tcPr>
          <w:p>
            <w:pPr>
              <w:pStyle w:val="null3"/>
            </w:pPr>
            <w:r>
              <w:rPr/>
              <w:t>供应商具有有效的ITSS信息技术服务标准符合性证书运行维护服务三级及以上资质证书，提供证书复印件得，不提供不得分。提供了得2分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w:t>
            </w:r>
          </w:p>
          <w:p>
            <w:pPr>
              <w:pStyle w:val="null3"/>
            </w:pPr>
            <w:r>
              <w:rPr/>
              <w:t>详细评审---企业实力2</w:t>
            </w:r>
          </w:p>
        </w:tc>
      </w:tr>
      <w:tr>
        <w:tc>
          <w:tcPr>
            <w:tcW w:type="dxa" w:w="831"/>
            <w:vMerge/>
          </w:tcPr>
          <w:p/>
        </w:tc>
        <w:tc>
          <w:tcPr>
            <w:tcW w:type="dxa" w:w="1661"/>
          </w:tcPr>
          <w:p>
            <w:pPr>
              <w:pStyle w:val="null3"/>
            </w:pPr>
            <w:r>
              <w:rPr/>
              <w:t>项目经理</w:t>
            </w:r>
          </w:p>
        </w:tc>
        <w:tc>
          <w:tcPr>
            <w:tcW w:type="dxa" w:w="2492"/>
          </w:tcPr>
          <w:p>
            <w:pPr>
              <w:pStyle w:val="null3"/>
            </w:pPr>
            <w:r>
              <w:rPr/>
              <w:t>要求拟派项目经理具备有效的PMP证书，在本单位注册并提供近一年内的任意一个月的社保证明。全部满足提供得1分，不满足不得分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服务方案</w:t>
            </w:r>
          </w:p>
          <w:p>
            <w:pPr>
              <w:pStyle w:val="null3"/>
            </w:pPr>
            <w:r>
              <w:rPr/>
              <w:t>详细评审---项目经理</w:t>
            </w:r>
          </w:p>
        </w:tc>
      </w:tr>
      <w:tr>
        <w:tc>
          <w:tcPr>
            <w:tcW w:type="dxa" w:w="831"/>
            <w:vMerge/>
          </w:tcPr>
          <w:p/>
        </w:tc>
        <w:tc>
          <w:tcPr>
            <w:tcW w:type="dxa" w:w="1661"/>
          </w:tcPr>
          <w:p>
            <w:pPr>
              <w:pStyle w:val="null3"/>
            </w:pPr>
            <w:r>
              <w:rPr/>
              <w:t>团队实力</w:t>
            </w:r>
          </w:p>
        </w:tc>
        <w:tc>
          <w:tcPr>
            <w:tcW w:type="dxa" w:w="2492"/>
          </w:tcPr>
          <w:p>
            <w:pPr>
              <w:pStyle w:val="null3"/>
            </w:pPr>
            <w:r>
              <w:rPr/>
              <w:t>技术人员具有中级及以上软件工程师职称证书，提供近一年内的任意一个月的社保证明，每提供一个证书得1分，共2分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w:t>
            </w:r>
          </w:p>
          <w:p>
            <w:pPr>
              <w:pStyle w:val="null3"/>
            </w:pPr>
            <w:r>
              <w:rPr/>
              <w:t>详细评审---团队实力</w:t>
            </w:r>
          </w:p>
        </w:tc>
      </w:tr>
      <w:tr>
        <w:tc>
          <w:tcPr>
            <w:tcW w:type="dxa" w:w="831"/>
            <w:vMerge/>
          </w:tcPr>
          <w:p/>
        </w:tc>
        <w:tc>
          <w:tcPr>
            <w:tcW w:type="dxa" w:w="1661"/>
          </w:tcPr>
          <w:p>
            <w:pPr>
              <w:pStyle w:val="null3"/>
            </w:pPr>
            <w:r>
              <w:rPr/>
              <w:t>人员安排</w:t>
            </w:r>
          </w:p>
        </w:tc>
        <w:tc>
          <w:tcPr>
            <w:tcW w:type="dxa" w:w="2492"/>
          </w:tcPr>
          <w:p>
            <w:pPr>
              <w:pStyle w:val="null3"/>
            </w:pPr>
            <w:r>
              <w:rPr/>
              <w:t>供应商结合项目实际情况提供针对本项目的团队（除项目负责人外）配备方案，内容包括： 1、人员配备齐全、结构合理，安排计划及分配工作情况表，计划科学合理有针对性； 2、人员配备能力完备、经验丰富等； 3、内控制度：具有管理组织机构、问责机制、监督机制、自查制度。 内容全面详细、阐述条理清晰，能有效保障本项目实施得6分，每有一项缺项扣2分，每有一处内容存在缺陷，扣1分，扣完为止。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详细评审---人员安排</w:t>
            </w:r>
          </w:p>
        </w:tc>
      </w:tr>
      <w:tr>
        <w:tc>
          <w:tcPr>
            <w:tcW w:type="dxa" w:w="831"/>
            <w:vMerge/>
          </w:tcPr>
          <w:p/>
        </w:tc>
        <w:tc>
          <w:tcPr>
            <w:tcW w:type="dxa" w:w="1661"/>
          </w:tcPr>
          <w:p>
            <w:pPr>
              <w:pStyle w:val="null3"/>
            </w:pPr>
            <w:r>
              <w:rPr/>
              <w:t>设计方案</w:t>
            </w:r>
          </w:p>
        </w:tc>
        <w:tc>
          <w:tcPr>
            <w:tcW w:type="dxa" w:w="2492"/>
          </w:tcPr>
          <w:p>
            <w:pPr>
              <w:pStyle w:val="null3"/>
            </w:pPr>
            <w:r>
              <w:rPr/>
              <w:t>产品设计方案： 1、投标产品总体架构设计合理思路清晰、完整、全面，符合医院信息化发展趋势的 2、投标产品功能、模块设计满足采购人要求，并对未来留有一定升级空间 方案各项内容全面详细、阐述条理清晰详尽、符合本项目采购需求、能有效保障本项目实施的得10分，每有一个缺项扣5分，每有一处内容存在缺陷，扣3分，扣完为止。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详细评审---设计方案</w:t>
            </w:r>
          </w:p>
        </w:tc>
      </w:tr>
      <w:tr>
        <w:tc>
          <w:tcPr>
            <w:tcW w:type="dxa" w:w="831"/>
            <w:vMerge/>
          </w:tcPr>
          <w:p/>
        </w:tc>
        <w:tc>
          <w:tcPr>
            <w:tcW w:type="dxa" w:w="1661"/>
          </w:tcPr>
          <w:p>
            <w:pPr>
              <w:pStyle w:val="null3"/>
            </w:pPr>
            <w:r>
              <w:rPr/>
              <w:t>售后服务方案</w:t>
            </w:r>
          </w:p>
        </w:tc>
        <w:tc>
          <w:tcPr>
            <w:tcW w:type="dxa" w:w="2492"/>
          </w:tcPr>
          <w:p>
            <w:pPr>
              <w:pStyle w:val="null3"/>
            </w:pPr>
            <w:r>
              <w:rPr/>
              <w:t>提供针对本项目提供售后服务方案，内容包含： 1.售后服务内容； 2.故障服务管理方案； 3.应急方案。 方案内容全面详细、阐述条理清晰，能有效保障本项目实施得6分，每有一项缺项扣2分，每有一处内容存在缺陷，扣1分，扣完为止。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详细评审---售后服务方案</w:t>
            </w:r>
          </w:p>
        </w:tc>
      </w:tr>
      <w:tr>
        <w:tc>
          <w:tcPr>
            <w:tcW w:type="dxa" w:w="831"/>
            <w:vMerge/>
          </w:tcPr>
          <w:p/>
        </w:tc>
        <w:tc>
          <w:tcPr>
            <w:tcW w:type="dxa" w:w="1661"/>
          </w:tcPr>
          <w:p>
            <w:pPr>
              <w:pStyle w:val="null3"/>
            </w:pPr>
            <w:r>
              <w:rPr/>
              <w:t>培训服务方案</w:t>
            </w:r>
          </w:p>
        </w:tc>
        <w:tc>
          <w:tcPr>
            <w:tcW w:type="dxa" w:w="2492"/>
          </w:tcPr>
          <w:p>
            <w:pPr>
              <w:pStyle w:val="null3"/>
            </w:pPr>
            <w:r>
              <w:rPr/>
              <w:t>供应商提供针对本项目的培训服务方案，内容包括：1.培训采购人指定的操作和维修人员； 2.培训内容应包括所提供产品的原理和技术性能、操作维护方法、安装调试、排除故障等各个方面。 方案内容全面详细、阐述条理清晰、配置合理，能有效保障本项目实施得4分，每有一项缺项扣2分，每有一处内容存在缺陷，扣1分，扣完为止。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p>
            <w:pPr>
              <w:pStyle w:val="null3"/>
            </w:pPr>
            <w:r>
              <w:rPr/>
              <w:t>详细评审---培训服务方案</w:t>
            </w:r>
          </w:p>
        </w:tc>
      </w:tr>
      <w:tr>
        <w:tc>
          <w:tcPr>
            <w:tcW w:type="dxa" w:w="831"/>
            <w:vMerge/>
          </w:tcPr>
          <w:p/>
        </w:tc>
        <w:tc>
          <w:tcPr>
            <w:tcW w:type="dxa" w:w="1661"/>
          </w:tcPr>
          <w:p>
            <w:pPr>
              <w:pStyle w:val="null3"/>
            </w:pPr>
            <w:r>
              <w:rPr/>
              <w:t>业绩</w:t>
            </w:r>
          </w:p>
        </w:tc>
        <w:tc>
          <w:tcPr>
            <w:tcW w:type="dxa" w:w="2492"/>
          </w:tcPr>
          <w:p>
            <w:pPr>
              <w:pStyle w:val="null3"/>
            </w:pPr>
            <w:r>
              <w:rPr/>
              <w:t>提供供应商2021年1月至开标前同类项目的业绩，须提供合同复印件加盖公章，提供不全不计分，每提供一份计2分，此项共计6分。 同类业绩：信息化系统建设项目</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w:t>
            </w:r>
          </w:p>
          <w:p>
            <w:pPr>
              <w:pStyle w:val="null3"/>
            </w:pPr>
            <w:r>
              <w:rPr/>
              <w:t>详细评审---业绩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分项报价表 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详见附件：供应商认为有必要说明的问题</w:t>
      </w:r>
    </w:p>
    <w:p>
      <w:pPr>
        <w:pStyle w:val="null3"/>
        <w:ind w:firstLine="960"/>
      </w:pPr>
      <w:r>
        <w:rPr/>
        <w:t>详见附件：供应商资格条件证明文件</w:t>
      </w:r>
    </w:p>
    <w:p>
      <w:pPr>
        <w:pStyle w:val="null3"/>
        <w:ind w:firstLine="960"/>
      </w:pPr>
      <w:r>
        <w:rPr/>
        <w:t>详见附件：详细评审---技术参数</w:t>
      </w:r>
    </w:p>
    <w:p>
      <w:pPr>
        <w:pStyle w:val="null3"/>
        <w:ind w:firstLine="960"/>
      </w:pPr>
      <w:r>
        <w:rPr/>
        <w:t>详见附件：详细评审---培训服务方案</w:t>
      </w:r>
    </w:p>
    <w:p>
      <w:pPr>
        <w:pStyle w:val="null3"/>
        <w:ind w:firstLine="960"/>
      </w:pPr>
      <w:r>
        <w:rPr/>
        <w:t>详见附件：详细评审---企业实力1</w:t>
      </w:r>
    </w:p>
    <w:p>
      <w:pPr>
        <w:pStyle w:val="null3"/>
        <w:ind w:firstLine="960"/>
      </w:pPr>
      <w:r>
        <w:rPr/>
        <w:t>详见附件：详细评审---企业实力2</w:t>
      </w:r>
    </w:p>
    <w:p>
      <w:pPr>
        <w:pStyle w:val="null3"/>
        <w:ind w:firstLine="960"/>
      </w:pPr>
      <w:r>
        <w:rPr/>
        <w:t>详见附件：详细评审---人员安排</w:t>
      </w:r>
    </w:p>
    <w:p>
      <w:pPr>
        <w:pStyle w:val="null3"/>
        <w:ind w:firstLine="960"/>
      </w:pPr>
      <w:r>
        <w:rPr/>
        <w:t>详见附件：详细评审---设计方案</w:t>
      </w:r>
    </w:p>
    <w:p>
      <w:pPr>
        <w:pStyle w:val="null3"/>
        <w:ind w:firstLine="960"/>
      </w:pPr>
      <w:r>
        <w:rPr/>
        <w:t>详见附件：详细评审---实施方案</w:t>
      </w:r>
    </w:p>
    <w:p>
      <w:pPr>
        <w:pStyle w:val="null3"/>
        <w:ind w:firstLine="960"/>
      </w:pPr>
      <w:r>
        <w:rPr/>
        <w:t>详见附件：详细评审---售后服务方案</w:t>
      </w:r>
    </w:p>
    <w:p>
      <w:pPr>
        <w:pStyle w:val="null3"/>
        <w:ind w:firstLine="960"/>
      </w:pPr>
      <w:r>
        <w:rPr/>
        <w:t>详见附件：详细评审---团队实力</w:t>
      </w:r>
    </w:p>
    <w:p>
      <w:pPr>
        <w:pStyle w:val="null3"/>
        <w:ind w:firstLine="960"/>
      </w:pPr>
      <w:r>
        <w:rPr/>
        <w:t>详见附件：详细评审---项目经理</w:t>
      </w:r>
    </w:p>
    <w:p>
      <w:pPr>
        <w:pStyle w:val="null3"/>
        <w:ind w:firstLine="960"/>
      </w:pPr>
      <w:r>
        <w:rPr/>
        <w:t>详见附件：详细评审---演示</w:t>
      </w:r>
    </w:p>
    <w:p>
      <w:pPr>
        <w:pStyle w:val="null3"/>
        <w:ind w:firstLine="960"/>
      </w:pPr>
      <w:r>
        <w:rPr/>
        <w:t>详见附件：详细评审---业绩</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