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机房建设项目(二次)</w:t>
      </w:r>
    </w:p>
    <w:p>
      <w:pPr>
        <w:pStyle w:val="null3"/>
        <w:jc w:val="center"/>
        <w:outlineLvl w:val="2"/>
      </w:pPr>
      <w:r>
        <w:rPr>
          <w:sz w:val="28"/>
          <w:b/>
        </w:rPr>
        <w:t>采购项目编号：</w:t>
      </w:r>
      <w:r>
        <w:rPr>
          <w:sz w:val="28"/>
          <w:b/>
        </w:rPr>
        <w:t>GCZB2024-09-199-02</w:t>
      </w:r>
      <w:r>
        <w:br/>
      </w:r>
      <w:r>
        <w:br/>
      </w:r>
      <w:r>
        <w:br/>
      </w:r>
    </w:p>
    <w:p>
      <w:pPr>
        <w:pStyle w:val="null3"/>
        <w:jc w:val="center"/>
        <w:outlineLvl w:val="2"/>
      </w:pPr>
      <w:r>
        <w:rPr>
          <w:sz w:val="28"/>
          <w:b/>
        </w:rPr>
        <w:t>陕西省广播电视监测中心</w:t>
      </w:r>
    </w:p>
    <w:p>
      <w:pPr>
        <w:pStyle w:val="null3"/>
        <w:jc w:val="center"/>
        <w:outlineLvl w:val="2"/>
      </w:pPr>
      <w:r>
        <w:rPr>
          <w:sz w:val="28"/>
          <w:b/>
        </w:rPr>
        <w:t>陕西国创招标有限公司</w:t>
      </w:r>
      <w:r>
        <w:rPr>
          <w:sz w:val="28"/>
          <w:b/>
        </w:rPr>
        <w:t>共同编制</w:t>
      </w:r>
    </w:p>
    <w:p>
      <w:pPr>
        <w:pStyle w:val="null3"/>
        <w:jc w:val="center"/>
        <w:outlineLvl w:val="2"/>
      </w:pPr>
      <w:r>
        <w:rPr>
          <w:sz w:val="28"/>
          <w:b/>
        </w:rPr>
        <w:t>2024年11月12日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陕西国创招标有限公司</w:t>
      </w:r>
      <w:r>
        <w:rPr/>
        <w:t>（以下简称“代理机构”）受</w:t>
      </w:r>
      <w:r>
        <w:rPr/>
        <w:t>陕西省广播电视监测中心</w:t>
      </w:r>
      <w:r>
        <w:rPr/>
        <w:t>委托，拟对</w:t>
      </w:r>
      <w:r>
        <w:rPr/>
        <w:t>机房建设项目(二次)</w:t>
      </w:r>
      <w:r>
        <w:rPr/>
        <w:t>采用竞争性磋商采购方式进行采购，兹邀请供应商参加本项目的竞争性磋商。</w:t>
      </w:r>
    </w:p>
    <w:p>
      <w:pPr>
        <w:pStyle w:val="null3"/>
        <w:outlineLvl w:val="2"/>
      </w:pPr>
      <w:r>
        <w:rPr>
          <w:sz w:val="28"/>
          <w:b/>
        </w:rPr>
        <w:t>一、项目编号：</w:t>
      </w:r>
      <w:r>
        <w:rPr>
          <w:sz w:val="28"/>
          <w:b/>
        </w:rPr>
        <w:t>GCZB2024-09-199-02</w:t>
      </w:r>
    </w:p>
    <w:p>
      <w:pPr>
        <w:pStyle w:val="null3"/>
        <w:outlineLvl w:val="2"/>
      </w:pPr>
      <w:r>
        <w:rPr>
          <w:sz w:val="28"/>
          <w:b/>
        </w:rPr>
        <w:t>二、项目名称：</w:t>
      </w:r>
      <w:r>
        <w:rPr>
          <w:sz w:val="28"/>
          <w:b/>
        </w:rPr>
        <w:t>机房建设项目(二次)</w:t>
      </w:r>
    </w:p>
    <w:p>
      <w:pPr>
        <w:pStyle w:val="null3"/>
        <w:outlineLvl w:val="2"/>
      </w:pPr>
      <w:r>
        <w:rPr>
          <w:sz w:val="28"/>
          <w:b/>
        </w:rPr>
        <w:t>三、磋商项目简介</w:t>
      </w:r>
    </w:p>
    <w:p>
      <w:pPr>
        <w:pStyle w:val="null3"/>
        <w:ind w:firstLine="480"/>
      </w:pPr>
      <w:r>
        <w:rPr/>
        <w:t>陕西省广播电视监测中心机房建设项目(二次)，详见服务内容及服务要求。</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经审计的2023年度的财务报告或提交响应文件截止时间前六个月内其基本账户开户银行出具的资信证明（附开户许可证或开户备案证明）；其他组织和自然人提供银行出具的资信证明或财务报表；</w:t>
      </w:r>
    </w:p>
    <w:p>
      <w:pPr>
        <w:pStyle w:val="null3"/>
      </w:pPr>
      <w:r>
        <w:rPr/>
        <w:t>3、税收缴纳证明：提供响应文件递交截止日前一年内已缴存的至少一个月的纳税证明或完税证明，依法免税的供应商提供相关文件证明；</w:t>
      </w:r>
    </w:p>
    <w:p>
      <w:pPr>
        <w:pStyle w:val="null3"/>
      </w:pPr>
      <w:r>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t>6、承诺书：具有履行合同所必须的设备和专业技术能力的说明及承诺；</w:t>
      </w:r>
    </w:p>
    <w:p>
      <w:pPr>
        <w:pStyle w:val="null3"/>
      </w:pPr>
      <w:r>
        <w:rPr/>
        <w:t>7、法定代表人授权书：供应商应授权合法的人员参加磋商，其中法定代表人直接参加的，须出具法定代表人证明书；被授权代表参加的，须出具法定代表人授权书；</w:t>
      </w:r>
    </w:p>
    <w:p>
      <w:pPr>
        <w:pStyle w:val="null3"/>
      </w:pPr>
      <w:r>
        <w:rPr/>
        <w:t>8、直接控股、管理关系：单位负责人为同一人或存在直接控股、管理关系的不同单位，不得同时参加本项目投标活动。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陕西省广播电视监测中心</w:t>
      </w:r>
    </w:p>
    <w:p>
      <w:pPr>
        <w:pStyle w:val="null3"/>
      </w:pPr>
      <w:r>
        <w:rPr/>
        <w:t xml:space="preserve"> 地址： </w:t>
      </w:r>
      <w:r>
        <w:rPr/>
        <w:t>陕西省西安市长安南路336号</w:t>
      </w:r>
    </w:p>
    <w:p>
      <w:pPr>
        <w:pStyle w:val="null3"/>
      </w:pPr>
      <w:r>
        <w:rPr/>
        <w:t xml:space="preserve"> 邮编： </w:t>
      </w:r>
      <w:r>
        <w:rPr/>
        <w:t>710100</w:t>
      </w:r>
    </w:p>
    <w:p>
      <w:pPr>
        <w:pStyle w:val="null3"/>
      </w:pPr>
      <w:r>
        <w:rPr/>
        <w:t xml:space="preserve"> 联系人： </w:t>
      </w:r>
      <w:r>
        <w:rPr/>
        <w:t>李老师 邢老师</w:t>
      </w:r>
    </w:p>
    <w:p>
      <w:pPr>
        <w:pStyle w:val="null3"/>
      </w:pPr>
      <w:r>
        <w:rPr/>
        <w:t xml:space="preserve"> 联系电话： </w:t>
      </w:r>
      <w:r>
        <w:rPr/>
        <w:t>029-85496889</w:t>
      </w:r>
    </w:p>
    <w:p>
      <w:pPr>
        <w:pStyle w:val="null3"/>
        <w:outlineLvl w:val="3"/>
      </w:pPr>
      <w:r>
        <w:rPr>
          <w:sz w:val="24"/>
          <w:b/>
        </w:rPr>
        <w:t>代理机构：</w:t>
      </w:r>
      <w:r>
        <w:rPr>
          <w:sz w:val="24"/>
          <w:b/>
        </w:rPr>
        <w:t>陕西国创招标有限公司</w:t>
      </w:r>
    </w:p>
    <w:p>
      <w:pPr>
        <w:pStyle w:val="null3"/>
      </w:pPr>
      <w:r>
        <w:rPr/>
        <w:t xml:space="preserve"> 地址： </w:t>
      </w:r>
      <w:r>
        <w:rPr/>
        <w:t>西安市高新区高新一路5号正信大厦A座24楼</w:t>
      </w:r>
    </w:p>
    <w:p>
      <w:pPr>
        <w:pStyle w:val="null3"/>
      </w:pPr>
      <w:r>
        <w:rPr/>
        <w:t xml:space="preserve"> 邮编： </w:t>
      </w:r>
      <w:r>
        <w:rPr/>
        <w:t>710077</w:t>
      </w:r>
    </w:p>
    <w:p>
      <w:pPr>
        <w:pStyle w:val="null3"/>
      </w:pPr>
      <w:r>
        <w:rPr/>
        <w:t xml:space="preserve"> 联系人： </w:t>
      </w:r>
      <w:r>
        <w:rPr/>
        <w:t>王璐 任亚明</w:t>
      </w:r>
    </w:p>
    <w:p>
      <w:pPr>
        <w:pStyle w:val="null3"/>
      </w:pPr>
      <w:r>
        <w:rPr/>
        <w:t xml:space="preserve"> 联系电话： </w:t>
      </w:r>
      <w:r>
        <w:rPr/>
        <w:t>029-88899363</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采购包1保证金金额：600.00元</w:t>
            </w:r>
          </w:p>
          <w:p>
            <w:pPr>
              <w:pStyle w:val="null3"/>
            </w:pPr>
            <w:r>
              <w:rPr/>
              <w:t>缴交渠道：电子保函,转账、支票、汇票等（需通过实体账户、户名及开户行信息）</w:t>
            </w:r>
          </w:p>
          <w:p>
            <w:pPr>
              <w:pStyle w:val="null3"/>
            </w:pPr>
            <w:r>
              <w:rPr/>
              <w:t>开户名称：陕西国创招标有限公司</w:t>
            </w:r>
          </w:p>
          <w:p>
            <w:pPr>
              <w:pStyle w:val="null3"/>
            </w:pPr>
            <w:r>
              <w:rPr/>
              <w:t>开户银行：招商银行股份有限公司西安高新技术开发区支行</w:t>
            </w:r>
          </w:p>
          <w:p>
            <w:pPr>
              <w:pStyle w:val="null3"/>
            </w:pPr>
            <w:r>
              <w:rPr/>
              <w:t>银行账号：129905629810401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代理服务费收费标准：成交服务费按国家发展和改革委员会《招标代理服务收费暂行办法》（计价格[2002]1980号）及发改办价格[2003]857号文件的规定标准下浮20%收取。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陕西省广播电视监测中心</w:t>
      </w:r>
      <w:r>
        <w:rPr/>
        <w:t>和</w:t>
      </w:r>
      <w:r>
        <w:rPr/>
        <w:t>陕西国创招标有限公司</w:t>
      </w:r>
      <w:r>
        <w:rPr/>
        <w:t>享有。对磋商文件中供应商参加本次政府采购活动应当具备的条件，磋商项目技术、服务、商务及其他要求，评审细则及标准由</w:t>
      </w:r>
      <w:r>
        <w:rPr/>
        <w:t>陕西省广播电视监测中心</w:t>
      </w:r>
      <w:r>
        <w:rPr/>
        <w:t>负责解释。除上述磋商文件内容，其他内容由</w:t>
      </w:r>
      <w:r>
        <w:rPr/>
        <w:t>陕西国创招标有限公司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陕西省广播电视监测中心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陕西国创招标有限公司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按照招标文件，投标文件及合同约定</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陕西国创招标有限公司</w:t>
      </w:r>
      <w:r>
        <w:rPr/>
        <w:t xml:space="preserve"> 负责答复；供应商对除采购需求外的采购文件的询问、质疑由</w:t>
      </w:r>
      <w:r>
        <w:rPr/>
        <w:t>陕西国创招标有限公司</w:t>
      </w:r>
      <w:r>
        <w:rPr/>
        <w:t xml:space="preserve"> 负责答复；供应商对采购过程、采购结果的询问、质疑由 </w:t>
      </w:r>
      <w:r>
        <w:rPr/>
        <w:t>陕西国创招标有限公司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联系人：任亚明</w:t>
      </w:r>
    </w:p>
    <w:p>
      <w:pPr>
        <w:pStyle w:val="null3"/>
      </w:pPr>
      <w:r>
        <w:rPr/>
        <w:t>联系电话：029-88899363（邮箱：549470923@qq.com）</w:t>
      </w:r>
    </w:p>
    <w:p>
      <w:pPr>
        <w:pStyle w:val="null3"/>
      </w:pPr>
      <w:r>
        <w:rPr/>
        <w:t>地址：西安市高新区高新一路5号正信大厦A座24楼</w:t>
      </w:r>
    </w:p>
    <w:p>
      <w:pPr>
        <w:pStyle w:val="null3"/>
      </w:pPr>
      <w:r>
        <w:rPr/>
        <w:t>邮编：710077</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rFonts w:ascii="宋体" w:hAnsi="宋体" w:cs="宋体" w:eastAsia="宋体"/>
          <w:sz w:val="21"/>
        </w:rPr>
        <w:t>监理服务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30,000.00</w:t>
      </w:r>
    </w:p>
    <w:p>
      <w:pPr>
        <w:pStyle w:val="null3"/>
      </w:pPr>
      <w:r>
        <w:rPr/>
        <w:t>采购包最高限价（元）: 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监理服务</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jc w:val="both"/>
            </w:pPr>
            <w:r>
              <w:rPr>
                <w:rFonts w:ascii="宋体" w:hAnsi="宋体" w:cs="宋体" w:eastAsia="宋体"/>
                <w:sz w:val="24"/>
                <w:b/>
                <w:color w:val="000000"/>
              </w:rPr>
              <w:t>一、项目概况</w:t>
            </w:r>
          </w:p>
          <w:p>
            <w:pPr>
              <w:pStyle w:val="null3"/>
              <w:jc w:val="both"/>
            </w:pPr>
            <w:r>
              <w:rPr>
                <w:rFonts w:ascii="宋体" w:hAnsi="宋体" w:cs="宋体" w:eastAsia="宋体"/>
                <w:sz w:val="24"/>
                <w:color w:val="000000"/>
              </w:rPr>
              <w:t>本项目位于省广播电视中心编播大楼二楼。本机房为一间共用机房，总建筑面积约</w:t>
            </w:r>
            <w:r>
              <w:rPr>
                <w:rFonts w:ascii="宋体" w:hAnsi="宋体" w:cs="宋体" w:eastAsia="宋体"/>
                <w:sz w:val="24"/>
                <w:color w:val="000000"/>
              </w:rPr>
              <w:t>50平方米。功能区分为：微模块机柜区、配电区。机房建设涉及装修、电气、空调环境、动环、弱电、防雷接地、地板、散力架等工程内容。主要设备有服务器机柜、行级精密空调、冷通道两端自动门及冷通道玻璃翻板、市电输入柜/分配柜、UPS输出配电柜、UPS主机及蓄电池、气体消防系统及消防联动等。</w:t>
            </w:r>
          </w:p>
        </w:tc>
      </w:tr>
      <w:tr>
        <w:tc>
          <w:tcPr>
            <w:tcW w:type="dxa" w:w="2769"/>
          </w:tcPr>
          <w:p/>
        </w:tc>
        <w:tc>
          <w:tcPr>
            <w:tcW w:type="dxa" w:w="2769"/>
          </w:tcPr>
          <w:p>
            <w:pPr>
              <w:pStyle w:val="null3"/>
            </w:pPr>
            <w:r>
              <w:rPr/>
              <w:t>2</w:t>
            </w:r>
          </w:p>
        </w:tc>
        <w:tc>
          <w:tcPr>
            <w:tcW w:type="dxa" w:w="2769"/>
          </w:tcPr>
          <w:p>
            <w:pPr>
              <w:pStyle w:val="null3"/>
              <w:numPr>
                <w:ilvl w:val="0"/>
                <w:numId w:val="1"/>
              </w:numPr>
              <w:jc w:val="both"/>
            </w:pPr>
            <w:r>
              <w:rPr>
                <w:rFonts w:ascii="宋体" w:hAnsi="宋体" w:cs="宋体" w:eastAsia="宋体"/>
                <w:sz w:val="24"/>
                <w:b/>
                <w:color w:val="000000"/>
              </w:rPr>
              <w:t>二、监理服务目标</w:t>
            </w:r>
          </w:p>
          <w:p>
            <w:pPr>
              <w:pStyle w:val="null3"/>
              <w:ind w:firstLine="480"/>
            </w:pPr>
            <w:r>
              <w:rPr>
                <w:rFonts w:ascii="宋体" w:hAnsi="宋体" w:cs="宋体" w:eastAsia="宋体"/>
                <w:sz w:val="24"/>
                <w:color w:val="000000"/>
              </w:rPr>
              <w:t>通过引入监理服务，从工程设计、建设、工期、质量、安全、信息管理、合同管理及协调相关单位之间的工作关系等方面，确保项目按期保质完成既定目标。</w:t>
            </w:r>
          </w:p>
          <w:p>
            <w:pPr>
              <w:pStyle w:val="null3"/>
              <w:ind w:firstLine="480"/>
            </w:pPr>
            <w:r>
              <w:rPr>
                <w:rFonts w:ascii="宋体" w:hAnsi="宋体" w:cs="宋体" w:eastAsia="宋体"/>
                <w:sz w:val="24"/>
                <w:color w:val="000000"/>
              </w:rPr>
              <w:t>1.完成合同约定的监理目标：对本项目进行目标动态控制，实现项目施工合同中确定的质量、进度和造价目标。</w:t>
            </w:r>
          </w:p>
          <w:p>
            <w:pPr>
              <w:pStyle w:val="null3"/>
              <w:ind w:firstLine="480"/>
            </w:pPr>
            <w:r>
              <w:rPr>
                <w:rFonts w:ascii="宋体" w:hAnsi="宋体" w:cs="宋体" w:eastAsia="宋体"/>
                <w:sz w:val="24"/>
                <w:color w:val="000000"/>
              </w:rPr>
              <w:t>2.质量目标：项目质量必须符合设计和施工质量验收规范，并达到建设单位与承包单位签订合同约定的质量标准。</w:t>
            </w:r>
          </w:p>
          <w:p>
            <w:pPr>
              <w:pStyle w:val="null3"/>
              <w:ind w:firstLine="480"/>
            </w:pPr>
            <w:r>
              <w:rPr>
                <w:rFonts w:ascii="宋体" w:hAnsi="宋体" w:cs="宋体" w:eastAsia="宋体"/>
                <w:sz w:val="24"/>
                <w:color w:val="000000"/>
              </w:rPr>
              <w:t>3.工期目标:在保证项目质量和施工安全的前提下，严格控制项目建设进度，实现施工合同约定的工期目标。</w:t>
            </w:r>
          </w:p>
          <w:p>
            <w:pPr>
              <w:pStyle w:val="null3"/>
              <w:ind w:firstLine="480"/>
            </w:pPr>
            <w:r>
              <w:rPr>
                <w:rFonts w:ascii="宋体" w:hAnsi="宋体" w:cs="宋体" w:eastAsia="宋体"/>
                <w:sz w:val="24"/>
                <w:color w:val="000000"/>
              </w:rPr>
              <w:t>4.投资控制目标：以签订的项目建设合同中的项目投资额为造价控制的基本目标，严格遵守项目技术经济程序，确保造价控制目标的实现。</w:t>
            </w:r>
          </w:p>
          <w:p>
            <w:pPr>
              <w:pStyle w:val="null3"/>
              <w:ind w:firstLine="480"/>
            </w:pPr>
            <w:r>
              <w:rPr>
                <w:rFonts w:ascii="宋体" w:hAnsi="宋体" w:cs="宋体" w:eastAsia="宋体"/>
                <w:sz w:val="24"/>
                <w:color w:val="000000"/>
              </w:rPr>
              <w:t>5.安全目标：执行《中华人民共和国安全生产法》、中华人民共和国国务院令第393号《建设项目安全生产条例》。坚决杜绝重大事故，减少一般安全事故并满足现行的国家和地方有关安全管理的规范及规定。</w:t>
            </w:r>
          </w:p>
          <w:p>
            <w:pPr>
              <w:pStyle w:val="null3"/>
              <w:jc w:val="both"/>
            </w:pPr>
            <w:r>
              <w:rPr>
                <w:rFonts w:ascii="宋体" w:hAnsi="宋体" w:cs="宋体" w:eastAsia="宋体"/>
                <w:sz w:val="24"/>
                <w:color w:val="000000"/>
              </w:rPr>
              <w:t>6.文明施工目标：环保、文明施工必须满足《建设项目环境保护管理文件》的要求；必须符合《建设项目现场文明施工管理办法》的有关规定；确保实现安全环保文明施工。</w:t>
            </w:r>
          </w:p>
        </w:tc>
      </w:tr>
      <w:tr>
        <w:tc>
          <w:tcPr>
            <w:tcW w:type="dxa" w:w="2769"/>
          </w:tcPr>
          <w:p/>
        </w:tc>
        <w:tc>
          <w:tcPr>
            <w:tcW w:type="dxa" w:w="2769"/>
          </w:tcPr>
          <w:p>
            <w:pPr>
              <w:pStyle w:val="null3"/>
            </w:pPr>
            <w:r>
              <w:rPr/>
              <w:t>3</w:t>
            </w:r>
          </w:p>
        </w:tc>
        <w:tc>
          <w:tcPr>
            <w:tcW w:type="dxa" w:w="2769"/>
          </w:tcPr>
          <w:p>
            <w:pPr>
              <w:pStyle w:val="null3"/>
              <w:numPr>
                <w:ilvl w:val="0"/>
                <w:numId w:val="1"/>
              </w:numPr>
              <w:jc w:val="both"/>
            </w:pPr>
            <w:r>
              <w:rPr>
                <w:rFonts w:ascii="宋体" w:hAnsi="宋体" w:cs="宋体" w:eastAsia="宋体"/>
                <w:sz w:val="24"/>
                <w:b/>
                <w:color w:val="000000"/>
              </w:rPr>
              <w:t>三、技术要求</w:t>
            </w:r>
          </w:p>
          <w:p>
            <w:pPr>
              <w:pStyle w:val="null3"/>
              <w:ind w:firstLine="480"/>
              <w:jc w:val="both"/>
            </w:pPr>
            <w:r>
              <w:rPr>
                <w:rFonts w:ascii="宋体" w:hAnsi="宋体" w:cs="宋体" w:eastAsia="宋体"/>
                <w:sz w:val="24"/>
                <w:color w:val="000000"/>
              </w:rPr>
              <w:t>1.总体要求：依据国家有关监理的法律、法规、技术规程、规范、标准对陕西省广播电视监测中心机房建设项目提供监理服务。</w:t>
            </w:r>
          </w:p>
          <w:p>
            <w:pPr>
              <w:pStyle w:val="null3"/>
              <w:jc w:val="both"/>
            </w:pPr>
            <w:r>
              <w:rPr>
                <w:rFonts w:ascii="宋体" w:hAnsi="宋体" w:cs="宋体" w:eastAsia="宋体"/>
                <w:sz w:val="24"/>
                <w:color w:val="000000"/>
              </w:rPr>
              <w:t>2.按照行业规范要求，对建设项目的技术方案、风险隐患、质量、进度等进行全方位、全过程控制，进行项目的合同管理、变更管理、配置管理、文档管理、人员管理、信息管理等的监理，负责项目建设过程中的组织协调等工作。</w:t>
            </w:r>
          </w:p>
        </w:tc>
      </w:tr>
      <w:tr>
        <w:tc>
          <w:tcPr>
            <w:tcW w:type="dxa" w:w="2769"/>
          </w:tcPr>
          <w:p/>
        </w:tc>
        <w:tc>
          <w:tcPr>
            <w:tcW w:type="dxa" w:w="2769"/>
          </w:tcPr>
          <w:p>
            <w:pPr>
              <w:pStyle w:val="null3"/>
            </w:pPr>
            <w:r>
              <w:rPr/>
              <w:t>4</w:t>
            </w:r>
          </w:p>
        </w:tc>
        <w:tc>
          <w:tcPr>
            <w:tcW w:type="dxa" w:w="2769"/>
          </w:tcPr>
          <w:p>
            <w:pPr>
              <w:pStyle w:val="null3"/>
              <w:jc w:val="both"/>
            </w:pPr>
            <w:r>
              <w:rPr>
                <w:b/>
              </w:rPr>
              <w:t>四、</w:t>
            </w:r>
            <w:r>
              <w:rPr>
                <w:rFonts w:ascii="宋体" w:hAnsi="宋体" w:cs="宋体" w:eastAsia="宋体"/>
                <w:sz w:val="24"/>
                <w:b/>
                <w:color w:val="000000"/>
              </w:rPr>
              <w:t>服务内容</w:t>
            </w:r>
          </w:p>
          <w:p>
            <w:pPr>
              <w:pStyle w:val="null3"/>
              <w:ind w:firstLine="480"/>
              <w:jc w:val="both"/>
            </w:pPr>
            <w:r>
              <w:rPr>
                <w:rFonts w:ascii="宋体" w:hAnsi="宋体" w:cs="宋体" w:eastAsia="宋体"/>
                <w:sz w:val="24"/>
                <w:color w:val="000000"/>
              </w:rPr>
              <w:t>严格对受监范围内的内容实施监理，做好</w:t>
            </w:r>
            <w:r>
              <w:rPr>
                <w:rFonts w:ascii="宋体" w:hAnsi="宋体" w:cs="宋体" w:eastAsia="宋体"/>
                <w:sz w:val="24"/>
                <w:color w:val="000000"/>
              </w:rPr>
              <w:t>“四控制三管理一协调”，即：质量控制、进度控制、成本控制、变更控制；合同管理、安全管理、文档管理；组织协调，确保达到约定的控制工程目标。</w:t>
            </w:r>
          </w:p>
          <w:p>
            <w:pPr>
              <w:pStyle w:val="null3"/>
              <w:ind w:firstLine="480"/>
              <w:jc w:val="both"/>
            </w:pPr>
            <w:r>
              <w:rPr>
                <w:rFonts w:ascii="宋体" w:hAnsi="宋体" w:cs="宋体" w:eastAsia="宋体"/>
                <w:sz w:val="24"/>
                <w:color w:val="000000"/>
              </w:rPr>
              <w:t>在施工过程中全时负责资质、施工质量（含软硬件调试、货物质量及安装施工工艺等）、进度、安全、沟通与协调、阶段性的验收及施工过程中的相关资料等监督与管理。</w:t>
            </w:r>
          </w:p>
          <w:p>
            <w:pPr>
              <w:pStyle w:val="null3"/>
              <w:ind w:firstLine="480"/>
              <w:jc w:val="both"/>
            </w:pPr>
            <w:r>
              <w:rPr>
                <w:rFonts w:ascii="宋体" w:hAnsi="宋体" w:cs="宋体" w:eastAsia="宋体"/>
                <w:sz w:val="24"/>
                <w:color w:val="000000"/>
              </w:rPr>
              <w:t>按项目建设需要及合同约定提供监理服务团队，人员及专业配置合理；在履行合同义务期间，应按合同约定定期向委托人报告监理工作。</w:t>
            </w:r>
          </w:p>
          <w:p>
            <w:pPr>
              <w:pStyle w:val="null3"/>
              <w:ind w:firstLine="480"/>
              <w:jc w:val="both"/>
            </w:pPr>
            <w:r>
              <w:rPr>
                <w:rFonts w:ascii="宋体" w:hAnsi="宋体" w:cs="宋体" w:eastAsia="宋体"/>
                <w:sz w:val="24"/>
                <w:color w:val="000000"/>
              </w:rPr>
              <w:t>监理服务商完成（包括但不限于）如下工作：</w:t>
            </w:r>
          </w:p>
          <w:p>
            <w:pPr>
              <w:pStyle w:val="null3"/>
              <w:ind w:firstLine="480"/>
              <w:jc w:val="both"/>
            </w:pPr>
            <w:r>
              <w:rPr>
                <w:rFonts w:ascii="宋体" w:hAnsi="宋体" w:cs="宋体" w:eastAsia="宋体"/>
                <w:sz w:val="24"/>
                <w:color w:val="000000"/>
              </w:rPr>
              <w:t>1.建设项目实施前，监理服务商审核建设项目供应商提交的项目实施方案，审核后签署监理意见；</w:t>
            </w:r>
          </w:p>
          <w:p>
            <w:pPr>
              <w:pStyle w:val="null3"/>
              <w:ind w:firstLine="480"/>
              <w:jc w:val="both"/>
            </w:pPr>
            <w:r>
              <w:rPr>
                <w:rFonts w:ascii="宋体" w:hAnsi="宋体" w:cs="宋体" w:eastAsia="宋体"/>
                <w:sz w:val="24"/>
                <w:color w:val="000000"/>
              </w:rPr>
              <w:t>2.监理服务商监督合同执行情况，阶段性向采购人提交监理报告，跟踪项目的质量、进度、资金支出情况等；</w:t>
            </w:r>
          </w:p>
          <w:p>
            <w:pPr>
              <w:pStyle w:val="null3"/>
              <w:ind w:firstLine="480"/>
              <w:jc w:val="both"/>
            </w:pPr>
            <w:r>
              <w:rPr>
                <w:rFonts w:ascii="宋体" w:hAnsi="宋体" w:cs="宋体" w:eastAsia="宋体"/>
                <w:sz w:val="24"/>
                <w:color w:val="000000"/>
              </w:rPr>
              <w:t>3.监理服务商对项目质量进行全过程监督管理，在加强现场管理工作的前提下对项目重要环节的施工、安装、调试、测试等过程和关键点采取“旁站监理”的方式，检查项目进度和质量，对发现的可能影响质量的问题及时指令被委托单位采取措施解决，必要时发出停工、返工的指令；</w:t>
            </w:r>
          </w:p>
          <w:p>
            <w:pPr>
              <w:pStyle w:val="null3"/>
              <w:ind w:firstLine="480"/>
              <w:jc w:val="both"/>
            </w:pPr>
            <w:r>
              <w:rPr>
                <w:rFonts w:ascii="宋体" w:hAnsi="宋体" w:cs="宋体" w:eastAsia="宋体"/>
                <w:sz w:val="24"/>
                <w:color w:val="000000"/>
              </w:rPr>
              <w:t>4.监理服务商做好监理记录，随时记录项目建设过程中有关质量、进度等方面的问题，并对发生质量问题的现场及时拍照或录相；</w:t>
            </w:r>
          </w:p>
          <w:p>
            <w:pPr>
              <w:pStyle w:val="null3"/>
              <w:ind w:firstLine="480"/>
              <w:jc w:val="both"/>
            </w:pPr>
            <w:r>
              <w:rPr>
                <w:rFonts w:ascii="宋体" w:hAnsi="宋体" w:cs="宋体" w:eastAsia="宋体"/>
                <w:sz w:val="24"/>
                <w:color w:val="000000"/>
              </w:rPr>
              <w:t>5.必要时，监理服务商应要求供应商提交第三方测试机构出具的测试报告，并核验产品认证证书、检测报告的真实性、有效性；第三方测试机构应经采购人和监理服务商同意；</w:t>
            </w:r>
          </w:p>
          <w:p>
            <w:pPr>
              <w:pStyle w:val="null3"/>
              <w:ind w:firstLine="480"/>
              <w:jc w:val="both"/>
            </w:pPr>
            <w:r>
              <w:rPr>
                <w:rFonts w:ascii="宋体" w:hAnsi="宋体" w:cs="宋体" w:eastAsia="宋体"/>
                <w:sz w:val="24"/>
                <w:color w:val="000000"/>
              </w:rPr>
              <w:t>6.监理服务商按计划检查被委托单位项目实施状况、人员与实施方案的一致性，并按照规定，做好人员变更手续；</w:t>
            </w:r>
          </w:p>
          <w:p>
            <w:pPr>
              <w:pStyle w:val="null3"/>
              <w:ind w:firstLine="480"/>
              <w:jc w:val="both"/>
            </w:pPr>
            <w:r>
              <w:rPr>
                <w:rFonts w:ascii="宋体" w:hAnsi="宋体" w:cs="宋体" w:eastAsia="宋体"/>
                <w:sz w:val="24"/>
                <w:color w:val="000000"/>
              </w:rPr>
              <w:t>7.监理服务商执行已确定的阶段性质量监督、控制措施及方法，并做好监理记录。出现项目质量问题时，经确认后监理机构签发监理通知单，报采购人、建设项目供应商，责令建设项目供应商进行整改；</w:t>
            </w:r>
          </w:p>
          <w:p>
            <w:pPr>
              <w:pStyle w:val="null3"/>
              <w:ind w:firstLine="480"/>
              <w:jc w:val="both"/>
            </w:pPr>
            <w:r>
              <w:rPr>
                <w:rFonts w:ascii="宋体" w:hAnsi="宋体" w:cs="宋体" w:eastAsia="宋体"/>
                <w:sz w:val="24"/>
                <w:color w:val="000000"/>
              </w:rPr>
              <w:t>8.监理服务商及时处理建设项目供应商提交的项目中关键环节的实施操作申请，审核其合理性后签认，报采购人批准；监理服务商应检查项目供应商重要项目步骤的衔接工作，做好监理日志。未经监理工程师检查认可，项目供应商不能进行与之相关的下一步骤的实施；</w:t>
            </w:r>
          </w:p>
          <w:p>
            <w:pPr>
              <w:pStyle w:val="null3"/>
              <w:ind w:firstLine="480"/>
              <w:jc w:val="both"/>
            </w:pPr>
            <w:r>
              <w:rPr>
                <w:rFonts w:ascii="宋体" w:hAnsi="宋体" w:cs="宋体" w:eastAsia="宋体"/>
                <w:sz w:val="24"/>
                <w:color w:val="000000"/>
              </w:rPr>
              <w:t>9.监理服务商应及时处理项目建设过程中的变更申请，审核变更的合理性，保证项目总体质量不受影响；监理服务商应从目标系统的质量、进度等方面审查变更申请；</w:t>
            </w:r>
          </w:p>
          <w:p>
            <w:pPr>
              <w:pStyle w:val="null3"/>
              <w:ind w:firstLine="480"/>
              <w:jc w:val="both"/>
            </w:pPr>
            <w:r>
              <w:rPr>
                <w:rFonts w:ascii="宋体" w:hAnsi="宋体" w:cs="宋体" w:eastAsia="宋体"/>
                <w:sz w:val="24"/>
                <w:color w:val="000000"/>
              </w:rPr>
              <w:t>10.当出现项目事故时，监理服务商应要求建设项目供应商在事故发生后立即采取措施，尽可能控制其影响范围，并与采购人、建设项目供应商共同确认初步处理意见；监理服务商监督建设项目供应商采取措施，查清事故原因，审核建设项目供应商提出的事故解决方案及预防措施，提出监理意见，提交采购人签认；监理服务商应审查建设项目供应商报送的事故报告，并出具意见；</w:t>
            </w:r>
          </w:p>
          <w:p>
            <w:pPr>
              <w:pStyle w:val="null3"/>
              <w:ind w:firstLine="480"/>
              <w:jc w:val="both"/>
            </w:pPr>
            <w:r>
              <w:rPr>
                <w:rFonts w:ascii="宋体" w:hAnsi="宋体" w:cs="宋体" w:eastAsia="宋体"/>
                <w:sz w:val="24"/>
                <w:color w:val="000000"/>
              </w:rPr>
              <w:t>11.监理服务商若发现项目建设过程存在重大安全隐患，及时报采购人，并监督建设项目供应商进行整改；</w:t>
            </w:r>
          </w:p>
          <w:p>
            <w:pPr>
              <w:pStyle w:val="null3"/>
              <w:ind w:firstLine="480"/>
              <w:jc w:val="both"/>
            </w:pPr>
            <w:r>
              <w:rPr>
                <w:rFonts w:ascii="宋体" w:hAnsi="宋体" w:cs="宋体" w:eastAsia="宋体"/>
                <w:sz w:val="24"/>
                <w:color w:val="000000"/>
              </w:rPr>
              <w:t>12.监理服务商对项目实施阶段三方共同参与的过程和活动做好备忘录；并检查督促建设项目供应商按规程规范实施；</w:t>
            </w:r>
          </w:p>
          <w:p>
            <w:pPr>
              <w:pStyle w:val="null3"/>
              <w:ind w:firstLine="480"/>
              <w:jc w:val="both"/>
            </w:pPr>
            <w:r>
              <w:rPr>
                <w:rFonts w:ascii="宋体" w:hAnsi="宋体" w:cs="宋体" w:eastAsia="宋体"/>
                <w:sz w:val="24"/>
                <w:color w:val="000000"/>
              </w:rPr>
              <w:t>13.监理服务商根据需要及时组织专题会议，解决项目实施过程中的各种专项问题，并做好会议纪要，提交采购人和建设项目供应商；</w:t>
            </w:r>
          </w:p>
          <w:p>
            <w:pPr>
              <w:pStyle w:val="null3"/>
              <w:ind w:firstLine="480"/>
              <w:jc w:val="both"/>
            </w:pPr>
            <w:r>
              <w:rPr>
                <w:rFonts w:ascii="宋体" w:hAnsi="宋体" w:cs="宋体" w:eastAsia="宋体"/>
                <w:sz w:val="24"/>
                <w:color w:val="000000"/>
              </w:rPr>
              <w:t>14.监理服务商及时处理建设项目供应商提交的验收申请，审核验收的必备条件，并签署监理意见；</w:t>
            </w:r>
          </w:p>
          <w:p>
            <w:pPr>
              <w:pStyle w:val="null3"/>
              <w:jc w:val="both"/>
            </w:pPr>
            <w:r>
              <w:rPr>
                <w:rFonts w:ascii="宋体" w:hAnsi="宋体" w:cs="宋体" w:eastAsia="宋体"/>
                <w:sz w:val="24"/>
                <w:color w:val="000000"/>
              </w:rPr>
              <w:t>15.监理服务商应编写各时段项目验收的监理工作报告，整理监理服务商应提交和提供的验收资料；负责整理记录归档采购人与建设项目供应商来往的文件、合同、协议及会议记录等各种文档，出具监理文件。</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sz w:val="24"/>
                <w:b/>
                <w:color w:val="000000"/>
              </w:rPr>
              <w:t>五、服务要求</w:t>
            </w:r>
          </w:p>
          <w:p>
            <w:pPr>
              <w:pStyle w:val="null3"/>
              <w:jc w:val="both"/>
            </w:pPr>
            <w:r>
              <w:rPr>
                <w:rFonts w:ascii="宋体" w:hAnsi="宋体" w:cs="宋体" w:eastAsia="宋体"/>
                <w:sz w:val="24"/>
                <w:color w:val="000000"/>
              </w:rPr>
              <w:t>由于本项目涉及子项目较多、任务重，内容涉及房屋装修、电器安装、强弱电、硬件系统、网络系统、软硬件升级及运维、机房基础环境、安防等多个技术类别，因此监理服务商须按项目监理工作派驻专项监理工程师进场。</w:t>
            </w:r>
          </w:p>
        </w:tc>
      </w:tr>
      <w:tr>
        <w:tc>
          <w:tcPr>
            <w:tcW w:type="dxa" w:w="2769"/>
          </w:tcPr>
          <w:p/>
        </w:tc>
        <w:tc>
          <w:tcPr>
            <w:tcW w:type="dxa" w:w="2769"/>
          </w:tcPr>
          <w:p>
            <w:pPr>
              <w:pStyle w:val="null3"/>
            </w:pPr>
            <w:r>
              <w:rPr/>
              <w:t>6</w:t>
            </w:r>
          </w:p>
        </w:tc>
        <w:tc>
          <w:tcPr>
            <w:tcW w:type="dxa" w:w="2769"/>
          </w:tcPr>
          <w:p>
            <w:pPr>
              <w:pStyle w:val="null3"/>
              <w:numPr>
                <w:ilvl w:val="0"/>
                <w:numId w:val="1"/>
              </w:numPr>
              <w:jc w:val="both"/>
            </w:pPr>
            <w:r>
              <w:rPr>
                <w:rFonts w:ascii="宋体" w:hAnsi="宋体" w:cs="宋体" w:eastAsia="宋体"/>
                <w:sz w:val="24"/>
                <w:b/>
                <w:color w:val="000000"/>
              </w:rPr>
              <w:t>六、其他</w:t>
            </w:r>
          </w:p>
          <w:p>
            <w:pPr>
              <w:pStyle w:val="null3"/>
              <w:ind w:firstLine="480"/>
            </w:pPr>
            <w:r>
              <w:rPr>
                <w:rFonts w:ascii="宋体" w:hAnsi="宋体" w:cs="宋体" w:eastAsia="宋体"/>
                <w:sz w:val="24"/>
                <w:color w:val="000000"/>
              </w:rPr>
              <w:t>1.工程验收：本次工程涉及所有项目完成后，由监理单位按规定程序和相关要求申报验收。</w:t>
            </w:r>
          </w:p>
          <w:p>
            <w:pPr>
              <w:pStyle w:val="null3"/>
              <w:ind w:firstLine="480"/>
            </w:pPr>
            <w:r>
              <w:rPr>
                <w:rFonts w:ascii="宋体" w:hAnsi="宋体" w:cs="宋体" w:eastAsia="宋体"/>
                <w:sz w:val="24"/>
                <w:color w:val="000000"/>
              </w:rPr>
              <w:t>2.质量保证：在结合《包1：机房建设》（含投标、设计等文件）涉及的相关标准的情况下，本工程质量要求主要符合《数据中心设计规范》（GB50174-2017）、《数据中心基础设施施工及验收标准》（GB50462-2024）及《建筑工程施工质量验收统一标准》（GB50300-2013）的合格标准。</w:t>
            </w:r>
          </w:p>
          <w:p>
            <w:pPr>
              <w:pStyle w:val="null3"/>
              <w:ind w:firstLine="480"/>
            </w:pPr>
            <w:r>
              <w:rPr>
                <w:rFonts w:ascii="宋体" w:hAnsi="宋体" w:cs="宋体" w:eastAsia="宋体"/>
                <w:sz w:val="24"/>
                <w:color w:val="000000"/>
              </w:rPr>
              <w:t>3.监理服务标准：合格，符合国家标准《建设工程监理规范》（GB50319-2013）及陕西省地方标准《建设工程监理规范实施细则》。</w:t>
            </w:r>
          </w:p>
          <w:p>
            <w:pPr>
              <w:pStyle w:val="null3"/>
              <w:jc w:val="both"/>
            </w:pPr>
            <w:r>
              <w:rPr>
                <w:rFonts w:ascii="宋体" w:hAnsi="宋体" w:cs="宋体" w:eastAsia="宋体"/>
                <w:sz w:val="24"/>
                <w:color w:val="000000"/>
              </w:rPr>
              <w:t>4.监理范围：现场监理为完成本机房建设工程的全部内容。</w:t>
            </w:r>
          </w:p>
        </w:tc>
      </w:tr>
    </w:tbl>
    <w:p>
      <w:pPr>
        <w:pStyle w:val="null3"/>
        <w:outlineLvl w:val="2"/>
      </w:pPr>
      <w:r>
        <w:rPr>
          <w:sz w:val="28"/>
          <w:b/>
        </w:rPr>
        <w:t>3.2.3人员配置要求</w:t>
      </w:r>
    </w:p>
    <w:p>
      <w:pPr>
        <w:pStyle w:val="null3"/>
      </w:pPr>
      <w:r>
        <w:rPr/>
        <w:t>采购包1：</w:t>
      </w:r>
    </w:p>
    <w:p>
      <w:pPr>
        <w:pStyle w:val="null3"/>
      </w:pPr>
      <w:r>
        <w:rPr/>
        <w:t>供应商应根据项目所涉及的专业情况，配置具有相对应专业知识和技术的专业团队，专业团队人员数量不少于3人。</w:t>
      </w:r>
    </w:p>
    <w:p>
      <w:pPr>
        <w:pStyle w:val="null3"/>
        <w:outlineLvl w:val="2"/>
      </w:pPr>
      <w:r>
        <w:rPr>
          <w:sz w:val="28"/>
          <w:b/>
        </w:rPr>
        <w:t>3.2.4设施设备要求</w:t>
      </w:r>
    </w:p>
    <w:p>
      <w:pPr>
        <w:pStyle w:val="null3"/>
      </w:pPr>
      <w:r>
        <w:rPr/>
        <w:t>采购包1：</w:t>
      </w:r>
    </w:p>
    <w:p>
      <w:pPr>
        <w:pStyle w:val="null3"/>
      </w:pPr>
      <w:r>
        <w:rPr/>
        <w:t>供应商应根据项目建设需要，自行提供相应的工具或设备。</w:t>
      </w:r>
    </w:p>
    <w:p>
      <w:pPr>
        <w:pStyle w:val="null3"/>
        <w:outlineLvl w:val="2"/>
      </w:pPr>
      <w:r>
        <w:rPr>
          <w:sz w:val="28"/>
          <w:b/>
        </w:rPr>
        <w:t>3.2.5其他要求</w:t>
      </w:r>
    </w:p>
    <w:p>
      <w:pPr>
        <w:pStyle w:val="null3"/>
      </w:pPr>
      <w:r>
        <w:rPr/>
        <w:t>采购包1：</w:t>
      </w:r>
    </w:p>
    <w:p>
      <w:pPr>
        <w:pStyle w:val="null3"/>
      </w:pPr>
      <w:r>
        <w:rPr/>
        <w:t>质保期：不少于3年（从项目整体验收合格之日算起）</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项目建设工期：自合同签订后35个日历日</w:t>
      </w:r>
    </w:p>
    <w:p>
      <w:pPr>
        <w:pStyle w:val="null3"/>
        <w:outlineLvl w:val="3"/>
      </w:pPr>
      <w:r>
        <w:rPr>
          <w:sz w:val="24"/>
          <w:b/>
        </w:rPr>
        <w:t>3.3.2服务地点</w:t>
      </w:r>
    </w:p>
    <w:p>
      <w:pPr>
        <w:pStyle w:val="null3"/>
      </w:pPr>
      <w:r>
        <w:rPr/>
        <w:t>采购包1：</w:t>
      </w:r>
    </w:p>
    <w:p>
      <w:pPr>
        <w:pStyle w:val="null3"/>
      </w:pPr>
      <w:r>
        <w:rPr/>
        <w:t>陕西省西安市雁塔区长安南路336号</w:t>
      </w:r>
    </w:p>
    <w:p>
      <w:pPr>
        <w:pStyle w:val="null3"/>
        <w:outlineLvl w:val="3"/>
      </w:pPr>
      <w:r>
        <w:rPr>
          <w:sz w:val="24"/>
          <w:b/>
        </w:rPr>
        <w:t>3.3.3考核（验收）标准和方法</w:t>
      </w:r>
    </w:p>
    <w:p>
      <w:pPr>
        <w:pStyle w:val="null3"/>
      </w:pPr>
      <w:r>
        <w:rPr/>
        <w:t>采购包1：</w:t>
      </w:r>
    </w:p>
    <w:p>
      <w:pPr>
        <w:pStyle w:val="null3"/>
      </w:pPr>
      <w:r>
        <w:rPr/>
        <w:t>按照招标文件，投标文件及合同约定</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合同签订后提供合同全额发票</w:t>
      </w:r>
      <w:r>
        <w:rPr/>
        <w:t xml:space="preserve"> ，达到付款条件起 </w:t>
      </w:r>
      <w:r>
        <w:rPr/>
        <w:t>14</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按照招标文件，投标文件及合同约定</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2投标人资格证明文件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2投标人资格证明文件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2投标人资格证明文件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2投标人资格证明文件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提供经审计的2023年度的财务报告或提交响应文件截止时间前六个月内其基本账户开户银行出具的资信证明（附开户许可证或开户备案证明）；其他组织和自然人提供银行出具的资信证明或财务报表；</w:t>
            </w:r>
          </w:p>
        </w:tc>
        <w:tc>
          <w:tcPr>
            <w:tcW w:type="dxa" w:w="1661"/>
          </w:tcPr>
          <w:p>
            <w:pPr>
              <w:pStyle w:val="null3"/>
            </w:pPr>
            <w:r>
              <w:rPr/>
              <w:t>2投标人资格证明文件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提供响应文件递交截止日前一年内已缴存的至少一个月的纳税证明或完税证明，依法免税的供应商提供相关文件证明；</w:t>
            </w:r>
          </w:p>
        </w:tc>
        <w:tc>
          <w:tcPr>
            <w:tcW w:type="dxa" w:w="1661"/>
          </w:tcPr>
          <w:p>
            <w:pPr>
              <w:pStyle w:val="null3"/>
            </w:pPr>
            <w:r>
              <w:rPr/>
              <w:t>2投标人资格证明文件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2投标人资格证明文件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t>2投标人资格证明文件</w:t>
            </w:r>
          </w:p>
        </w:tc>
      </w:tr>
      <w:tr>
        <w:tc>
          <w:tcPr>
            <w:tcW w:type="dxa" w:w="831"/>
          </w:tcPr>
          <w:p>
            <w:pPr>
              <w:pStyle w:val="null3"/>
            </w:pPr>
            <w:r>
              <w:rPr/>
              <w:t>6</w:t>
            </w:r>
          </w:p>
        </w:tc>
        <w:tc>
          <w:tcPr>
            <w:tcW w:type="dxa" w:w="2492"/>
          </w:tcPr>
          <w:p>
            <w:pPr>
              <w:pStyle w:val="null3"/>
            </w:pPr>
            <w:r>
              <w:rPr/>
              <w:t>承诺书</w:t>
            </w:r>
          </w:p>
        </w:tc>
        <w:tc>
          <w:tcPr>
            <w:tcW w:type="dxa" w:w="3322"/>
          </w:tcPr>
          <w:p>
            <w:pPr>
              <w:pStyle w:val="null3"/>
            </w:pPr>
            <w:r>
              <w:rPr/>
              <w:t>具有履行合同所必须的设备和专业技术能力的说明及承诺；</w:t>
            </w:r>
          </w:p>
        </w:tc>
        <w:tc>
          <w:tcPr>
            <w:tcW w:type="dxa" w:w="1661"/>
          </w:tcPr>
          <w:p>
            <w:pPr>
              <w:pStyle w:val="null3"/>
            </w:pPr>
            <w:r>
              <w:rPr/>
              <w:t>2投标人资格证明文件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供应商应授权合法的人员参加磋商，其中法定代表人直接参加的，须出具法定代表人证明书；被授权代表参加的，须出具法定代表人授权书；</w:t>
            </w:r>
          </w:p>
        </w:tc>
        <w:tc>
          <w:tcPr>
            <w:tcW w:type="dxa" w:w="1661"/>
          </w:tcPr>
          <w:p>
            <w:pPr>
              <w:pStyle w:val="null3"/>
            </w:pPr>
            <w:r>
              <w:rPr/>
              <w:t>2投标人资格证明文件</w:t>
            </w:r>
          </w:p>
        </w:tc>
      </w:tr>
      <w:tr>
        <w:tc>
          <w:tcPr>
            <w:tcW w:type="dxa" w:w="831"/>
          </w:tcPr>
          <w:p>
            <w:pPr>
              <w:pStyle w:val="null3"/>
            </w:pPr>
            <w:r>
              <w:rPr/>
              <w:t>8</w:t>
            </w:r>
          </w:p>
        </w:tc>
        <w:tc>
          <w:tcPr>
            <w:tcW w:type="dxa" w:w="2492"/>
          </w:tcPr>
          <w:p>
            <w:pPr>
              <w:pStyle w:val="null3"/>
            </w:pPr>
            <w:r>
              <w:rPr/>
              <w:t>直接控股、管理关系</w:t>
            </w:r>
          </w:p>
        </w:tc>
        <w:tc>
          <w:tcPr>
            <w:tcW w:type="dxa" w:w="3322"/>
          </w:tcPr>
          <w:p>
            <w:pPr>
              <w:pStyle w:val="null3"/>
            </w:pPr>
            <w:r>
              <w:rPr/>
              <w:t>单位负责人为同一人或存在直接控股、管理关系的不同单位，不得同时参加本项目投标活动。</w:t>
            </w:r>
          </w:p>
        </w:tc>
        <w:tc>
          <w:tcPr>
            <w:tcW w:type="dxa" w:w="1661"/>
          </w:tcPr>
          <w:p>
            <w:pPr>
              <w:pStyle w:val="null3"/>
            </w:pPr>
            <w:r>
              <w:rPr/>
              <w:t>2投标人资格证明文件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响应文件语言、有效期</w:t>
            </w:r>
          </w:p>
        </w:tc>
        <w:tc>
          <w:tcPr>
            <w:tcW w:type="dxa" w:w="3322"/>
          </w:tcPr>
          <w:p>
            <w:pPr>
              <w:pStyle w:val="null3"/>
            </w:pPr>
            <w:r>
              <w:rPr/>
              <w:t>响应文件语言、有效期符合磋商文件的要求。</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第一次磋商报价表</w:t>
            </w:r>
          </w:p>
        </w:tc>
        <w:tc>
          <w:tcPr>
            <w:tcW w:type="dxa" w:w="3322"/>
          </w:tcPr>
          <w:p>
            <w:pPr>
              <w:pStyle w:val="null3"/>
            </w:pPr>
            <w:r>
              <w:rPr/>
              <w:t>（1）第一次磋商报价表填写符合要求； （2）计量单位、报价货币均符合磋商文件要求； （3）第一次磋商报价未超出采购预算或磋商文件规定的最高限价。</w:t>
            </w:r>
          </w:p>
        </w:tc>
        <w:tc>
          <w:tcPr>
            <w:tcW w:type="dxa" w:w="1661"/>
          </w:tcPr>
          <w:p>
            <w:pPr>
              <w:pStyle w:val="null3"/>
            </w:pPr>
            <w:r>
              <w:rPr/>
              <w:t>1分项报价表 标的清单 报价表</w:t>
            </w:r>
          </w:p>
        </w:tc>
      </w:tr>
      <w:tr>
        <w:tc>
          <w:tcPr>
            <w:tcW w:type="dxa" w:w="831"/>
          </w:tcPr>
          <w:p>
            <w:pPr>
              <w:pStyle w:val="null3"/>
            </w:pPr>
            <w:r>
              <w:rPr/>
              <w:t>4</w:t>
            </w:r>
          </w:p>
        </w:tc>
        <w:tc>
          <w:tcPr>
            <w:tcW w:type="dxa" w:w="2492"/>
          </w:tcPr>
          <w:p>
            <w:pPr>
              <w:pStyle w:val="null3"/>
            </w:pPr>
            <w:r>
              <w:rPr/>
              <w:t>技术服务要求</w:t>
            </w:r>
          </w:p>
        </w:tc>
        <w:tc>
          <w:tcPr>
            <w:tcW w:type="dxa" w:w="3322"/>
          </w:tcPr>
          <w:p>
            <w:pPr>
              <w:pStyle w:val="null3"/>
            </w:pPr>
            <w:r>
              <w:rPr/>
              <w:t>完全理解并接受对合格供应商、合格的货物、工程或服务要求。</w:t>
            </w:r>
          </w:p>
        </w:tc>
        <w:tc>
          <w:tcPr>
            <w:tcW w:type="dxa" w:w="1661"/>
          </w:tcPr>
          <w:p>
            <w:pPr>
              <w:pStyle w:val="null3"/>
            </w:pPr>
            <w:r>
              <w:rPr/>
              <w:t>3响应偏差表及商务响应说明</w:t>
            </w:r>
          </w:p>
        </w:tc>
      </w:tr>
      <w:tr>
        <w:tc>
          <w:tcPr>
            <w:tcW w:type="dxa" w:w="831"/>
          </w:tcPr>
          <w:p>
            <w:pPr>
              <w:pStyle w:val="null3"/>
            </w:pPr>
            <w:r>
              <w:rPr/>
              <w:t>5</w:t>
            </w:r>
          </w:p>
        </w:tc>
        <w:tc>
          <w:tcPr>
            <w:tcW w:type="dxa" w:w="2492"/>
          </w:tcPr>
          <w:p>
            <w:pPr>
              <w:pStyle w:val="null3"/>
            </w:pPr>
            <w:r>
              <w:rPr/>
              <w:t>无其他磋商文件或法规明确规定响应无效的事项</w:t>
            </w:r>
          </w:p>
        </w:tc>
        <w:tc>
          <w:tcPr>
            <w:tcW w:type="dxa" w:w="3322"/>
          </w:tcPr>
          <w:p>
            <w:pPr>
              <w:pStyle w:val="null3"/>
            </w:pPr>
            <w:r>
              <w:rPr/>
              <w:t>没有不符合磋商文件规定的被视为无效响应的其他条款。</w:t>
            </w:r>
          </w:p>
        </w:tc>
        <w:tc>
          <w:tcPr>
            <w:tcW w:type="dxa" w:w="1661"/>
          </w:tcPr>
          <w:p>
            <w:pPr>
              <w:pStyle w:val="null3"/>
            </w:pPr>
            <w:r>
              <w:rPr/>
              <w:t>4投标方案</w:t>
            </w:r>
          </w:p>
        </w:tc>
      </w:tr>
      <w:tr>
        <w:tc>
          <w:tcPr>
            <w:tcW w:type="dxa" w:w="831"/>
          </w:tcPr>
          <w:p>
            <w:pPr>
              <w:pStyle w:val="null3"/>
            </w:pPr>
            <w:r>
              <w:rPr/>
              <w:t>6</w:t>
            </w:r>
          </w:p>
        </w:tc>
        <w:tc>
          <w:tcPr>
            <w:tcW w:type="dxa" w:w="2492"/>
          </w:tcPr>
          <w:p>
            <w:pPr>
              <w:pStyle w:val="null3"/>
            </w:pPr>
            <w:r>
              <w:rPr/>
              <w:t>合同条款响应</w:t>
            </w:r>
          </w:p>
        </w:tc>
        <w:tc>
          <w:tcPr>
            <w:tcW w:type="dxa" w:w="3322"/>
          </w:tcPr>
          <w:p>
            <w:pPr>
              <w:pStyle w:val="null3"/>
            </w:pPr>
            <w:r>
              <w:rPr/>
              <w:t>有完全理解并接受磋商文件合同基本条款要求的描述。</w:t>
            </w:r>
          </w:p>
        </w:tc>
        <w:tc>
          <w:tcPr>
            <w:tcW w:type="dxa" w:w="1661"/>
          </w:tcPr>
          <w:p>
            <w:pPr>
              <w:pStyle w:val="null3"/>
            </w:pPr>
            <w:r>
              <w:rPr/>
              <w:t>3响应偏差表及商务响应说明</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w:t>
            </w:r>
          </w:p>
        </w:tc>
        <w:tc>
          <w:tcPr>
            <w:tcW w:type="dxa" w:w="2492"/>
          </w:tcPr>
          <w:p>
            <w:pPr>
              <w:pStyle w:val="null3"/>
            </w:pPr>
            <w:r>
              <w:rPr/>
              <w:t>供应商提供2021年10月1日以来类似项目业绩证明文件，每提供一份业绩计1分，满分5分。未提供不计分。（以合同签订时间为准）。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4投标方案</w:t>
            </w:r>
          </w:p>
        </w:tc>
      </w:tr>
      <w:tr>
        <w:tc>
          <w:tcPr>
            <w:tcW w:type="dxa" w:w="831"/>
            <w:vMerge/>
          </w:tcPr>
          <w:p/>
        </w:tc>
        <w:tc>
          <w:tcPr>
            <w:tcW w:type="dxa" w:w="1661"/>
          </w:tcPr>
          <w:p>
            <w:pPr>
              <w:pStyle w:val="null3"/>
            </w:pPr>
            <w:r>
              <w:rPr/>
              <w:t>总监理工程师</w:t>
            </w:r>
          </w:p>
        </w:tc>
        <w:tc>
          <w:tcPr>
            <w:tcW w:type="dxa" w:w="2492"/>
          </w:tcPr>
          <w:p>
            <w:pPr>
              <w:pStyle w:val="null3"/>
            </w:pPr>
            <w:r>
              <w:rPr/>
              <w:t>具有信息系统监理师证书得2分。 注：需提供资格证书扫描件并加盖公章。缺项不计分。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4投标方案</w:t>
            </w:r>
          </w:p>
        </w:tc>
      </w:tr>
      <w:tr>
        <w:tc>
          <w:tcPr>
            <w:tcW w:type="dxa" w:w="831"/>
            <w:vMerge/>
          </w:tcPr>
          <w:p/>
        </w:tc>
        <w:tc>
          <w:tcPr>
            <w:tcW w:type="dxa" w:w="1661"/>
          </w:tcPr>
          <w:p>
            <w:pPr>
              <w:pStyle w:val="null3"/>
            </w:pPr>
            <w:r>
              <w:rPr/>
              <w:t>项目监理服务团队</w:t>
            </w:r>
          </w:p>
        </w:tc>
        <w:tc>
          <w:tcPr>
            <w:tcW w:type="dxa" w:w="2492"/>
          </w:tcPr>
          <w:p>
            <w:pPr>
              <w:pStyle w:val="null3"/>
            </w:pPr>
            <w:r>
              <w:rPr/>
              <w:t>监理服务团队人员不少于3人，服务团队结构合理、分工明确、技术能力强，有相关资格证书。 （1）人员充裕，分工明确，配备合理得5分； （2）人员基本满足要求，配备一般得3分； （3）人员配备不足，分工模糊得1分；未提供得0分。 注：需提供团队人员简介、证书、岗位职责等内容。</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4投标方案</w:t>
            </w:r>
          </w:p>
        </w:tc>
      </w:tr>
      <w:tr>
        <w:tc>
          <w:tcPr>
            <w:tcW w:type="dxa" w:w="831"/>
            <w:vMerge/>
          </w:tcPr>
          <w:p/>
        </w:tc>
        <w:tc>
          <w:tcPr>
            <w:tcW w:type="dxa" w:w="1661"/>
          </w:tcPr>
          <w:p>
            <w:pPr>
              <w:pStyle w:val="null3"/>
            </w:pPr>
            <w:r>
              <w:rPr/>
              <w:t>项目 理解</w:t>
            </w:r>
          </w:p>
        </w:tc>
        <w:tc>
          <w:tcPr>
            <w:tcW w:type="dxa" w:w="2492"/>
          </w:tcPr>
          <w:p>
            <w:pPr>
              <w:pStyle w:val="null3"/>
            </w:pPr>
            <w:r>
              <w:rPr/>
              <w:t>项目整体理解程度： 供应商对该项目的总体把握和理解，包括针对该项目建设内容、技术方案、项目特点、技术难点的理解和分析准确，符合项目实际情况。对项目把握和理解到位、分析准确，得10分；对项目把握和理解一般、分析一般，得7分；对项目把握和理解不到位、分析不全面，得4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4投标方案</w:t>
            </w:r>
          </w:p>
        </w:tc>
      </w:tr>
      <w:tr>
        <w:tc>
          <w:tcPr>
            <w:tcW w:type="dxa" w:w="831"/>
            <w:vMerge/>
          </w:tcPr>
          <w:p/>
        </w:tc>
        <w:tc>
          <w:tcPr>
            <w:tcW w:type="dxa" w:w="1661"/>
          </w:tcPr>
          <w:p>
            <w:pPr>
              <w:pStyle w:val="null3"/>
            </w:pPr>
            <w:r>
              <w:rPr/>
              <w:t>质量 控制</w:t>
            </w:r>
          </w:p>
        </w:tc>
        <w:tc>
          <w:tcPr>
            <w:tcW w:type="dxa" w:w="2492"/>
          </w:tcPr>
          <w:p>
            <w:pPr>
              <w:pStyle w:val="null3"/>
            </w:pPr>
            <w:r>
              <w:rPr/>
              <w:t>质量控制方案： （1）方案完善，分析全面，具有很强的合理性和可操作性，计8分； （2）方案较完善，分析到位，具有较强的合理性和可操作性，计5分；（3）方案一般，分析不足，没有合理性和可操作性，计3分。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4投标方案</w:t>
            </w:r>
          </w:p>
        </w:tc>
      </w:tr>
      <w:tr>
        <w:tc>
          <w:tcPr>
            <w:tcW w:type="dxa" w:w="831"/>
            <w:vMerge/>
          </w:tcPr>
          <w:p/>
        </w:tc>
        <w:tc>
          <w:tcPr>
            <w:tcW w:type="dxa" w:w="1661"/>
          </w:tcPr>
          <w:p>
            <w:pPr>
              <w:pStyle w:val="null3"/>
            </w:pPr>
            <w:r>
              <w:rPr/>
              <w:t>进度 控制</w:t>
            </w:r>
          </w:p>
        </w:tc>
        <w:tc>
          <w:tcPr>
            <w:tcW w:type="dxa" w:w="2492"/>
          </w:tcPr>
          <w:p>
            <w:pPr>
              <w:pStyle w:val="null3"/>
            </w:pPr>
            <w:r>
              <w:rPr/>
              <w:t>进度控制方案： （1）方案完善，分析全面，具有很强的合理性和可操作性，计8分； （2）方案较完善，分析到位，具有较强的合理性和可操作性，计5分；（3）方案一般，分析不足，没有合理性和可操作性，计3分。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4投标方案</w:t>
            </w:r>
          </w:p>
        </w:tc>
      </w:tr>
      <w:tr>
        <w:tc>
          <w:tcPr>
            <w:tcW w:type="dxa" w:w="831"/>
            <w:vMerge/>
          </w:tcPr>
          <w:p/>
        </w:tc>
        <w:tc>
          <w:tcPr>
            <w:tcW w:type="dxa" w:w="1661"/>
          </w:tcPr>
          <w:p>
            <w:pPr>
              <w:pStyle w:val="null3"/>
            </w:pPr>
            <w:r>
              <w:rPr/>
              <w:t>投资 控制</w:t>
            </w:r>
          </w:p>
        </w:tc>
        <w:tc>
          <w:tcPr>
            <w:tcW w:type="dxa" w:w="2492"/>
          </w:tcPr>
          <w:p>
            <w:pPr>
              <w:pStyle w:val="null3"/>
            </w:pPr>
            <w:r>
              <w:rPr/>
              <w:t>投资控制方案。 （1）方案完善，分析全面，具有很强的合理性和可操作性，计8分； （2）方案较完善，分析到位，具有较强的合理性和可操作性，计5分；（3）方案一般，分析不足，没有合理性和可操作性，计3分。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4投标方案</w:t>
            </w:r>
          </w:p>
        </w:tc>
      </w:tr>
      <w:tr>
        <w:tc>
          <w:tcPr>
            <w:tcW w:type="dxa" w:w="831"/>
            <w:vMerge/>
          </w:tcPr>
          <w:p/>
        </w:tc>
        <w:tc>
          <w:tcPr>
            <w:tcW w:type="dxa" w:w="1661"/>
          </w:tcPr>
          <w:p>
            <w:pPr>
              <w:pStyle w:val="null3"/>
            </w:pPr>
            <w:r>
              <w:rPr/>
              <w:t>变更 控制</w:t>
            </w:r>
          </w:p>
        </w:tc>
        <w:tc>
          <w:tcPr>
            <w:tcW w:type="dxa" w:w="2492"/>
          </w:tcPr>
          <w:p>
            <w:pPr>
              <w:pStyle w:val="null3"/>
            </w:pPr>
            <w:r>
              <w:rPr/>
              <w:t>变更控制方案。 （1）方案完善，分析全面，具有很强的合理性和可操作性，计8分； （2）方案较完善，分析到位，具有较强的合理性和可操作性，计5分；（3）方案一般，分析不足，没有合理性和可操作性，计3分。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4投标方案</w:t>
            </w:r>
          </w:p>
        </w:tc>
      </w:tr>
      <w:tr>
        <w:tc>
          <w:tcPr>
            <w:tcW w:type="dxa" w:w="831"/>
            <w:vMerge/>
          </w:tcPr>
          <w:p/>
        </w:tc>
        <w:tc>
          <w:tcPr>
            <w:tcW w:type="dxa" w:w="1661"/>
          </w:tcPr>
          <w:p>
            <w:pPr>
              <w:pStyle w:val="null3"/>
            </w:pPr>
            <w:r>
              <w:rPr/>
              <w:t>合同 管理</w:t>
            </w:r>
          </w:p>
        </w:tc>
        <w:tc>
          <w:tcPr>
            <w:tcW w:type="dxa" w:w="2492"/>
          </w:tcPr>
          <w:p>
            <w:pPr>
              <w:pStyle w:val="null3"/>
            </w:pPr>
            <w:r>
              <w:rPr/>
              <w:t>合同管理方案。 （1）方案完善，分析全面，具有很强的合理性和可操作性，计8分； （2）方案较完善，分析到位，具有较强的合理性和可操作性，计5分；（3）方案一般，分析不足，没有合理性和可操作性，计3分。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4投标方案</w:t>
            </w:r>
          </w:p>
        </w:tc>
      </w:tr>
      <w:tr>
        <w:tc>
          <w:tcPr>
            <w:tcW w:type="dxa" w:w="831"/>
            <w:vMerge/>
          </w:tcPr>
          <w:p/>
        </w:tc>
        <w:tc>
          <w:tcPr>
            <w:tcW w:type="dxa" w:w="1661"/>
          </w:tcPr>
          <w:p>
            <w:pPr>
              <w:pStyle w:val="null3"/>
            </w:pPr>
            <w:r>
              <w:rPr/>
              <w:t>信息 管理</w:t>
            </w:r>
          </w:p>
        </w:tc>
        <w:tc>
          <w:tcPr>
            <w:tcW w:type="dxa" w:w="2492"/>
          </w:tcPr>
          <w:p>
            <w:pPr>
              <w:pStyle w:val="null3"/>
            </w:pPr>
            <w:r>
              <w:rPr/>
              <w:t>信息管理方案。 （1）方案完善，分析全面，具有很强的合理性和可操作性，计8分； （2）方案较完善，分析到位，具有较强的合理性和可操作性，计5分；（3）方案一般，分析不足，没有合理性和可操作性，计3分。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4投标方案</w:t>
            </w:r>
          </w:p>
        </w:tc>
      </w:tr>
      <w:tr>
        <w:tc>
          <w:tcPr>
            <w:tcW w:type="dxa" w:w="831"/>
            <w:vMerge/>
          </w:tcPr>
          <w:p/>
        </w:tc>
        <w:tc>
          <w:tcPr>
            <w:tcW w:type="dxa" w:w="1661"/>
          </w:tcPr>
          <w:p>
            <w:pPr>
              <w:pStyle w:val="null3"/>
            </w:pPr>
            <w:r>
              <w:rPr/>
              <w:t>安全 管理</w:t>
            </w:r>
          </w:p>
        </w:tc>
        <w:tc>
          <w:tcPr>
            <w:tcW w:type="dxa" w:w="2492"/>
          </w:tcPr>
          <w:p>
            <w:pPr>
              <w:pStyle w:val="null3"/>
            </w:pPr>
            <w:r>
              <w:rPr/>
              <w:t>安全管理方案。 （1）方案完善，分析全面，具有很强的合理性和可操作性，计8分； （2）方案较完善，分析到位，具有较强的合理性和可操作性，计5分；（3）方案一般，分析不足，没有合理性和可操作性，计3分。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4投标方案</w:t>
            </w:r>
          </w:p>
        </w:tc>
      </w:tr>
      <w:tr>
        <w:tc>
          <w:tcPr>
            <w:tcW w:type="dxa" w:w="831"/>
            <w:vMerge/>
          </w:tcPr>
          <w:p/>
        </w:tc>
        <w:tc>
          <w:tcPr>
            <w:tcW w:type="dxa" w:w="1661"/>
          </w:tcPr>
          <w:p>
            <w:pPr>
              <w:pStyle w:val="null3"/>
            </w:pPr>
            <w:r>
              <w:rPr/>
              <w:t>组织 协调</w:t>
            </w:r>
          </w:p>
        </w:tc>
        <w:tc>
          <w:tcPr>
            <w:tcW w:type="dxa" w:w="2492"/>
          </w:tcPr>
          <w:p>
            <w:pPr>
              <w:pStyle w:val="null3"/>
            </w:pPr>
            <w:r>
              <w:rPr/>
              <w:t>组织协调方案。 （1）方案完善，分析全面，具有很强的合理性和可操作性，计8分； （2）方案较完善，分析到位，具有较强的合理性和可操作性，计5分；（3）方案一般，分析不足，没有合理性和可操作性，计3分。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4投标方案</w:t>
            </w:r>
          </w:p>
        </w:tc>
      </w:tr>
      <w:tr>
        <w:tc>
          <w:tcPr>
            <w:tcW w:type="dxa" w:w="831"/>
            <w:vMerge/>
          </w:tcPr>
          <w:p/>
        </w:tc>
        <w:tc>
          <w:tcPr>
            <w:tcW w:type="dxa" w:w="1661"/>
          </w:tcPr>
          <w:p>
            <w:pPr>
              <w:pStyle w:val="null3"/>
            </w:pPr>
            <w:r>
              <w:rPr/>
              <w:t>监理服务承诺</w:t>
            </w:r>
          </w:p>
        </w:tc>
        <w:tc>
          <w:tcPr>
            <w:tcW w:type="dxa" w:w="2492"/>
          </w:tcPr>
          <w:p>
            <w:pPr>
              <w:pStyle w:val="null3"/>
            </w:pPr>
            <w:r>
              <w:rPr/>
              <w:t>1、针对本项目监理提供快速及时的服务响应；承诺解决问题的时限迅速、合理；人员到位保障措施的完善程度，承诺的可操作性强、有实际使用价值计4分，可操作性一般、较有实际使用价值计2分；可操作性一般，没有合理性和可操作性，计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4投标方案</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 xml:space="preserve"> 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注：（1）根据《政府采购促进中小企业发展管理办法》的相关规定，对小型和微型企业的价格给予10%的扣除，用扣除后的价格参与评审。（2）根据《财政部民政部中国残疾人联合会关于促进残疾人就业政府采购政策的通知》（财库[2017]141号）的规定，对符合条件的残疾人福利性单位产品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中小企业声明函 残疾人福利性单位声明函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详见附件：1分项报价表</w:t>
      </w:r>
    </w:p>
    <w:p>
      <w:pPr>
        <w:pStyle w:val="null3"/>
        <w:ind w:firstLine="960"/>
      </w:pPr>
      <w:r>
        <w:rPr/>
        <w:t>详见附件：2投标人资格证明文件</w:t>
      </w:r>
    </w:p>
    <w:p>
      <w:pPr>
        <w:pStyle w:val="null3"/>
        <w:ind w:firstLine="960"/>
      </w:pPr>
      <w:r>
        <w:rPr/>
        <w:t>详见附件：3响应偏差表及商务响应说明</w:t>
      </w:r>
    </w:p>
    <w:p>
      <w:pPr>
        <w:pStyle w:val="null3"/>
        <w:ind w:firstLine="960"/>
      </w:pPr>
      <w:r>
        <w:rPr/>
        <w:t>详见附件：4投标方案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