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版本号：241113001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陕西智慧旅游气象风险决策系统建设运维项目</w:t>
      </w:r>
    </w:p>
    <w:p>
      <w:pPr>
        <w:pStyle w:val="null3"/>
        <w:jc w:val="center"/>
        <w:outlineLvl w:val="2"/>
      </w:pPr>
      <w:r>
        <w:rPr>
          <w:sz w:val="28"/>
          <w:b/>
        </w:rPr>
        <w:t>采购项目编号：</w:t>
      </w:r>
      <w:r>
        <w:rPr>
          <w:sz w:val="28"/>
          <w:b/>
        </w:rPr>
        <w:t>ZJZBSX-241108-10743.</w:t>
      </w:r>
      <w:r>
        <w:br/>
      </w:r>
      <w:r>
        <w:br/>
      </w:r>
      <w:r>
        <w:br/>
      </w:r>
    </w:p>
    <w:p>
      <w:pPr>
        <w:pStyle w:val="null3"/>
        <w:jc w:val="center"/>
        <w:outlineLvl w:val="2"/>
      </w:pPr>
      <w:r>
        <w:rPr>
          <w:sz w:val="28"/>
          <w:b/>
        </w:rPr>
        <w:t>陕西省文化和旅游厅机关</w:t>
      </w:r>
    </w:p>
    <w:p>
      <w:pPr>
        <w:pStyle w:val="null3"/>
        <w:jc w:val="center"/>
        <w:outlineLvl w:val="2"/>
      </w:pPr>
      <w:r>
        <w:rPr>
          <w:sz w:val="28"/>
          <w:b/>
        </w:rPr>
        <w:t>陕西中经招标有限公司</w:t>
      </w:r>
      <w:r>
        <w:rPr>
          <w:sz w:val="28"/>
          <w:b/>
        </w:rPr>
        <w:t>共同编制</w:t>
      </w:r>
    </w:p>
    <w:p>
      <w:pPr>
        <w:pStyle w:val="null3"/>
        <w:jc w:val="center"/>
        <w:outlineLvl w:val="2"/>
      </w:pPr>
      <w:r>
        <w:rPr>
          <w:sz w:val="28"/>
          <w:b/>
        </w:rPr>
        <w:t>2024年11月13日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陕西中经招标有限公司</w:t>
      </w:r>
      <w:r>
        <w:rPr/>
        <w:t>（以下简称“代理机构”）受</w:t>
      </w:r>
      <w:r>
        <w:rPr/>
        <w:t>陕西省文化和旅游厅机关</w:t>
      </w:r>
      <w:r>
        <w:rPr/>
        <w:t>委托，拟对</w:t>
      </w:r>
      <w:r>
        <w:rPr/>
        <w:t>陕西智慧旅游气象风险决策系统建设运维项目</w:t>
      </w:r>
      <w:r>
        <w:rPr/>
        <w:t>采用竞争性磋商采购方式进行采购，兹邀请供应商参加本项目的竞争性磋商。</w:t>
      </w:r>
    </w:p>
    <w:p>
      <w:pPr>
        <w:pStyle w:val="null3"/>
        <w:outlineLvl w:val="2"/>
      </w:pPr>
      <w:r>
        <w:rPr>
          <w:sz w:val="28"/>
          <w:b/>
        </w:rPr>
        <w:t>一、项目编号：</w:t>
      </w:r>
      <w:r>
        <w:rPr>
          <w:sz w:val="28"/>
          <w:b/>
        </w:rPr>
        <w:t>ZJZBSX-241108-10743.</w:t>
      </w:r>
    </w:p>
    <w:p>
      <w:pPr>
        <w:pStyle w:val="null3"/>
        <w:outlineLvl w:val="2"/>
      </w:pPr>
      <w:r>
        <w:rPr>
          <w:sz w:val="28"/>
          <w:b/>
        </w:rPr>
        <w:t>二、项目名称：</w:t>
      </w:r>
      <w:r>
        <w:rPr>
          <w:sz w:val="28"/>
          <w:b/>
        </w:rPr>
        <w:t>陕西智慧旅游气象风险决策系统建设运维项目</w:t>
      </w:r>
    </w:p>
    <w:p>
      <w:pPr>
        <w:pStyle w:val="null3"/>
        <w:outlineLvl w:val="2"/>
      </w:pPr>
      <w:r>
        <w:rPr>
          <w:sz w:val="28"/>
          <w:b/>
        </w:rPr>
        <w:t>三、磋商项目简介</w:t>
      </w:r>
    </w:p>
    <w:p>
      <w:pPr>
        <w:pStyle w:val="null3"/>
        <w:ind w:firstLine="480"/>
      </w:pPr>
      <w:r>
        <w:rPr/>
        <w:t>陕西智慧旅游气象风险决策系统建设运维</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采购包1（陕西智慧旅游气象风险决策系统建设运维）：属于专门面向小微企业采购。</w:t>
      </w:r>
    </w:p>
    <w:p>
      <w:pPr>
        <w:pStyle w:val="null3"/>
        <w:ind w:firstLine="480"/>
      </w:pPr>
      <w:r>
        <w:rPr/>
        <w:t>（三）本项目的特定资格要求：</w:t>
      </w:r>
    </w:p>
    <w:p>
      <w:pPr>
        <w:pStyle w:val="null3"/>
      </w:pPr>
      <w:r>
        <w:rPr/>
        <w:t>采购包1：</w:t>
      </w:r>
    </w:p>
    <w:p>
      <w:pPr>
        <w:pStyle w:val="null3"/>
      </w:pPr>
      <w:r>
        <w:rPr/>
        <w:t>1、资格审核共9项：（1）主体资格：供应商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 （2）授权委托：供应商应授权合法的人员参加投标全过程，其中法定代表人/负责人直接投标，须提交法定代表人/负责人身份证明书和身份证；法定代表人/负责人授权代表参加投标的，须出具法定代表人/负责人授权书及授权代表身份证；竞争性磋商文件中凡是需要法定代表人签字或盖章之处，非法人单位的负责人均参照执行。供应商需在项目电子化交易系统中按要求上传相应证明文件并进行电子签章。 （3）财务状况报告：提供2023年度经审计的财务报告（包含审计报告和审计报告中所涉及的财务报表和报表附注），或提供2023年度供应商完整的全套财务报表（应当包括资产负债表、利润表、现金流量表、所有者权益变动表、附注），或提2024年5月1日以来银行出具的资信证明，或提供财政部门认可的政府采购专业担保机构出具的响应担保函，或供应商注册时间至投标文件提交截止日不足一年的，也可提供在工商管理部门备案的公司章程（以上五种形式的资料提供任何一种即可）。供应商需在项目电子化交易系统中按要求上传相应证明文件并进行电子签章。 （4）社会保障资金缴纳证明：提供2023年11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供应商需在项目电子化交易系统中按要求上传相应证明文件并进行电子签章。 （5）税收缴纳证明：提供2023年11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供应商需在项目电子化交易系统中按要求上传相应证明文件并进行电子签章。 （6）书面声明：参加本次政府采购活动前3年内在经营活动中没有重大违纪，以及未被列入失信被执行人、重大税收违法案件当事人名单、政府采购严重违法失信行为记录名单的书面声明；供应商需在项目电子化交易系统中按要求上传相应证明文件并进行电子签章。 （7）承诺函：提供具有履行合同所必需的设备和专业技术能力的承诺；供应商需在项目电子化交易系统中按要求上传相应证明文件并进行电子签章。 （8）与招标人存在利害关系可能影响招标公正性的单位，不得参加投标。单位负责人为同一人或者存在控股、管理关系的不同单位，不得参加同一标段投标，否则，相关投标均无效。 （9）中小企业声明函：本项目为专门面向小微企业项目。承接服务的供应商应为小型、微型企业或监狱企业或残疾人福利性单位。承接服务的供应商为小型、微型企业的，投标人提供《中小企业声明函》原件，且中小企业的划分标准所属行业为软件和信息技术服务业；承接服务的供应商为监狱企业的，投标人应提供承接服务的供应商为监狱企业的证明文件原件（监狱企业视同小型、微型企业）；承接服务的供应商为残疾人福利性单位的，投标人应提供承接服务的供应商为残疾人福利性单位的《残疾人福利性单位声明函》原件（残疾人福利性单位视同小型、微型企业）。</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陕西省文化和旅游厅机关</w:t>
      </w:r>
    </w:p>
    <w:p>
      <w:pPr>
        <w:pStyle w:val="null3"/>
      </w:pPr>
      <w:r>
        <w:rPr/>
        <w:t xml:space="preserve"> 地址： </w:t>
      </w:r>
      <w:r>
        <w:rPr/>
        <w:t>西安市碑林区长安北路15号</w:t>
      </w:r>
    </w:p>
    <w:p>
      <w:pPr>
        <w:pStyle w:val="null3"/>
      </w:pPr>
      <w:r>
        <w:rPr/>
        <w:t xml:space="preserve"> 邮编： </w:t>
      </w:r>
      <w:r>
        <w:rPr/>
        <w:t>710000</w:t>
      </w:r>
    </w:p>
    <w:p>
      <w:pPr>
        <w:pStyle w:val="null3"/>
      </w:pPr>
      <w:r>
        <w:rPr/>
        <w:t xml:space="preserve"> 联系人： </w:t>
      </w:r>
      <w:r>
        <w:rPr/>
        <w:t>陕西省文化和旅游厅机关经办</w:t>
      </w:r>
    </w:p>
    <w:p>
      <w:pPr>
        <w:pStyle w:val="null3"/>
      </w:pPr>
      <w:r>
        <w:rPr/>
        <w:t xml:space="preserve"> 联系电话： </w:t>
      </w:r>
      <w:r>
        <w:rPr/>
        <w:t>029-85265253</w:t>
      </w:r>
    </w:p>
    <w:p>
      <w:pPr>
        <w:pStyle w:val="null3"/>
        <w:outlineLvl w:val="3"/>
      </w:pPr>
      <w:r>
        <w:rPr>
          <w:sz w:val="24"/>
          <w:b/>
        </w:rPr>
        <w:t>代理机构：</w:t>
      </w:r>
      <w:r>
        <w:rPr>
          <w:sz w:val="24"/>
          <w:b/>
        </w:rPr>
        <w:t>陕西中经招标有限公司</w:t>
      </w:r>
    </w:p>
    <w:p>
      <w:pPr>
        <w:pStyle w:val="null3"/>
      </w:pPr>
      <w:r>
        <w:rPr/>
        <w:t xml:space="preserve"> 地址： </w:t>
      </w:r>
      <w:r>
        <w:rPr/>
        <w:t>陕西省西安市碑林区长安北路8B高速经纬大厦16层</w:t>
      </w:r>
    </w:p>
    <w:p>
      <w:pPr>
        <w:pStyle w:val="null3"/>
      </w:pPr>
      <w:r>
        <w:rPr/>
        <w:t xml:space="preserve"> 邮编： </w:t>
      </w:r>
      <w:r>
        <w:rPr/>
        <w:t>710000</w:t>
      </w:r>
    </w:p>
    <w:p>
      <w:pPr>
        <w:pStyle w:val="null3"/>
      </w:pPr>
      <w:r>
        <w:rPr/>
        <w:t xml:space="preserve"> 联系人： </w:t>
      </w:r>
      <w:r>
        <w:rPr/>
        <w:t>张锦、盖莲花、郭燕妮</w:t>
      </w:r>
    </w:p>
    <w:p>
      <w:pPr>
        <w:pStyle w:val="null3"/>
      </w:pPr>
      <w:r>
        <w:rPr/>
        <w:t xml:space="preserve"> 联系电话： </w:t>
      </w:r>
      <w:r>
        <w:rPr/>
        <w:t>029-87888601-8014</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采购包1：860,000.00元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采购包1保证金金额：17,000.00元</w:t>
            </w:r>
          </w:p>
          <w:p>
            <w:pPr>
              <w:pStyle w:val="null3"/>
            </w:pPr>
            <w:r>
              <w:rPr/>
              <w:t>缴交渠道：电子保函,转账、支票、汇票等（需通过实体账户、户名及开户行信息）</w:t>
            </w:r>
          </w:p>
          <w:p>
            <w:pPr>
              <w:pStyle w:val="null3"/>
            </w:pPr>
            <w:r>
              <w:rPr/>
              <w:t>开户名称：陕西中经招标有限公司</w:t>
            </w:r>
          </w:p>
          <w:p>
            <w:pPr>
              <w:pStyle w:val="null3"/>
            </w:pPr>
            <w:r>
              <w:rPr/>
              <w:t>开户银行：中国工商银行股份有限公司大雁塔支行</w:t>
            </w:r>
          </w:p>
          <w:p>
            <w:pPr>
              <w:pStyle w:val="null3"/>
            </w:pPr>
            <w:r>
              <w:rPr/>
              <w:t>银行账号：3700022319200103385</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代理服务费收费标准：收费标准参照中华人民共和国国家计划委员会计价格[2002]1980号文计算收取；不足伍仟元按伍仟元收取。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陕西省文化和旅游厅机关</w:t>
      </w:r>
      <w:r>
        <w:rPr/>
        <w:t>和</w:t>
      </w:r>
      <w:r>
        <w:rPr/>
        <w:t>陕西中经招标有限公司</w:t>
      </w:r>
      <w:r>
        <w:rPr/>
        <w:t>享有。对磋商文件中供应商参加本次政府采购活动应当具备的条件，磋商项目技术、服务、商务及其他要求，评审细则及标准由</w:t>
      </w:r>
      <w:r>
        <w:rPr/>
        <w:t>陕西省文化和旅游厅机关</w:t>
      </w:r>
      <w:r>
        <w:rPr/>
        <w:t>负责解释。除上述磋商文件内容，其他内容由</w:t>
      </w:r>
      <w:r>
        <w:rPr/>
        <w:t>陕西中经招标有限公司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陕西省文化和旅游厅机关</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陕西中经招标有限公司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1 、交付的服务必须等同或优于本项目采购文件“服务内容及要求”所述的标准。若乙方在其响应文件中承诺的技术标准优于本项目采购文件“服务内容及要求”所述标准的，按响应的承诺执行。 2 、中标（成交）供应商完成并交付的工作成果需经采购人验收合格，则视为接受。如果在验收时采购人表明不接受中标（成交）供应商提交的工作成果并明示不接受的原因，中标供应商应当采取合理之措施进行修改，以达到合同规定的要求。</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陕西中经招标有限公司</w:t>
      </w:r>
      <w:r>
        <w:rPr/>
        <w:t xml:space="preserve"> 负责答复；供应商对除采购需求外的采购文件的询问、质疑由</w:t>
      </w:r>
      <w:r>
        <w:rPr/>
        <w:t>陕西中经招标有限公司</w:t>
      </w:r>
      <w:r>
        <w:rPr/>
        <w:t xml:space="preserve"> 负责答复；供应商对采购过程、采购结果的询问、质疑由 </w:t>
      </w:r>
      <w:r>
        <w:rPr/>
        <w:t>陕西中经招标有限公司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联系人：张锦、盖莲花、郭燕妮</w:t>
      </w:r>
    </w:p>
    <w:p>
      <w:pPr>
        <w:pStyle w:val="null3"/>
      </w:pPr>
      <w:r>
        <w:rPr/>
        <w:t>联系电话：029-87888601-8014</w:t>
      </w:r>
    </w:p>
    <w:p>
      <w:pPr>
        <w:pStyle w:val="null3"/>
      </w:pPr>
      <w:r>
        <w:rPr/>
        <w:t>地址：陕西省西安市碑林区长安北路8B高速经纬大厦16层</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陕西智慧旅游气象风险决策系统建设运维</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860,000.00</w:t>
      </w:r>
    </w:p>
    <w:p>
      <w:pPr>
        <w:pStyle w:val="null3"/>
      </w:pPr>
      <w:r>
        <w:rPr/>
        <w:t>采购包最高限价（元）: 860,000.00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“智慧旅游气象风险决策系统”建设及运维</w:t>
            </w:r>
          </w:p>
        </w:tc>
        <w:tc>
          <w:tcPr>
            <w:tcW w:type="dxa" w:w="831"/>
          </w:tcPr>
          <w:p>
            <w:pPr>
              <w:pStyle w:val="null3"/>
              <w:jc w:val="right"/>
            </w:pPr>
            <w:r>
              <w:rPr/>
              <w:t>1.00</w:t>
            </w:r>
          </w:p>
        </w:tc>
        <w:tc>
          <w:tcPr>
            <w:tcW w:type="dxa" w:w="831"/>
          </w:tcPr>
          <w:p>
            <w:pPr>
              <w:pStyle w:val="null3"/>
              <w:jc w:val="right"/>
            </w:pPr>
            <w:r>
              <w:rPr/>
              <w:t>860,000.00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标的名称：“智慧旅游气象风险决策系统”建设及运维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1"/>
                <w:b/>
                <w:color w:val="000000"/>
              </w:rPr>
              <w:t>一、服务内容</w:t>
            </w:r>
          </w:p>
          <w:p>
            <w:pPr>
              <w:pStyle w:val="null3"/>
              <w:jc w:val="left"/>
            </w:pPr>
            <w:r>
              <w:rPr>
                <w:rFonts w:ascii="calibri, sans-serif" w:hAnsi="calibri, sans-serif" w:cs="calibri, sans-serif" w:eastAsia="calibri, sans-serif"/>
                <w:sz w:val="21"/>
                <w:b/>
              </w:rPr>
              <w:t>1.1</w:t>
            </w:r>
            <w:r>
              <w:rPr>
                <w:rFonts w:ascii="宋体" w:hAnsi="宋体" w:cs="宋体" w:eastAsia="宋体"/>
                <w:sz w:val="21"/>
                <w:b/>
              </w:rPr>
              <w:t>“</w:t>
            </w:r>
            <w:r>
              <w:rPr>
                <w:rFonts w:ascii="宋体" w:hAnsi="宋体" w:cs="宋体" w:eastAsia="宋体"/>
                <w:sz w:val="21"/>
                <w:b/>
              </w:rPr>
              <w:t>智慧旅游气象风险决策系统”建设</w:t>
            </w:r>
          </w:p>
          <w:p>
            <w:pPr>
              <w:pStyle w:val="null3"/>
              <w:ind w:firstLine="420"/>
              <w:jc w:val="both"/>
            </w:pPr>
            <w:r>
              <w:rPr>
                <w:rFonts w:ascii="宋体" w:hAnsi="宋体" w:cs="宋体" w:eastAsia="宋体"/>
                <w:sz w:val="21"/>
              </w:rPr>
              <w:t>“智慧旅游气象风险决策系统”主要包括“综合信息监测”、“景区精细化预报预警”、“旅游气象风险提示”“景点主要交通线路风险告警”等模块。</w:t>
            </w:r>
          </w:p>
          <w:p>
            <w:pPr>
              <w:pStyle w:val="null3"/>
              <w:jc w:val="both"/>
            </w:pPr>
            <w:r>
              <w:rPr>
                <w:rFonts w:ascii="calibri, sans-serif" w:hAnsi="calibri, sans-serif" w:cs="calibri, sans-serif" w:eastAsia="calibri, sans-serif"/>
                <w:sz w:val="21"/>
              </w:rPr>
              <w:t>1.1.1</w:t>
            </w:r>
            <w:r>
              <w:rPr>
                <w:rFonts w:ascii="宋体" w:hAnsi="宋体" w:cs="宋体" w:eastAsia="宋体"/>
                <w:sz w:val="21"/>
              </w:rPr>
              <w:t>综合信息监测</w:t>
            </w:r>
          </w:p>
          <w:p>
            <w:pPr>
              <w:pStyle w:val="null3"/>
              <w:ind w:firstLine="420"/>
              <w:jc w:val="both"/>
            </w:pPr>
            <w:r>
              <w:rPr>
                <w:rFonts w:ascii="宋体" w:hAnsi="宋体" w:cs="宋体" w:eastAsia="宋体"/>
                <w:sz w:val="21"/>
              </w:rPr>
              <w:t>建立全省旅游气象服务数据资源中心，实现国家和区域气象站实况监测数据、雷达数据、卫星数据、道路地理信息等的汇集处理，实时展示地面监测站、雷达、卫星云图等气象监测信息，滚动播放全省及各地市（区）景点逐小时天气实况及预报预警信息。</w:t>
            </w:r>
          </w:p>
          <w:p>
            <w:pPr>
              <w:pStyle w:val="null3"/>
              <w:jc w:val="both"/>
            </w:pPr>
            <w:r>
              <w:rPr>
                <w:rFonts w:ascii="calibri, sans-serif" w:hAnsi="calibri, sans-serif" w:cs="calibri, sans-serif" w:eastAsia="calibri, sans-serif"/>
                <w:sz w:val="21"/>
              </w:rPr>
              <w:t>1.1.2</w:t>
            </w:r>
            <w:r>
              <w:rPr>
                <w:rFonts w:ascii="宋体" w:hAnsi="宋体" w:cs="宋体" w:eastAsia="宋体"/>
                <w:sz w:val="21"/>
              </w:rPr>
              <w:t>景区精细化预报预警</w:t>
            </w:r>
          </w:p>
          <w:p>
            <w:pPr>
              <w:pStyle w:val="null3"/>
              <w:ind w:firstLine="420"/>
              <w:jc w:val="both"/>
            </w:pPr>
            <w:r>
              <w:rPr>
                <w:rFonts w:ascii="宋体" w:hAnsi="宋体" w:cs="宋体" w:eastAsia="宋体"/>
                <w:sz w:val="21"/>
              </w:rPr>
              <w:t>为陕西</w:t>
            </w:r>
            <w:r>
              <w:rPr>
                <w:rFonts w:ascii="calibri, sans-serif" w:hAnsi="calibri, sans-serif" w:cs="calibri, sans-serif" w:eastAsia="calibri, sans-serif"/>
                <w:sz w:val="21"/>
              </w:rPr>
              <w:t>3A</w:t>
            </w:r>
            <w:r>
              <w:rPr>
                <w:rFonts w:ascii="宋体" w:hAnsi="宋体" w:cs="宋体" w:eastAsia="宋体"/>
                <w:sz w:val="21"/>
              </w:rPr>
              <w:t>级以上景区提供精细化气象要素预报产品，包括未来</w:t>
            </w:r>
            <w:r>
              <w:rPr>
                <w:rFonts w:ascii="calibri, sans-serif" w:hAnsi="calibri, sans-serif" w:cs="calibri, sans-serif" w:eastAsia="calibri, sans-serif"/>
                <w:sz w:val="21"/>
              </w:rPr>
              <w:t>0-7</w:t>
            </w:r>
            <w:r>
              <w:rPr>
                <w:rFonts w:ascii="宋体" w:hAnsi="宋体" w:cs="宋体" w:eastAsia="宋体"/>
                <w:sz w:val="21"/>
              </w:rPr>
              <w:t>天逐日、</w:t>
            </w:r>
            <w:r>
              <w:rPr>
                <w:rFonts w:ascii="calibri, sans-serif" w:hAnsi="calibri, sans-serif" w:cs="calibri, sans-serif" w:eastAsia="calibri, sans-serif"/>
                <w:sz w:val="21"/>
              </w:rPr>
              <w:t>3-7</w:t>
            </w:r>
            <w:r>
              <w:rPr>
                <w:rFonts w:ascii="宋体" w:hAnsi="宋体" w:cs="宋体" w:eastAsia="宋体"/>
                <w:sz w:val="21"/>
              </w:rPr>
              <w:t>天逐</w:t>
            </w:r>
            <w:r>
              <w:rPr>
                <w:rFonts w:ascii="calibri, sans-serif" w:hAnsi="calibri, sans-serif" w:cs="calibri, sans-serif" w:eastAsia="calibri, sans-serif"/>
                <w:sz w:val="21"/>
              </w:rPr>
              <w:t>3</w:t>
            </w:r>
            <w:r>
              <w:rPr>
                <w:rFonts w:ascii="宋体" w:hAnsi="宋体" w:cs="宋体" w:eastAsia="宋体"/>
                <w:sz w:val="21"/>
              </w:rPr>
              <w:t>小时、</w:t>
            </w:r>
            <w:r>
              <w:rPr>
                <w:rFonts w:ascii="calibri, sans-serif" w:hAnsi="calibri, sans-serif" w:cs="calibri, sans-serif" w:eastAsia="calibri, sans-serif"/>
                <w:sz w:val="21"/>
              </w:rPr>
              <w:t>0-2</w:t>
            </w:r>
            <w:r>
              <w:rPr>
                <w:rFonts w:ascii="宋体" w:hAnsi="宋体" w:cs="宋体" w:eastAsia="宋体"/>
                <w:sz w:val="21"/>
              </w:rPr>
              <w:t>天逐小时的降水、温度、相对湿度、风向风速等气象要素预报，及天气预警产品。</w:t>
            </w:r>
          </w:p>
          <w:p>
            <w:pPr>
              <w:pStyle w:val="null3"/>
              <w:jc w:val="both"/>
            </w:pPr>
            <w:r>
              <w:rPr>
                <w:rFonts w:ascii="calibri, sans-serif" w:hAnsi="calibri, sans-serif" w:cs="calibri, sans-serif" w:eastAsia="calibri, sans-serif"/>
                <w:sz w:val="21"/>
              </w:rPr>
              <w:t>1.1.3</w:t>
            </w:r>
            <w:r>
              <w:rPr>
                <w:rFonts w:ascii="宋体" w:hAnsi="宋体" w:cs="宋体" w:eastAsia="宋体"/>
                <w:sz w:val="21"/>
              </w:rPr>
              <w:t>旅游气象风险提示</w:t>
            </w:r>
          </w:p>
          <w:p>
            <w:pPr>
              <w:pStyle w:val="null3"/>
              <w:ind w:firstLine="420"/>
              <w:jc w:val="both"/>
            </w:pPr>
            <w:r>
              <w:rPr>
                <w:rFonts w:ascii="宋体" w:hAnsi="宋体" w:cs="宋体" w:eastAsia="宋体"/>
                <w:sz w:val="21"/>
              </w:rPr>
              <w:t>制作并显示陕西</w:t>
            </w:r>
            <w:r>
              <w:rPr>
                <w:rFonts w:ascii="calibri, sans-serif" w:hAnsi="calibri, sans-serif" w:cs="calibri, sans-serif" w:eastAsia="calibri, sans-serif"/>
                <w:sz w:val="21"/>
              </w:rPr>
              <w:t>3A</w:t>
            </w:r>
            <w:r>
              <w:rPr>
                <w:rFonts w:ascii="宋体" w:hAnsi="宋体" w:cs="宋体" w:eastAsia="宋体"/>
                <w:sz w:val="21"/>
              </w:rPr>
              <w:t>级以上景区旅游气象风险提示产品。利用全省山洪、地质灾害风险区、地质灾害隐患点、加密降水观测数据，结合精细化网格定量降水预报产品及气象预警信息，根据陕西</w:t>
            </w:r>
            <w:r>
              <w:rPr>
                <w:rFonts w:ascii="calibri, sans-serif" w:hAnsi="calibri, sans-serif" w:cs="calibri, sans-serif" w:eastAsia="calibri, sans-serif"/>
                <w:sz w:val="21"/>
              </w:rPr>
              <w:t>3A</w:t>
            </w:r>
            <w:r>
              <w:rPr>
                <w:rFonts w:ascii="宋体" w:hAnsi="宋体" w:cs="宋体" w:eastAsia="宋体"/>
                <w:sz w:val="21"/>
              </w:rPr>
              <w:t>景区地理信息进行综合计算，提供景区未来</w:t>
            </w:r>
            <w:r>
              <w:rPr>
                <w:rFonts w:ascii="calibri, sans-serif" w:hAnsi="calibri, sans-serif" w:cs="calibri, sans-serif" w:eastAsia="calibri, sans-serif"/>
                <w:sz w:val="21"/>
              </w:rPr>
              <w:t>0-5</w:t>
            </w:r>
            <w:r>
              <w:rPr>
                <w:rFonts w:ascii="宋体" w:hAnsi="宋体" w:cs="宋体" w:eastAsia="宋体"/>
                <w:sz w:val="21"/>
              </w:rPr>
              <w:t>天逐日旅游气象风险等级预报。</w:t>
            </w:r>
          </w:p>
          <w:p>
            <w:pPr>
              <w:pStyle w:val="null3"/>
              <w:jc w:val="both"/>
            </w:pPr>
            <w:r>
              <w:rPr>
                <w:rFonts w:ascii="calibri, sans-serif" w:hAnsi="calibri, sans-serif" w:cs="calibri, sans-serif" w:eastAsia="calibri, sans-serif"/>
                <w:sz w:val="21"/>
              </w:rPr>
              <w:t>1.1.4</w:t>
            </w:r>
            <w:r>
              <w:rPr>
                <w:rFonts w:ascii="宋体" w:hAnsi="宋体" w:cs="宋体" w:eastAsia="宋体"/>
                <w:sz w:val="21"/>
              </w:rPr>
              <w:t>景点主要交通线路风险告警</w:t>
            </w:r>
          </w:p>
          <w:p>
            <w:pPr>
              <w:pStyle w:val="null3"/>
            </w:pPr>
            <w:r>
              <w:rPr>
                <w:rFonts w:ascii="宋体" w:hAnsi="宋体" w:cs="宋体" w:eastAsia="宋体"/>
                <w:sz w:val="21"/>
              </w:rPr>
              <w:t>根据实时气象监测信息、未来</w:t>
            </w:r>
            <w:r>
              <w:rPr>
                <w:rFonts w:ascii="&quot;calibri&quot;, sans-serif" w:hAnsi="&quot;calibri&quot;, sans-serif" w:cs="&quot;calibri&quot;, sans-serif" w:eastAsia="&quot;calibri&quot;, sans-serif"/>
                <w:sz w:val="21"/>
              </w:rPr>
              <w:t>72</w:t>
            </w:r>
            <w:r>
              <w:rPr>
                <w:rFonts w:ascii="宋体" w:hAnsi="宋体" w:cs="宋体" w:eastAsia="宋体"/>
                <w:sz w:val="21"/>
              </w:rPr>
              <w:t>小时预报预警及交通基础地理信息，主动提醒各类预警信号、短临告警。对达到预警指标阈值的景点及主要交通线路，在系统上以列表形式显示。</w:t>
            </w:r>
          </w:p>
          <w:p>
            <w:pPr>
              <w:pStyle w:val="null3"/>
              <w:jc w:val="left"/>
            </w:pPr>
            <w:r>
              <w:rPr>
                <w:rFonts w:ascii="calibri, sans-serif" w:hAnsi="calibri, sans-serif" w:cs="calibri, sans-serif" w:eastAsia="calibri, sans-serif"/>
                <w:sz w:val="21"/>
                <w:b/>
              </w:rPr>
              <w:t>1.2</w:t>
            </w:r>
            <w:r>
              <w:rPr>
                <w:rFonts w:ascii="宋体" w:hAnsi="宋体" w:cs="宋体" w:eastAsia="宋体"/>
                <w:sz w:val="21"/>
                <w:b/>
              </w:rPr>
              <w:t>业务系统运维</w:t>
            </w:r>
          </w:p>
          <w:p>
            <w:pPr>
              <w:pStyle w:val="null3"/>
              <w:jc w:val="left"/>
            </w:pPr>
            <w:r>
              <w:rPr>
                <w:rFonts w:ascii="calibri, sans-serif" w:hAnsi="calibri, sans-serif" w:cs="calibri, sans-serif" w:eastAsia="calibri, sans-serif"/>
                <w:sz w:val="21"/>
              </w:rPr>
              <w:t>1.2.1</w:t>
            </w:r>
            <w:r>
              <w:rPr>
                <w:rFonts w:ascii="宋体" w:hAnsi="宋体" w:cs="宋体" w:eastAsia="宋体"/>
                <w:sz w:val="21"/>
              </w:rPr>
              <w:t>业务系统运维</w:t>
            </w:r>
          </w:p>
          <w:p>
            <w:pPr>
              <w:pStyle w:val="null3"/>
              <w:ind w:firstLine="420"/>
              <w:jc w:val="left"/>
            </w:pPr>
            <w:r>
              <w:rPr>
                <w:rFonts w:ascii="宋体" w:hAnsi="宋体" w:cs="宋体" w:eastAsia="宋体"/>
                <w:sz w:val="21"/>
              </w:rPr>
              <w:t>主要包含三部分内容：为支撑互联网服务，将服务器部署在公有云；系统数据保障维持；系统运行维护及网络安全保障。</w:t>
            </w:r>
          </w:p>
          <w:p>
            <w:pPr>
              <w:pStyle w:val="null3"/>
              <w:jc w:val="left"/>
            </w:pPr>
            <w:r>
              <w:rPr>
                <w:rFonts w:ascii="calibri, sans-serif" w:hAnsi="calibri, sans-serif" w:cs="calibri, sans-serif" w:eastAsia="calibri, sans-serif"/>
                <w:sz w:val="21"/>
              </w:rPr>
              <w:t>1.2.2</w:t>
            </w:r>
            <w:r>
              <w:rPr>
                <w:rFonts w:ascii="宋体" w:hAnsi="宋体" w:cs="宋体" w:eastAsia="宋体"/>
                <w:sz w:val="21"/>
              </w:rPr>
              <w:t>业务系统运维</w:t>
            </w:r>
          </w:p>
          <w:p>
            <w:pPr>
              <w:pStyle w:val="null3"/>
              <w:ind w:firstLine="420"/>
              <w:jc w:val="left"/>
            </w:pPr>
            <w:r>
              <w:rPr>
                <w:rFonts w:ascii="宋体" w:hAnsi="宋体" w:cs="宋体" w:eastAsia="宋体"/>
                <w:sz w:val="21"/>
              </w:rPr>
              <w:t>将预警信息短信发布至景区相关责任人和管理人员。</w:t>
            </w:r>
          </w:p>
          <w:p>
            <w:pPr>
              <w:pStyle w:val="null3"/>
              <w:jc w:val="left"/>
            </w:pPr>
            <w:r>
              <w:rPr>
                <w:rFonts w:ascii="calibri, sans-serif" w:hAnsi="calibri, sans-serif" w:cs="calibri, sans-serif" w:eastAsia="calibri, sans-serif"/>
                <w:sz w:val="21"/>
                <w:b/>
              </w:rPr>
              <w:t>1.3</w:t>
            </w:r>
            <w:r>
              <w:rPr>
                <w:rFonts w:ascii="宋体" w:hAnsi="宋体" w:cs="宋体" w:eastAsia="宋体"/>
                <w:sz w:val="21"/>
                <w:b/>
              </w:rPr>
              <w:t>其他要求</w:t>
            </w:r>
          </w:p>
          <w:p>
            <w:pPr>
              <w:pStyle w:val="null3"/>
            </w:pPr>
            <w:r>
              <w:rPr>
                <w:rFonts w:ascii="宋体" w:hAnsi="宋体" w:cs="宋体" w:eastAsia="宋体"/>
                <w:sz w:val="21"/>
              </w:rPr>
              <w:t>所建系统能够接入天擎气象大数据云平台，供应商提供承诺函。</w:t>
            </w:r>
          </w:p>
        </w:tc>
      </w:tr>
      <w:tr>
        <w:tc>
          <w:tcPr>
            <w:tcW w:type="dxa" w:w="2769"/>
          </w:tcPr>
          <w:p/>
        </w:tc>
        <w:tc>
          <w:tcPr>
            <w:tcW w:type="dxa" w:w="2769"/>
          </w:tcPr>
          <w:p>
            <w:pPr>
              <w:pStyle w:val="null3"/>
            </w:pPr>
            <w:r>
              <w:rPr/>
              <w:t>2</w:t>
            </w:r>
          </w:p>
        </w:tc>
        <w:tc>
          <w:tcPr>
            <w:tcW w:type="dxa" w:w="2769"/>
          </w:tcPr>
          <w:p>
            <w:pPr>
              <w:pStyle w:val="null3"/>
              <w:jc w:val="both"/>
            </w:pPr>
            <w:r>
              <w:rPr>
                <w:rFonts w:ascii="宋体" w:hAnsi="宋体" w:cs="宋体" w:eastAsia="宋体"/>
                <w:sz w:val="21"/>
                <w:b/>
              </w:rPr>
              <w:t>二、技术及性能要求</w:t>
            </w:r>
          </w:p>
          <w:p>
            <w:pPr>
              <w:pStyle w:val="null3"/>
              <w:jc w:val="both"/>
            </w:pPr>
            <w:r>
              <w:rPr>
                <w:rFonts w:ascii="calibri, sans-serif" w:hAnsi="calibri, sans-serif" w:cs="calibri, sans-serif" w:eastAsia="calibri, sans-serif"/>
                <w:sz w:val="21"/>
                <w:b/>
              </w:rPr>
              <w:t>2.1</w:t>
            </w:r>
            <w:r>
              <w:rPr>
                <w:rFonts w:ascii="宋体" w:hAnsi="宋体" w:cs="宋体" w:eastAsia="宋体"/>
                <w:sz w:val="21"/>
                <w:b/>
              </w:rPr>
              <w:t>技术要求</w:t>
            </w:r>
          </w:p>
          <w:p>
            <w:pPr>
              <w:pStyle w:val="null3"/>
              <w:jc w:val="both"/>
            </w:pPr>
            <w:r>
              <w:rPr>
                <w:rFonts w:ascii="calibri, sans-serif" w:hAnsi="calibri, sans-serif" w:cs="calibri, sans-serif" w:eastAsia="calibri, sans-serif"/>
                <w:sz w:val="21"/>
              </w:rPr>
              <w:t>2.1.1</w:t>
            </w:r>
            <w:r>
              <w:rPr>
                <w:rFonts w:ascii="宋体" w:hAnsi="宋体" w:cs="宋体" w:eastAsia="宋体"/>
                <w:sz w:val="21"/>
              </w:rPr>
              <w:t>系统架构设计</w:t>
            </w:r>
          </w:p>
          <w:p>
            <w:pPr>
              <w:pStyle w:val="null3"/>
              <w:jc w:val="both"/>
            </w:pPr>
            <w:r>
              <w:rPr>
                <w:rFonts w:ascii="宋体" w:hAnsi="宋体" w:cs="宋体" w:eastAsia="宋体"/>
                <w:sz w:val="21"/>
              </w:rPr>
              <w:t>（</w:t>
            </w:r>
            <w:r>
              <w:rPr>
                <w:rFonts w:ascii="calibri, sans-serif" w:hAnsi="calibri, sans-serif" w:cs="calibri, sans-serif" w:eastAsia="calibri, sans-serif"/>
                <w:sz w:val="21"/>
              </w:rPr>
              <w:t>1</w:t>
            </w:r>
            <w:r>
              <w:rPr>
                <w:rFonts w:ascii="宋体" w:hAnsi="宋体" w:cs="宋体" w:eastAsia="宋体"/>
                <w:sz w:val="21"/>
              </w:rPr>
              <w:t>）后端基于微服务架构理念进行总体框架设计；</w:t>
            </w:r>
          </w:p>
          <w:p>
            <w:pPr>
              <w:pStyle w:val="null3"/>
              <w:jc w:val="both"/>
            </w:pPr>
            <w:r>
              <w:rPr>
                <w:rFonts w:ascii="宋体" w:hAnsi="宋体" w:cs="宋体" w:eastAsia="宋体"/>
                <w:sz w:val="21"/>
              </w:rPr>
              <w:t>（</w:t>
            </w:r>
            <w:r>
              <w:rPr>
                <w:rFonts w:ascii="calibri, sans-serif" w:hAnsi="calibri, sans-serif" w:cs="calibri, sans-serif" w:eastAsia="calibri, sans-serif"/>
                <w:sz w:val="21"/>
              </w:rPr>
              <w:t>2</w:t>
            </w:r>
            <w:r>
              <w:rPr>
                <w:rFonts w:ascii="宋体" w:hAnsi="宋体" w:cs="宋体" w:eastAsia="宋体"/>
                <w:sz w:val="21"/>
              </w:rPr>
              <w:t>）前端基于组件思想进行整体框架设计；</w:t>
            </w:r>
          </w:p>
          <w:p>
            <w:pPr>
              <w:pStyle w:val="null3"/>
              <w:jc w:val="both"/>
            </w:pPr>
            <w:r>
              <w:rPr>
                <w:rFonts w:ascii="宋体" w:hAnsi="宋体" w:cs="宋体" w:eastAsia="宋体"/>
                <w:sz w:val="21"/>
              </w:rPr>
              <w:t>（</w:t>
            </w:r>
            <w:r>
              <w:rPr>
                <w:rFonts w:ascii="calibri, sans-serif" w:hAnsi="calibri, sans-serif" w:cs="calibri, sans-serif" w:eastAsia="calibri, sans-serif"/>
                <w:sz w:val="21"/>
              </w:rPr>
              <w:t>3</w:t>
            </w:r>
            <w:r>
              <w:rPr>
                <w:rFonts w:ascii="宋体" w:hAnsi="宋体" w:cs="宋体" w:eastAsia="宋体"/>
                <w:sz w:val="21"/>
              </w:rPr>
              <w:t>）整体设计体现集约化、复用性、可扩充性；</w:t>
            </w:r>
          </w:p>
          <w:p>
            <w:pPr>
              <w:pStyle w:val="null3"/>
              <w:jc w:val="both"/>
            </w:pPr>
            <w:r>
              <w:rPr>
                <w:rFonts w:ascii="宋体" w:hAnsi="宋体" w:cs="宋体" w:eastAsia="宋体"/>
                <w:sz w:val="21"/>
              </w:rPr>
              <w:t>（</w:t>
            </w:r>
            <w:r>
              <w:rPr>
                <w:rFonts w:ascii="calibri, sans-serif" w:hAnsi="calibri, sans-serif" w:cs="calibri, sans-serif" w:eastAsia="calibri, sans-serif"/>
                <w:sz w:val="21"/>
              </w:rPr>
              <w:t>4</w:t>
            </w:r>
            <w:r>
              <w:rPr>
                <w:rFonts w:ascii="宋体" w:hAnsi="宋体" w:cs="宋体" w:eastAsia="宋体"/>
                <w:sz w:val="21"/>
              </w:rPr>
              <w:t>）基于气象大数据云平台提供的基础环境开展设计；</w:t>
            </w:r>
          </w:p>
          <w:p>
            <w:pPr>
              <w:pStyle w:val="null3"/>
              <w:jc w:val="both"/>
            </w:pPr>
            <w:r>
              <w:rPr>
                <w:rFonts w:ascii="宋体" w:hAnsi="宋体" w:cs="宋体" w:eastAsia="宋体"/>
                <w:sz w:val="21"/>
              </w:rPr>
              <w:t>（</w:t>
            </w:r>
            <w:r>
              <w:rPr>
                <w:rFonts w:ascii="calibri, sans-serif" w:hAnsi="calibri, sans-serif" w:cs="calibri, sans-serif" w:eastAsia="calibri, sans-serif"/>
                <w:sz w:val="21"/>
              </w:rPr>
              <w:t>5</w:t>
            </w:r>
            <w:r>
              <w:rPr>
                <w:rFonts w:ascii="宋体" w:hAnsi="宋体" w:cs="宋体" w:eastAsia="宋体"/>
                <w:sz w:val="21"/>
              </w:rPr>
              <w:t>）使用的气象数据必需从气象大数据云平台接入；</w:t>
            </w:r>
          </w:p>
          <w:p>
            <w:pPr>
              <w:pStyle w:val="null3"/>
              <w:jc w:val="both"/>
            </w:pPr>
            <w:r>
              <w:rPr>
                <w:rFonts w:ascii="宋体" w:hAnsi="宋体" w:cs="宋体" w:eastAsia="宋体"/>
                <w:sz w:val="21"/>
              </w:rPr>
              <w:t>（</w:t>
            </w:r>
            <w:r>
              <w:rPr>
                <w:rFonts w:ascii="calibri, sans-serif" w:hAnsi="calibri, sans-serif" w:cs="calibri, sans-serif" w:eastAsia="calibri, sans-serif"/>
                <w:sz w:val="21"/>
              </w:rPr>
              <w:t>6</w:t>
            </w:r>
            <w:r>
              <w:rPr>
                <w:rFonts w:ascii="宋体" w:hAnsi="宋体" w:cs="宋体" w:eastAsia="宋体"/>
                <w:sz w:val="21"/>
              </w:rPr>
              <w:t>）充分考虑网络、系统、数据等软件安全控制策略；</w:t>
            </w:r>
          </w:p>
          <w:p>
            <w:pPr>
              <w:pStyle w:val="null3"/>
              <w:jc w:val="both"/>
            </w:pPr>
            <w:r>
              <w:rPr>
                <w:rFonts w:ascii="宋体" w:hAnsi="宋体" w:cs="宋体" w:eastAsia="宋体"/>
                <w:sz w:val="21"/>
              </w:rPr>
              <w:t>（</w:t>
            </w:r>
            <w:r>
              <w:rPr>
                <w:rFonts w:ascii="calibri, sans-serif" w:hAnsi="calibri, sans-serif" w:cs="calibri, sans-serif" w:eastAsia="calibri, sans-serif"/>
                <w:sz w:val="21"/>
              </w:rPr>
              <w:t>7</w:t>
            </w:r>
            <w:r>
              <w:rPr>
                <w:rFonts w:ascii="宋体" w:hAnsi="宋体" w:cs="宋体" w:eastAsia="宋体"/>
                <w:sz w:val="21"/>
              </w:rPr>
              <w:t>）软件系统部署在公有云，充分考虑内外网隔离的通信方式；</w:t>
            </w:r>
          </w:p>
          <w:p>
            <w:pPr>
              <w:pStyle w:val="null3"/>
              <w:jc w:val="both"/>
            </w:pPr>
            <w:r>
              <w:rPr>
                <w:rFonts w:ascii="宋体" w:hAnsi="宋体" w:cs="宋体" w:eastAsia="宋体"/>
                <w:sz w:val="21"/>
              </w:rPr>
              <w:t>（</w:t>
            </w:r>
            <w:r>
              <w:rPr>
                <w:rFonts w:ascii="calibri, sans-serif" w:hAnsi="calibri, sans-serif" w:cs="calibri, sans-serif" w:eastAsia="calibri, sans-serif"/>
                <w:sz w:val="21"/>
              </w:rPr>
              <w:t>8</w:t>
            </w:r>
            <w:r>
              <w:rPr>
                <w:rFonts w:ascii="宋体" w:hAnsi="宋体" w:cs="宋体" w:eastAsia="宋体"/>
                <w:sz w:val="21"/>
              </w:rPr>
              <w:t>）气象预警信息需通过短信发送给相关现任人，需考虑短信接口问题。</w:t>
            </w:r>
          </w:p>
          <w:p>
            <w:pPr>
              <w:pStyle w:val="null3"/>
              <w:jc w:val="both"/>
            </w:pPr>
            <w:r>
              <w:rPr>
                <w:rFonts w:ascii="calibri, sans-serif" w:hAnsi="calibri, sans-serif" w:cs="calibri, sans-serif" w:eastAsia="calibri, sans-serif"/>
                <w:sz w:val="21"/>
              </w:rPr>
              <w:t>2.1.2</w:t>
            </w:r>
            <w:r>
              <w:rPr>
                <w:rFonts w:ascii="宋体" w:hAnsi="宋体" w:cs="宋体" w:eastAsia="宋体"/>
                <w:sz w:val="21"/>
              </w:rPr>
              <w:t>技术路线</w:t>
            </w:r>
          </w:p>
          <w:p>
            <w:pPr>
              <w:pStyle w:val="null3"/>
              <w:jc w:val="both"/>
            </w:pPr>
            <w:r>
              <w:rPr>
                <w:rFonts w:ascii="宋体" w:hAnsi="宋体" w:cs="宋体" w:eastAsia="宋体"/>
                <w:sz w:val="21"/>
              </w:rPr>
              <w:t>（</w:t>
            </w:r>
            <w:r>
              <w:rPr>
                <w:rFonts w:ascii="calibri, sans-serif" w:hAnsi="calibri, sans-serif" w:cs="calibri, sans-serif" w:eastAsia="calibri, sans-serif"/>
                <w:sz w:val="21"/>
              </w:rPr>
              <w:t>1</w:t>
            </w:r>
            <w:r>
              <w:rPr>
                <w:rFonts w:ascii="宋体" w:hAnsi="宋体" w:cs="宋体" w:eastAsia="宋体"/>
                <w:sz w:val="21"/>
              </w:rPr>
              <w:t>）整体设计必须基于气象大数据云平台统一要求；</w:t>
            </w:r>
          </w:p>
          <w:p>
            <w:pPr>
              <w:pStyle w:val="null3"/>
              <w:jc w:val="both"/>
            </w:pPr>
            <w:r>
              <w:rPr>
                <w:rFonts w:ascii="宋体" w:hAnsi="宋体" w:cs="宋体" w:eastAsia="宋体"/>
                <w:sz w:val="21"/>
              </w:rPr>
              <w:t>（</w:t>
            </w:r>
            <w:r>
              <w:rPr>
                <w:rFonts w:ascii="calibri, sans-serif" w:hAnsi="calibri, sans-serif" w:cs="calibri, sans-serif" w:eastAsia="calibri, sans-serif"/>
                <w:sz w:val="21"/>
              </w:rPr>
              <w:t>2</w:t>
            </w:r>
            <w:r>
              <w:rPr>
                <w:rFonts w:ascii="宋体" w:hAnsi="宋体" w:cs="宋体" w:eastAsia="宋体"/>
                <w:sz w:val="21"/>
              </w:rPr>
              <w:t>）前端开发语言采用</w:t>
            </w:r>
            <w:r>
              <w:rPr>
                <w:rFonts w:ascii="calibri, sans-serif" w:hAnsi="calibri, sans-serif" w:cs="calibri, sans-serif" w:eastAsia="calibri, sans-serif"/>
                <w:sz w:val="21"/>
              </w:rPr>
              <w:t>JavaScript</w:t>
            </w:r>
            <w:r>
              <w:rPr>
                <w:rFonts w:ascii="宋体" w:hAnsi="宋体" w:cs="宋体" w:eastAsia="宋体"/>
                <w:sz w:val="21"/>
              </w:rPr>
              <w:t>；</w:t>
            </w:r>
          </w:p>
          <w:p>
            <w:pPr>
              <w:pStyle w:val="null3"/>
              <w:jc w:val="both"/>
            </w:pPr>
            <w:r>
              <w:rPr>
                <w:rFonts w:ascii="宋体" w:hAnsi="宋体" w:cs="宋体" w:eastAsia="宋体"/>
                <w:sz w:val="21"/>
              </w:rPr>
              <w:t>（</w:t>
            </w:r>
            <w:r>
              <w:rPr>
                <w:rFonts w:ascii="calibri, sans-serif" w:hAnsi="calibri, sans-serif" w:cs="calibri, sans-serif" w:eastAsia="calibri, sans-serif"/>
                <w:sz w:val="21"/>
              </w:rPr>
              <w:t>3</w:t>
            </w:r>
            <w:r>
              <w:rPr>
                <w:rFonts w:ascii="宋体" w:hAnsi="宋体" w:cs="宋体" w:eastAsia="宋体"/>
                <w:sz w:val="21"/>
              </w:rPr>
              <w:t>）应用系统软件访问能力和软件功能具有扩展性；</w:t>
            </w:r>
          </w:p>
          <w:p>
            <w:pPr>
              <w:pStyle w:val="null3"/>
              <w:jc w:val="both"/>
            </w:pPr>
            <w:r>
              <w:rPr>
                <w:rFonts w:ascii="宋体" w:hAnsi="宋体" w:cs="宋体" w:eastAsia="宋体"/>
                <w:sz w:val="21"/>
              </w:rPr>
              <w:t>（</w:t>
            </w:r>
            <w:r>
              <w:rPr>
                <w:rFonts w:ascii="calibri, sans-serif" w:hAnsi="calibri, sans-serif" w:cs="calibri, sans-serif" w:eastAsia="calibri, sans-serif"/>
                <w:sz w:val="21"/>
              </w:rPr>
              <w:t>4</w:t>
            </w:r>
            <w:r>
              <w:rPr>
                <w:rFonts w:ascii="宋体" w:hAnsi="宋体" w:cs="宋体" w:eastAsia="宋体"/>
                <w:sz w:val="21"/>
              </w:rPr>
              <w:t>）数据采集、产品加工、业务交互等各环节考虑监控信息；</w:t>
            </w:r>
          </w:p>
          <w:p>
            <w:pPr>
              <w:pStyle w:val="null3"/>
              <w:jc w:val="both"/>
            </w:pPr>
            <w:r>
              <w:rPr>
                <w:rFonts w:ascii="宋体" w:hAnsi="宋体" w:cs="宋体" w:eastAsia="宋体"/>
                <w:sz w:val="21"/>
              </w:rPr>
              <w:t>（</w:t>
            </w:r>
            <w:r>
              <w:rPr>
                <w:rFonts w:ascii="calibri, sans-serif" w:hAnsi="calibri, sans-serif" w:cs="calibri, sans-serif" w:eastAsia="calibri, sans-serif"/>
                <w:sz w:val="21"/>
              </w:rPr>
              <w:t>5</w:t>
            </w:r>
            <w:r>
              <w:rPr>
                <w:rFonts w:ascii="宋体" w:hAnsi="宋体" w:cs="宋体" w:eastAsia="宋体"/>
                <w:sz w:val="21"/>
              </w:rPr>
              <w:t>）综合考虑天气图层技术应用方式；</w:t>
            </w:r>
          </w:p>
          <w:p>
            <w:pPr>
              <w:pStyle w:val="null3"/>
              <w:jc w:val="both"/>
            </w:pPr>
            <w:r>
              <w:rPr>
                <w:rFonts w:ascii="宋体" w:hAnsi="宋体" w:cs="宋体" w:eastAsia="宋体"/>
                <w:sz w:val="21"/>
              </w:rPr>
              <w:t>（</w:t>
            </w:r>
            <w:r>
              <w:rPr>
                <w:rFonts w:ascii="calibri, sans-serif" w:hAnsi="calibri, sans-serif" w:cs="calibri, sans-serif" w:eastAsia="calibri, sans-serif"/>
                <w:sz w:val="21"/>
              </w:rPr>
              <w:t>6</w:t>
            </w:r>
            <w:r>
              <w:rPr>
                <w:rFonts w:ascii="宋体" w:hAnsi="宋体" w:cs="宋体" w:eastAsia="宋体"/>
                <w:sz w:val="21"/>
              </w:rPr>
              <w:t>）技术选型中不得使用测试版本和盗版软件。</w:t>
            </w:r>
          </w:p>
          <w:p>
            <w:pPr>
              <w:pStyle w:val="null3"/>
              <w:jc w:val="both"/>
            </w:pPr>
            <w:r>
              <w:rPr>
                <w:rFonts w:ascii="calibri, sans-serif" w:hAnsi="calibri, sans-serif" w:cs="calibri, sans-serif" w:eastAsia="calibri, sans-serif"/>
                <w:sz w:val="21"/>
                <w:b/>
              </w:rPr>
              <w:t>2.2</w:t>
            </w:r>
            <w:r>
              <w:rPr>
                <w:rFonts w:ascii="宋体" w:hAnsi="宋体" w:cs="宋体" w:eastAsia="宋体"/>
                <w:sz w:val="21"/>
                <w:b/>
              </w:rPr>
              <w:t>性能要求</w:t>
            </w:r>
          </w:p>
          <w:p>
            <w:pPr>
              <w:pStyle w:val="null3"/>
              <w:jc w:val="both"/>
            </w:pPr>
            <w:r>
              <w:rPr>
                <w:rFonts w:ascii="calibri, sans-serif" w:hAnsi="calibri, sans-serif" w:cs="calibri, sans-serif" w:eastAsia="calibri, sans-serif"/>
                <w:sz w:val="21"/>
              </w:rPr>
              <w:t>2.2.1</w:t>
            </w:r>
            <w:r>
              <w:rPr>
                <w:rFonts w:ascii="宋体" w:hAnsi="宋体" w:cs="宋体" w:eastAsia="宋体"/>
                <w:sz w:val="21"/>
              </w:rPr>
              <w:t>数据可视化响应时间小于</w:t>
            </w:r>
            <w:r>
              <w:rPr>
                <w:rFonts w:ascii="calibri, sans-serif" w:hAnsi="calibri, sans-serif" w:cs="calibri, sans-serif" w:eastAsia="calibri, sans-serif"/>
                <w:sz w:val="21"/>
              </w:rPr>
              <w:t>2</w:t>
            </w:r>
            <w:r>
              <w:rPr>
                <w:rFonts w:ascii="宋体" w:hAnsi="宋体" w:cs="宋体" w:eastAsia="宋体"/>
                <w:sz w:val="21"/>
              </w:rPr>
              <w:t>秒；</w:t>
            </w:r>
          </w:p>
          <w:p>
            <w:pPr>
              <w:pStyle w:val="null3"/>
              <w:jc w:val="both"/>
            </w:pPr>
            <w:r>
              <w:rPr>
                <w:rFonts w:ascii="&quot;calibri&quot;, sans-serif" w:hAnsi="&quot;calibri&quot;, sans-serif" w:cs="&quot;calibri&quot;, sans-serif" w:eastAsia="&quot;calibri&quot;, sans-serif"/>
                <w:sz w:val="21"/>
              </w:rPr>
              <w:t>2.2.2</w:t>
            </w:r>
            <w:r>
              <w:rPr>
                <w:rFonts w:ascii="宋体" w:hAnsi="宋体" w:cs="宋体" w:eastAsia="宋体"/>
                <w:sz w:val="21"/>
              </w:rPr>
              <w:t>灾害风险的图形产品加工效率</w:t>
            </w:r>
            <w:r>
              <w:rPr>
                <w:rFonts w:ascii="&quot;calibri&quot;, sans-serif" w:hAnsi="&quot;calibri&quot;, sans-serif" w:cs="&quot;calibri&quot;, sans-serif" w:eastAsia="&quot;calibri&quot;, sans-serif"/>
                <w:sz w:val="21"/>
              </w:rPr>
              <w:t>1</w:t>
            </w:r>
            <w:r>
              <w:rPr>
                <w:rFonts w:ascii="宋体" w:hAnsi="宋体" w:cs="宋体" w:eastAsia="宋体"/>
                <w:sz w:val="21"/>
              </w:rPr>
              <w:t>分钟以内。</w:t>
            </w:r>
          </w:p>
        </w:tc>
      </w:tr>
    </w:tbl>
    <w:p>
      <w:pPr>
        <w:pStyle w:val="null3"/>
        <w:outlineLvl w:val="2"/>
      </w:pPr>
      <w:r>
        <w:rPr>
          <w:sz w:val="28"/>
          <w:b/>
        </w:rPr>
        <w:t>3.2.3人员配置要求</w:t>
      </w:r>
    </w:p>
    <w:p>
      <w:pPr>
        <w:pStyle w:val="null3"/>
      </w:pPr>
      <w:r>
        <w:rPr/>
        <w:t>采购包1：</w:t>
      </w:r>
    </w:p>
    <w:p>
      <w:pPr>
        <w:pStyle w:val="null3"/>
      </w:pPr>
      <w:r>
        <w:rPr/>
        <w:t>按项目服务要求配置人员，确保项目顺利实施。</w:t>
      </w:r>
    </w:p>
    <w:p>
      <w:pPr>
        <w:pStyle w:val="null3"/>
        <w:outlineLvl w:val="2"/>
      </w:pPr>
      <w:r>
        <w:rPr>
          <w:sz w:val="28"/>
          <w:b/>
        </w:rPr>
        <w:t>3.2.4设施设备要求</w:t>
      </w:r>
    </w:p>
    <w:p>
      <w:pPr>
        <w:pStyle w:val="null3"/>
      </w:pPr>
      <w:r>
        <w:rPr/>
        <w:t>采购包1：</w:t>
      </w:r>
    </w:p>
    <w:p>
      <w:pPr>
        <w:pStyle w:val="null3"/>
      </w:pPr>
      <w:r>
        <w:rPr/>
        <w:t>按项目服务要求配置，确保项目顺利实施。</w:t>
      </w:r>
    </w:p>
    <w:p>
      <w:pPr>
        <w:pStyle w:val="null3"/>
        <w:outlineLvl w:val="2"/>
      </w:pPr>
      <w:r>
        <w:rPr>
          <w:sz w:val="28"/>
          <w:b/>
        </w:rPr>
        <w:t>3.2.5其他要求</w:t>
      </w:r>
    </w:p>
    <w:p>
      <w:pPr>
        <w:pStyle w:val="null3"/>
      </w:pPr>
      <w:r>
        <w:rPr/>
        <w:t>采购包1：</w:t>
      </w:r>
    </w:p>
    <w:p>
      <w:pPr>
        <w:pStyle w:val="null3"/>
      </w:pPr>
      <w:r>
        <w:rPr/>
        <w:t>按服务内容及合同条款要求执行。</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自合同签订之日起30日历日内完成系统建设，并达到验收状态。</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1 、交付的服务必须等同或优于本项目采购文件“服务内容及要求”所述的标准。若乙方在其响应文件中承诺的技术标准优于本项目采购文件“服务内容及要求”所述标准的，按响应的承诺执行。 2 、中标（成交）供应商完成并交付的工作成果需经采购人验收合格，则视为接受。如果在验收时采购人表明不接受中标（成交）供应商提交的工作成果并明示不接受的原因，中标供应商应当采取合理之措施进行修改，以达到合同规定的要求。</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w:t>
      </w:r>
      <w:r>
        <w:rPr/>
        <w:t xml:space="preserve"> ，达到付款条件起 </w:t>
      </w:r>
      <w:r>
        <w:rPr/>
        <w:t>15</w:t>
      </w:r>
      <w:r>
        <w:rPr/>
        <w:t xml:space="preserve"> 日内，支付合同总金额的 </w:t>
      </w:r>
      <w:r>
        <w:rPr/>
        <w:t>40.00</w:t>
      </w:r>
      <w:r>
        <w:rPr/>
        <w:t>%。</w:t>
      </w:r>
    </w:p>
    <w:p>
      <w:pPr>
        <w:pStyle w:val="null3"/>
      </w:pPr>
      <w:r>
        <w:rPr/>
        <w:t>采购包1：</w:t>
      </w:r>
      <w:r>
        <w:rPr/>
        <w:t xml:space="preserve"> 付款条件说明： </w:t>
      </w:r>
      <w:r>
        <w:rPr/>
        <w:t>项目实施完成经采购人验收合格后</w:t>
      </w:r>
      <w:r>
        <w:rPr/>
        <w:t xml:space="preserve"> ，达到付款条件起 </w:t>
      </w:r>
      <w:r>
        <w:rPr/>
        <w:t>15</w:t>
      </w:r>
      <w:r>
        <w:rPr/>
        <w:t xml:space="preserve"> 日内，支付合同总金额的 </w:t>
      </w:r>
      <w:r>
        <w:rPr/>
        <w:t>60.00</w:t>
      </w:r>
      <w:r>
        <w:rPr/>
        <w:t>%。</w:t>
      </w:r>
    </w:p>
    <w:p>
      <w:pPr>
        <w:pStyle w:val="null3"/>
        <w:outlineLvl w:val="3"/>
      </w:pPr>
      <w:r>
        <w:rPr>
          <w:sz w:val="24"/>
          <w:b/>
        </w:rPr>
        <w:t>3.3.6违约责任及解决争议的方法</w:t>
      </w:r>
    </w:p>
    <w:p>
      <w:pPr>
        <w:pStyle w:val="null3"/>
      </w:pPr>
      <w:r>
        <w:rPr/>
        <w:t>采购包1：</w:t>
      </w:r>
    </w:p>
    <w:p>
      <w:pPr>
        <w:pStyle w:val="null3"/>
      </w:pPr>
      <w:r>
        <w:rPr/>
        <w:t>（1）违约责任 ：①按《中华人民共和国民法典》中的相关条款执行。②未按合同要求提供的设备质量不能满足合同技术要求，采购人会同招标组织机构有权终止合同和对供应商的违约行为进行追究。③乙方不能按期完成工作任务，乙方须按甲方已支付金额的双倍金额，返还于甲方，作为赔偿。如因甲方原因导致产品不能按计划完成，乙方不用承担赔偿责任。 （2）合同争议解决：合同执行中发生争议的，当事人双方应协商解决，协商达不成一致时，可向采购方所在地人民法院提请诉讼。</w:t>
      </w:r>
    </w:p>
    <w:p>
      <w:pPr>
        <w:pStyle w:val="null3"/>
        <w:outlineLvl w:val="2"/>
      </w:pPr>
      <w:r>
        <w:rPr>
          <w:sz w:val="28"/>
          <w:b/>
        </w:rPr>
        <w:t>3.4其他要求</w:t>
      </w:r>
    </w:p>
    <w:p>
      <w:pPr>
        <w:pStyle w:val="null3"/>
      </w:pPr>
      <w:r>
        <w:rPr/>
        <w:t>按服务内容及合同条款要求执行。</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1.资格证明资料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参与的供应商（联合体）服务全部由符合政策要求的小微企业承接。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资格审核共9项</w:t>
            </w:r>
          </w:p>
        </w:tc>
        <w:tc>
          <w:tcPr>
            <w:tcW w:type="dxa" w:w="3322"/>
          </w:tcPr>
          <w:p>
            <w:pPr>
              <w:pStyle w:val="null3"/>
            </w:pPr>
            <w:r>
              <w:rPr/>
              <w:t>（1）主体资格：供应商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 （2）授权委托：供应商应授权合法的人员参加投标全过程，其中法定代表人/负责人直接投标，须提交法定代表人/负责人身份证明书和身份证；法定代表人/负责人授权代表参加投标的，须出具法定代表人/负责人授权书及授权代表身份证；竞争性磋商文件中凡是需要法定代表人签字或盖章之处，非法人单位的负责人均参照执行。供应商需在项目电子化交易系统中按要求上传相应证明文件并进行电子签章。 （3）财务状况报告：提供2023年度经审计的财务报告（包含审计报告和审计报告中所涉及的财务报表和报表附注），或提供2023年度供应商完整的全套财务报表（应当包括资产负债表、利润表、现金流量表、所有者权益变动表、附注），或提2024年5月1日以来银行出具的资信证明，或提供财政部门认可的政府采购专业担保机构出具的响应担保函，或供应商注册时间至投标文件提交截止日不足一年的，也可提供在工商管理部门备案的公司章程（以上五种形式的资料提供任何一种即可）。供应商需在项目电子化交易系统中按要求上传相应证明文件并进行电子签章。 （4）社会保障资金缴纳证明：提供2023年11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供应商需在项目电子化交易系统中按要求上传相应证明文件并进行电子签章。 （5）税收缴纳证明：提供2023年11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供应商需在项目电子化交易系统中按要求上传相应证明文件并进行电子签章。 （6）书面声明：参加本次政府采购活动前3年内在经营活动中没有重大违纪，以及未被列入失信被执行人、重大税收违法案件当事人名单、政府采购严重违法失信行为记录名单的书面声明；供应商需在项目电子化交易系统中按要求上传相应证明文件并进行电子签章。 （7）承诺函：提供具有履行合同所必需的设备和专业技术能力的承诺；供应商需在项目电子化交易系统中按要求上传相应证明文件并进行电子签章。 （8）与招标人存在利害关系可能影响招标公正性的单位，不得参加投标。单位负责人为同一人或者存在控股、管理关系的不同单位，不得参加同一标段投标，否则，相关投标均无效。 （9）中小企业声明函：本项目为专门面向小微企业项目。承接服务的供应商应为小型、微型企业或监狱企业或残疾人福利性单位。承接服务的供应商为小型、微型企业的，投标人提供《中小企业声明函》原件，且中小企业的划分标准所属行业为软件和信息技术服务业；承接服务的供应商为监狱企业的，投标人应提供承接服务的供应商为监狱企业的证明文件原件（监狱企业视同小型、微型企业）；承接服务的供应商为残疾人福利性单位的，投标人应提供承接服务的供应商为残疾人福利性单位的《残疾人福利性单位声明函》原件（残疾人福利性单位视同小型、微型企业）。</w:t>
            </w:r>
          </w:p>
        </w:tc>
        <w:tc>
          <w:tcPr>
            <w:tcW w:type="dxa" w:w="1661"/>
          </w:tcPr>
          <w:p>
            <w:pPr>
              <w:pStyle w:val="null3"/>
            </w:pPr>
            <w:r>
              <w:rPr/>
              <w:t>1.资格证明资料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2.拒绝政府采购领域商业贿赂承诺书 标的清单 报价表</w:t>
            </w:r>
          </w:p>
        </w:tc>
      </w:tr>
      <w:tr>
        <w:tc>
          <w:tcPr>
            <w:tcW w:type="dxa" w:w="831"/>
          </w:tcPr>
          <w:p>
            <w:pPr>
              <w:pStyle w:val="null3"/>
            </w:pPr>
            <w:r>
              <w:rPr/>
              <w:t>2</w:t>
            </w:r>
          </w:p>
        </w:tc>
        <w:tc>
          <w:tcPr>
            <w:tcW w:type="dxa" w:w="2492"/>
          </w:tcPr>
          <w:p>
            <w:pPr>
              <w:pStyle w:val="null3"/>
            </w:pPr>
            <w:r>
              <w:rPr/>
              <w:t>供应商名称字章</w:t>
            </w:r>
          </w:p>
        </w:tc>
        <w:tc>
          <w:tcPr>
            <w:tcW w:type="dxa" w:w="3322"/>
          </w:tcPr>
          <w:p>
            <w:pPr>
              <w:pStyle w:val="null3"/>
            </w:pPr>
            <w:r>
              <w:rPr/>
              <w:t>供应商名称字章是否一致</w:t>
            </w:r>
          </w:p>
        </w:tc>
        <w:tc>
          <w:tcPr>
            <w:tcW w:type="dxa" w:w="1661"/>
          </w:tcPr>
          <w:p>
            <w:pPr>
              <w:pStyle w:val="null3"/>
            </w:pPr>
            <w:r>
              <w:rPr/>
              <w:t>响应文件封面 响应函</w:t>
            </w:r>
          </w:p>
        </w:tc>
      </w:tr>
      <w:tr>
        <w:tc>
          <w:tcPr>
            <w:tcW w:type="dxa" w:w="831"/>
          </w:tcPr>
          <w:p>
            <w:pPr>
              <w:pStyle w:val="null3"/>
            </w:pPr>
            <w:r>
              <w:rPr/>
              <w:t>3</w:t>
            </w:r>
          </w:p>
        </w:tc>
        <w:tc>
          <w:tcPr>
            <w:tcW w:type="dxa" w:w="2492"/>
          </w:tcPr>
          <w:p>
            <w:pPr>
              <w:pStyle w:val="null3"/>
            </w:pPr>
            <w:r>
              <w:rPr/>
              <w:t>磋商响应文件的签字盖章</w:t>
            </w:r>
          </w:p>
        </w:tc>
        <w:tc>
          <w:tcPr>
            <w:tcW w:type="dxa" w:w="3322"/>
          </w:tcPr>
          <w:p>
            <w:pPr>
              <w:pStyle w:val="null3"/>
            </w:pPr>
            <w:r>
              <w:rPr/>
              <w:t>磋商响应文件的签字盖章是否按照磋商文件要求进行</w:t>
            </w:r>
          </w:p>
        </w:tc>
        <w:tc>
          <w:tcPr>
            <w:tcW w:type="dxa" w:w="1661"/>
          </w:tcPr>
          <w:p>
            <w:pPr>
              <w:pStyle w:val="null3"/>
            </w:pPr>
            <w:r>
              <w:rPr/>
              <w:t>响应文件封面 响应函</w:t>
            </w:r>
          </w:p>
        </w:tc>
      </w:tr>
      <w:tr>
        <w:tc>
          <w:tcPr>
            <w:tcW w:type="dxa" w:w="831"/>
          </w:tcPr>
          <w:p>
            <w:pPr>
              <w:pStyle w:val="null3"/>
            </w:pPr>
            <w:r>
              <w:rPr/>
              <w:t>4</w:t>
            </w:r>
          </w:p>
        </w:tc>
        <w:tc>
          <w:tcPr>
            <w:tcW w:type="dxa" w:w="2492"/>
          </w:tcPr>
          <w:p>
            <w:pPr>
              <w:pStyle w:val="null3"/>
            </w:pPr>
            <w:r>
              <w:rPr/>
              <w:t>磋商有效期</w:t>
            </w:r>
          </w:p>
        </w:tc>
        <w:tc>
          <w:tcPr>
            <w:tcW w:type="dxa" w:w="3322"/>
          </w:tcPr>
          <w:p>
            <w:pPr>
              <w:pStyle w:val="null3"/>
            </w:pPr>
            <w:r>
              <w:rPr/>
              <w:t>磋商有效期是否满足磋商最低要求90天</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磋商报价有效性</w:t>
            </w:r>
          </w:p>
        </w:tc>
        <w:tc>
          <w:tcPr>
            <w:tcW w:type="dxa" w:w="3322"/>
          </w:tcPr>
          <w:p>
            <w:pPr>
              <w:pStyle w:val="null3"/>
            </w:pPr>
            <w:r>
              <w:rPr/>
              <w:t>磋商报价是否唯一有效或磋商报价是否超过采购预算</w:t>
            </w:r>
          </w:p>
        </w:tc>
        <w:tc>
          <w:tcPr>
            <w:tcW w:type="dxa" w:w="1661"/>
          </w:tcPr>
          <w:p>
            <w:pPr>
              <w:pStyle w:val="null3"/>
            </w:pPr>
            <w:r>
              <w:rPr/>
              <w:t>标的清单 报价表 3.分项报价表</w:t>
            </w:r>
          </w:p>
        </w:tc>
      </w:tr>
      <w:tr>
        <w:tc>
          <w:tcPr>
            <w:tcW w:type="dxa" w:w="831"/>
          </w:tcPr>
          <w:p>
            <w:pPr>
              <w:pStyle w:val="null3"/>
            </w:pPr>
            <w:r>
              <w:rPr/>
              <w:t>6</w:t>
            </w:r>
          </w:p>
        </w:tc>
        <w:tc>
          <w:tcPr>
            <w:tcW w:type="dxa" w:w="2492"/>
          </w:tcPr>
          <w:p>
            <w:pPr>
              <w:pStyle w:val="null3"/>
            </w:pPr>
            <w:r>
              <w:rPr/>
              <w:t>服务期、付款方式</w:t>
            </w:r>
          </w:p>
        </w:tc>
        <w:tc>
          <w:tcPr>
            <w:tcW w:type="dxa" w:w="3322"/>
          </w:tcPr>
          <w:p>
            <w:pPr>
              <w:pStyle w:val="null3"/>
            </w:pPr>
            <w:r>
              <w:rPr/>
              <w:t>服务期、付款方式是否响应采购文件要求</w:t>
            </w:r>
          </w:p>
        </w:tc>
        <w:tc>
          <w:tcPr>
            <w:tcW w:type="dxa" w:w="1661"/>
          </w:tcPr>
          <w:p>
            <w:pPr>
              <w:pStyle w:val="null3"/>
            </w:pPr>
            <w:r>
              <w:rPr/>
              <w:t>5.商务应答表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详细评审80.0000分</w:t>
            </w:r>
          </w:p>
          <w:p>
            <w:pPr>
              <w:pStyle w:val="null3"/>
            </w:pPr>
            <w:r>
              <w:rPr/>
              <w:t>报价得分20.0000分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服务响应方案</w:t>
            </w:r>
          </w:p>
        </w:tc>
        <w:tc>
          <w:tcPr>
            <w:tcW w:type="dxa" w:w="2492"/>
          </w:tcPr>
          <w:p>
            <w:pPr>
              <w:pStyle w:val="null3"/>
            </w:pPr>
            <w:r>
              <w:rPr/>
              <w:t>1、“智慧旅游气象风险决策系统”建设内容共4个模块，供应商根据每个模块的 内容要求提供响应情况及服务方案，方案完整，完全包含以上4项且满足实际工作需求，每一项内容描述详细内容全面得8分，每缺少一项扣2分，每有一项缺陷（缺陷是指不适用项目实际情况、凭空编造、存在逻辑漏洞、科学原理错误、不可能实现的夸大情形以及涉及的规范、标准与本项目要求不一致等）扣1分，扣完为止。 2、“业务系统运维”共2项要求，供应商根据每项要求提供响应情况及服务方案，方案完整，完全包含以上2项且满足实际工作需求，每一项内容描述详细内容全面得4分，每缺少一项扣1分，每有一项缺陷（缺陷是指不适用项目实际情况、凭空编造、存在逻辑漏洞、科学原理错误、不可能实现的夸大情形以及涉及的规范、标准与本项目要求不一致等）扣1分，扣完为止。 3、“技术及性能要求”共16项，供应商能完全满足每项要求无负偏离得8分，每有一项负偏离扣0.5分。评审依据服务内容偏离表及相关承诺。</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4.服务内容响应表</w:t>
            </w:r>
          </w:p>
          <w:p>
            <w:pPr>
              <w:pStyle w:val="null3"/>
            </w:pPr>
            <w:r>
              <w:rPr/>
              <w:t>1.服务响应方案</w:t>
            </w:r>
          </w:p>
        </w:tc>
      </w:tr>
      <w:tr>
        <w:tc>
          <w:tcPr>
            <w:tcW w:type="dxa" w:w="831"/>
            <w:vMerge/>
          </w:tcPr>
          <w:p/>
        </w:tc>
        <w:tc>
          <w:tcPr>
            <w:tcW w:type="dxa" w:w="1661"/>
          </w:tcPr>
          <w:p>
            <w:pPr>
              <w:pStyle w:val="null3"/>
            </w:pPr>
            <w:r>
              <w:rPr/>
              <w:t>重点难点分析</w:t>
            </w:r>
          </w:p>
        </w:tc>
        <w:tc>
          <w:tcPr>
            <w:tcW w:type="dxa" w:w="2492"/>
          </w:tcPr>
          <w:p>
            <w:pPr>
              <w:pStyle w:val="null3"/>
            </w:pPr>
            <w:r>
              <w:rPr/>
              <w:t>根据供应商针对本项目提供的重点难点分析（包含但不限于①软件的硬件运行环境②软件技术架构的理解③运维工作的重点难点分析等方面）进行评审：重点难点分析完整，完全包含以上3项且满足实际工作需求，每一项内容描述详细内容全面得9分，每缺少一项扣3分，每有一项缺陷（缺陷是指不适用项目实际情况、凭空编造、存在逻辑漏洞、科学原理错误、不可能实现的夸大情形以及涉及的规范、标准与本项目要求不一致等）扣1分，扣完为止。说明：未提供不得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2.重点难点分析</w:t>
            </w:r>
          </w:p>
        </w:tc>
      </w:tr>
      <w:tr>
        <w:tc>
          <w:tcPr>
            <w:tcW w:type="dxa" w:w="831"/>
            <w:vMerge/>
          </w:tcPr>
          <w:p/>
        </w:tc>
        <w:tc>
          <w:tcPr>
            <w:tcW w:type="dxa" w:w="1661"/>
          </w:tcPr>
          <w:p>
            <w:pPr>
              <w:pStyle w:val="null3"/>
            </w:pPr>
            <w:r>
              <w:rPr/>
              <w:t>项目组织方式、工作机制，工作流程方案</w:t>
            </w:r>
          </w:p>
        </w:tc>
        <w:tc>
          <w:tcPr>
            <w:tcW w:type="dxa" w:w="2492"/>
          </w:tcPr>
          <w:p>
            <w:pPr>
              <w:pStyle w:val="null3"/>
            </w:pPr>
            <w:r>
              <w:rPr/>
              <w:t>根据项目服务内容及要求提供①组织方式②工作机制③工作流程等进行评审。方案完整，完全包含以上3项且满足实际工作需求，每一项内容描述详细内容全面得4.5分，每缺少一项扣1.5分，每有一项缺陷（缺陷是指不适用项目实际情况、凭空编造、存在逻辑漏洞、科学原理错误、不可能实现的夸大情形以及涉及的规范、标准与本项目要求不一致等）扣0.5分，扣完为止。</w:t>
            </w:r>
          </w:p>
        </w:tc>
        <w:tc>
          <w:tcPr>
            <w:tcW w:type="dxa" w:w="831"/>
          </w:tcPr>
          <w:p>
            <w:pPr>
              <w:pStyle w:val="null3"/>
              <w:jc w:val="right"/>
            </w:pPr>
            <w:r>
              <w:rPr/>
              <w:t>4.5000</w:t>
            </w:r>
          </w:p>
        </w:tc>
        <w:tc>
          <w:tcPr>
            <w:tcW w:type="dxa" w:w="831"/>
          </w:tcPr>
          <w:p>
            <w:pPr>
              <w:pStyle w:val="null3"/>
            </w:pPr>
            <w:r>
              <w:rPr/>
              <w:t>主观</w:t>
            </w:r>
          </w:p>
        </w:tc>
        <w:tc>
          <w:tcPr>
            <w:tcW w:type="dxa" w:w="1661"/>
          </w:tcPr>
          <w:p>
            <w:pPr>
              <w:pStyle w:val="null3"/>
            </w:pPr>
            <w:r>
              <w:rPr/>
              <w:t>3.项目组织方式、工作机制，工作流程方案</w:t>
            </w:r>
          </w:p>
        </w:tc>
      </w:tr>
      <w:tr>
        <w:tc>
          <w:tcPr>
            <w:tcW w:type="dxa" w:w="831"/>
            <w:vMerge/>
          </w:tcPr>
          <w:p/>
        </w:tc>
        <w:tc>
          <w:tcPr>
            <w:tcW w:type="dxa" w:w="1661"/>
          </w:tcPr>
          <w:p>
            <w:pPr>
              <w:pStyle w:val="null3"/>
            </w:pPr>
            <w:r>
              <w:rPr/>
              <w:t>控制措施、项目配置管理措施</w:t>
            </w:r>
          </w:p>
        </w:tc>
        <w:tc>
          <w:tcPr>
            <w:tcW w:type="dxa" w:w="2492"/>
          </w:tcPr>
          <w:p>
            <w:pPr>
              <w:pStyle w:val="null3"/>
            </w:pPr>
            <w:r>
              <w:rPr/>
              <w:t>控制措施、项目配置管理措施包含但不限于①控制措施②项目配置管理措施③人员及职责等完整性、针对性、合理性进行赋分。措施完整，完全包含以上3项且满足实际工作需求，每一项内容描述详细内容全面得4.5分，每缺少一项扣1.5分，每有一项缺陷（缺陷是指不适用项目实际情况、凭空编造、存在逻辑漏洞、科学原理错误、不可能实现的夸大情形以及涉及的规范、标准与本项目要求不一致等）扣0.5分，扣完为止。</w:t>
            </w:r>
          </w:p>
        </w:tc>
        <w:tc>
          <w:tcPr>
            <w:tcW w:type="dxa" w:w="831"/>
          </w:tcPr>
          <w:p>
            <w:pPr>
              <w:pStyle w:val="null3"/>
              <w:jc w:val="right"/>
            </w:pPr>
            <w:r>
              <w:rPr/>
              <w:t>4.5000</w:t>
            </w:r>
          </w:p>
        </w:tc>
        <w:tc>
          <w:tcPr>
            <w:tcW w:type="dxa" w:w="831"/>
          </w:tcPr>
          <w:p>
            <w:pPr>
              <w:pStyle w:val="null3"/>
            </w:pPr>
            <w:r>
              <w:rPr/>
              <w:t>主观</w:t>
            </w:r>
          </w:p>
        </w:tc>
        <w:tc>
          <w:tcPr>
            <w:tcW w:type="dxa" w:w="1661"/>
          </w:tcPr>
          <w:p>
            <w:pPr>
              <w:pStyle w:val="null3"/>
            </w:pPr>
            <w:r>
              <w:rPr/>
              <w:t>4.控制措施、项目配置管理措施</w:t>
            </w:r>
          </w:p>
        </w:tc>
      </w:tr>
      <w:tr>
        <w:tc>
          <w:tcPr>
            <w:tcW w:type="dxa" w:w="831"/>
            <w:vMerge/>
          </w:tcPr>
          <w:p/>
        </w:tc>
        <w:tc>
          <w:tcPr>
            <w:tcW w:type="dxa" w:w="1661"/>
          </w:tcPr>
          <w:p>
            <w:pPr>
              <w:pStyle w:val="null3"/>
            </w:pPr>
            <w:r>
              <w:rPr/>
              <w:t>团队人员</w:t>
            </w:r>
          </w:p>
        </w:tc>
        <w:tc>
          <w:tcPr>
            <w:tcW w:type="dxa" w:w="2492"/>
          </w:tcPr>
          <w:p>
            <w:pPr>
              <w:pStyle w:val="null3"/>
            </w:pPr>
            <w:r>
              <w:rPr/>
              <w:t>投标人根据项目交付情况合理配置项目团队。 1、项目团队人员4人及以上得2分，项目团队人员2-3人得1分，项目团队人员2人以下不得分； 2、项目团队人员每有一位工作经验3年及以上计1分，最多得2分；项目团队人员每有一位工作经验2年以上不足3年计0.5分，最多得1分；1年以下工作经验不得分。满分3分； 3、项目团队人员中有气象类高级工程师计2分，有具备信息系统项目管理师证书、高级系统分析师证书、高级系统架构设计师证书、信息系统项目管理师证书，每有一个证书得0.5分，满分1分，只能单人单证得分，同一人员具有上述多种证书的，不可重复计分。（以上人员均须为供应商本单位人员，提供身份证、人员证书、毕业证书与供应商劳动关系（劳动合同或社保缴纳证明）等证明材料并加盖供应商公章，未提供不得分。）</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5.团队人员</w:t>
            </w:r>
          </w:p>
        </w:tc>
      </w:tr>
      <w:tr>
        <w:tc>
          <w:tcPr>
            <w:tcW w:type="dxa" w:w="831"/>
            <w:vMerge/>
          </w:tcPr>
          <w:p/>
        </w:tc>
        <w:tc>
          <w:tcPr>
            <w:tcW w:type="dxa" w:w="1661"/>
          </w:tcPr>
          <w:p>
            <w:pPr>
              <w:pStyle w:val="null3"/>
            </w:pPr>
            <w:r>
              <w:rPr/>
              <w:t>综合实力</w:t>
            </w:r>
          </w:p>
        </w:tc>
        <w:tc>
          <w:tcPr>
            <w:tcW w:type="dxa" w:w="2492"/>
          </w:tcPr>
          <w:p>
            <w:pPr>
              <w:pStyle w:val="null3"/>
            </w:pPr>
            <w:r>
              <w:rPr/>
              <w:t>1、投标人具备完善的质量管理体系、环境管理体系、职业健康安全管理体系、信息技术服务管理体系、信息安全管理体系；需提供有效的证书扫描件，每个证书1分，满分5分；未提供不得分。 2、投标人具备信息系统建设和服务能力等级证书CS2级（含）以上的得2分，否则得1分；未提供不得分。</w:t>
            </w:r>
          </w:p>
        </w:tc>
        <w:tc>
          <w:tcPr>
            <w:tcW w:type="dxa" w:w="831"/>
          </w:tcPr>
          <w:p>
            <w:pPr>
              <w:pStyle w:val="null3"/>
              <w:jc w:val="right"/>
            </w:pPr>
            <w:r>
              <w:rPr/>
              <w:t>7.0000</w:t>
            </w:r>
          </w:p>
        </w:tc>
        <w:tc>
          <w:tcPr>
            <w:tcW w:type="dxa" w:w="831"/>
          </w:tcPr>
          <w:p>
            <w:pPr>
              <w:pStyle w:val="null3"/>
            </w:pPr>
            <w:r>
              <w:rPr/>
              <w:t>客观</w:t>
            </w:r>
          </w:p>
        </w:tc>
        <w:tc>
          <w:tcPr>
            <w:tcW w:type="dxa" w:w="1661"/>
          </w:tcPr>
          <w:p>
            <w:pPr>
              <w:pStyle w:val="null3"/>
            </w:pPr>
            <w:r>
              <w:rPr/>
              <w:t>6.综合实力</w:t>
            </w:r>
          </w:p>
        </w:tc>
      </w:tr>
      <w:tr>
        <w:tc>
          <w:tcPr>
            <w:tcW w:type="dxa" w:w="831"/>
            <w:vMerge/>
          </w:tcPr>
          <w:p/>
        </w:tc>
        <w:tc>
          <w:tcPr>
            <w:tcW w:type="dxa" w:w="1661"/>
          </w:tcPr>
          <w:p>
            <w:pPr>
              <w:pStyle w:val="null3"/>
            </w:pPr>
            <w:r>
              <w:rPr/>
              <w:t>售后服务</w:t>
            </w:r>
          </w:p>
        </w:tc>
        <w:tc>
          <w:tcPr>
            <w:tcW w:type="dxa" w:w="2492"/>
          </w:tcPr>
          <w:p>
            <w:pPr>
              <w:pStyle w:val="null3"/>
            </w:pPr>
            <w:r>
              <w:rPr/>
              <w:t>售后服务方案全面、合理，包含但不限于①技术支持②系统维护③故障排除等方面。方案完全包含以上3项具体内容、时间、方式且满足实际工作需求，每一项内容描述详细内容全面得6分，每缺少一项扣2分，每有一项缺陷（缺陷是指不适用项目实际情况、凭空编造、存在逻辑漏洞、科学原理错误、不可能实现的夸大情形以及涉及的规范、标准与本项目要求不一致等）扣1分，扣完为止。未提供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7.售后服务</w:t>
            </w:r>
          </w:p>
        </w:tc>
      </w:tr>
      <w:tr>
        <w:tc>
          <w:tcPr>
            <w:tcW w:type="dxa" w:w="831"/>
            <w:vMerge/>
          </w:tcPr>
          <w:p/>
        </w:tc>
        <w:tc>
          <w:tcPr>
            <w:tcW w:type="dxa" w:w="1661"/>
          </w:tcPr>
          <w:p>
            <w:pPr>
              <w:pStyle w:val="null3"/>
            </w:pPr>
            <w:r>
              <w:rPr/>
              <w:t>培训方案</w:t>
            </w:r>
          </w:p>
        </w:tc>
        <w:tc>
          <w:tcPr>
            <w:tcW w:type="dxa" w:w="2492"/>
          </w:tcPr>
          <w:p>
            <w:pPr>
              <w:pStyle w:val="null3"/>
            </w:pPr>
            <w:r>
              <w:rPr/>
              <w:t>具有可行的技术培训措施，承诺为使用单位培训操作维护人员，保证使用单位能熟练操作、维护和正常使用（包含但不限于①培训次数②培训人员③培训时间④培训内容等）；培训方案完全包含以上4项且满足实际工作需求，每一项内容描述详细内容全面得8分，每缺少一项扣2分，每有一项缺陷（缺陷是指不适用项目实际情况、凭空编造、存在逻辑漏洞、科学原理错误、不可能实现的夸大情形以及涉及的规范、标准与本项目要求不一致等）扣1分，扣完为止。未提供不计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8.培训方案</w:t>
            </w:r>
          </w:p>
        </w:tc>
      </w:tr>
      <w:tr>
        <w:tc>
          <w:tcPr>
            <w:tcW w:type="dxa" w:w="831"/>
            <w:vMerge/>
          </w:tcPr>
          <w:p/>
        </w:tc>
        <w:tc>
          <w:tcPr>
            <w:tcW w:type="dxa" w:w="1661"/>
          </w:tcPr>
          <w:p>
            <w:pPr>
              <w:pStyle w:val="null3"/>
            </w:pPr>
            <w:r>
              <w:rPr/>
              <w:t>安全管理及保密方案</w:t>
            </w:r>
          </w:p>
        </w:tc>
        <w:tc>
          <w:tcPr>
            <w:tcW w:type="dxa" w:w="2492"/>
          </w:tcPr>
          <w:p>
            <w:pPr>
              <w:pStyle w:val="null3"/>
            </w:pPr>
            <w:r>
              <w:rPr/>
              <w:t>投标人根据项目服务内容提供安全管理及保密方案，包含但不限于①保密方案②安全管理方案；方案完全包含以上2项具体内容、方式且满足实际工作需求，每一项内容描述详细内容全面得4分，每缺少一项扣2分，每有一项缺陷（缺陷是指不适用项目实际情况、凭空编造、存在逻辑漏洞、科学原理错误、不可能实现的夸大情形以及涉及的规范、标准与本项目要求不一致等）扣1分，扣完为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9.安全管理及保密方案</w:t>
            </w:r>
          </w:p>
        </w:tc>
      </w:tr>
      <w:tr>
        <w:tc>
          <w:tcPr>
            <w:tcW w:type="dxa" w:w="831"/>
            <w:vMerge/>
          </w:tcPr>
          <w:p/>
        </w:tc>
        <w:tc>
          <w:tcPr>
            <w:tcW w:type="dxa" w:w="1661"/>
          </w:tcPr>
          <w:p>
            <w:pPr>
              <w:pStyle w:val="null3"/>
            </w:pPr>
            <w:r>
              <w:rPr/>
              <w:t>业绩</w:t>
            </w:r>
          </w:p>
        </w:tc>
        <w:tc>
          <w:tcPr>
            <w:tcW w:type="dxa" w:w="2492"/>
          </w:tcPr>
          <w:p>
            <w:pPr>
              <w:pStyle w:val="null3"/>
            </w:pPr>
            <w:r>
              <w:rPr/>
              <w:t>提供2021年01月至磋商截止时间前类似项目的业绩证明材料（以合同签订日期为准）每提供一份有效业绩证明材料计1.5分，最高得9分。未提供业绩证明材料或业绩证明材料不符合要求不计分。注：业绩证明材料复印件至少包括完整合同），否则不予认定。</w:t>
            </w:r>
          </w:p>
        </w:tc>
        <w:tc>
          <w:tcPr>
            <w:tcW w:type="dxa" w:w="831"/>
          </w:tcPr>
          <w:p>
            <w:pPr>
              <w:pStyle w:val="null3"/>
              <w:jc w:val="right"/>
            </w:pPr>
            <w:r>
              <w:rPr/>
              <w:t>9.0000</w:t>
            </w:r>
          </w:p>
        </w:tc>
        <w:tc>
          <w:tcPr>
            <w:tcW w:type="dxa" w:w="831"/>
          </w:tcPr>
          <w:p>
            <w:pPr>
              <w:pStyle w:val="null3"/>
            </w:pPr>
            <w:r>
              <w:rPr/>
              <w:t>客观</w:t>
            </w:r>
          </w:p>
        </w:tc>
        <w:tc>
          <w:tcPr>
            <w:tcW w:type="dxa" w:w="1661"/>
          </w:tcPr>
          <w:p>
            <w:pPr>
              <w:pStyle w:val="null3"/>
            </w:pPr>
            <w:r>
              <w:rPr/>
              <w:t>10.业绩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最后报价最低的供应商的价格为评审基准价，其价格分为满分。其他供应商的价格分统一按照下列公式计算：投标报价得分=（评审基准价/投标总报价）×价格权值×100%。注：磋商报价不完整的，不进入评标基准价的计算，本项得0分。</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详见附件：1.资格证明资料</w:t>
      </w:r>
    </w:p>
    <w:p>
      <w:pPr>
        <w:pStyle w:val="null3"/>
        <w:ind w:firstLine="960"/>
      </w:pPr>
      <w:r>
        <w:rPr/>
        <w:t>详见附件：2.拒绝政府采购领域商业贿赂承诺书</w:t>
      </w:r>
    </w:p>
    <w:p>
      <w:pPr>
        <w:pStyle w:val="null3"/>
        <w:ind w:firstLine="960"/>
      </w:pPr>
      <w:r>
        <w:rPr/>
        <w:t>详见附件：3.分项报价表</w:t>
      </w:r>
    </w:p>
    <w:p>
      <w:pPr>
        <w:pStyle w:val="null3"/>
        <w:ind w:firstLine="960"/>
      </w:pPr>
      <w:r>
        <w:rPr/>
        <w:t>详见附件：4.服务内容响应表</w:t>
      </w:r>
    </w:p>
    <w:p>
      <w:pPr>
        <w:pStyle w:val="null3"/>
        <w:ind w:firstLine="960"/>
      </w:pPr>
      <w:r>
        <w:rPr/>
        <w:t>详见附件：5.商务应答表</w:t>
      </w:r>
    </w:p>
    <w:p>
      <w:pPr>
        <w:pStyle w:val="null3"/>
        <w:ind w:firstLine="960"/>
      </w:pPr>
      <w:r>
        <w:rPr/>
        <w:t>详见附件：1.服务响应方案</w:t>
      </w:r>
    </w:p>
    <w:p>
      <w:pPr>
        <w:pStyle w:val="null3"/>
        <w:ind w:firstLine="960"/>
      </w:pPr>
      <w:r>
        <w:rPr/>
        <w:t>详见附件：2.重点难点分析</w:t>
      </w:r>
    </w:p>
    <w:p>
      <w:pPr>
        <w:pStyle w:val="null3"/>
        <w:ind w:firstLine="960"/>
      </w:pPr>
      <w:r>
        <w:rPr/>
        <w:t>详见附件：3.项目组织方式、工作机制，工作流程方案</w:t>
      </w:r>
    </w:p>
    <w:p>
      <w:pPr>
        <w:pStyle w:val="null3"/>
        <w:ind w:firstLine="960"/>
      </w:pPr>
      <w:r>
        <w:rPr/>
        <w:t>详见附件：4.控制措施、项目配置管理措施</w:t>
      </w:r>
    </w:p>
    <w:p>
      <w:pPr>
        <w:pStyle w:val="null3"/>
        <w:ind w:firstLine="960"/>
      </w:pPr>
      <w:r>
        <w:rPr/>
        <w:t>详见附件：5.团队人员</w:t>
      </w:r>
    </w:p>
    <w:p>
      <w:pPr>
        <w:pStyle w:val="null3"/>
        <w:ind w:firstLine="960"/>
      </w:pPr>
      <w:r>
        <w:rPr/>
        <w:t>详见附件：6.综合实力</w:t>
      </w:r>
    </w:p>
    <w:p>
      <w:pPr>
        <w:pStyle w:val="null3"/>
        <w:ind w:firstLine="960"/>
      </w:pPr>
      <w:r>
        <w:rPr/>
        <w:t>详见附件：7.售后服务</w:t>
      </w:r>
    </w:p>
    <w:p>
      <w:pPr>
        <w:pStyle w:val="null3"/>
        <w:ind w:firstLine="960"/>
      </w:pPr>
      <w:r>
        <w:rPr/>
        <w:t>详见附件：9.安全管理及保密方案</w:t>
      </w:r>
    </w:p>
    <w:p>
      <w:pPr>
        <w:pStyle w:val="null3"/>
        <w:ind w:firstLine="960"/>
      </w:pPr>
      <w:r>
        <w:rPr/>
        <w:t>详见附件：8.培训方案</w:t>
      </w:r>
    </w:p>
    <w:p>
      <w:pPr>
        <w:pStyle w:val="null3"/>
        <w:ind w:firstLine="960"/>
      </w:pPr>
      <w:r>
        <w:rPr/>
        <w:t>详见附件：10.业绩</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详见附件：合同范本.docx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