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重大节日慰问品采购项目</w:t>
      </w:r>
    </w:p>
    <w:p>
      <w:pPr>
        <w:pStyle w:val="null3"/>
        <w:jc w:val="center"/>
        <w:outlineLvl w:val="2"/>
      </w:pPr>
      <w:r>
        <w:rPr>
          <w:sz w:val="28"/>
          <w:b/>
        </w:rPr>
        <w:t>采购项目编号：</w:t>
      </w:r>
      <w:r>
        <w:rPr>
          <w:sz w:val="28"/>
          <w:b/>
        </w:rPr>
        <w:t>KY2024-3-269</w:t>
      </w:r>
      <w:r>
        <w:br/>
      </w:r>
      <w:r>
        <w:br/>
      </w:r>
      <w:r>
        <w:br/>
      </w:r>
    </w:p>
    <w:p>
      <w:pPr>
        <w:pStyle w:val="null3"/>
        <w:jc w:val="center"/>
        <w:outlineLvl w:val="2"/>
      </w:pPr>
      <w:r>
        <w:rPr>
          <w:sz w:val="28"/>
          <w:b/>
        </w:rPr>
        <w:t>陕西省肿瘤医院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陕西省肿瘤医院</w:t>
      </w:r>
      <w:r>
        <w:rPr/>
        <w:t>委托，拟对</w:t>
      </w:r>
      <w:r>
        <w:rPr/>
        <w:t>重大节日慰问品采购项目</w:t>
      </w:r>
      <w:r>
        <w:rPr/>
        <w:t>进行国内公开招标，兹邀请符合本次招标要求的供应商参加投标。</w:t>
      </w:r>
    </w:p>
    <w:p>
      <w:pPr>
        <w:pStyle w:val="null3"/>
        <w:outlineLvl w:val="2"/>
      </w:pPr>
      <w:r>
        <w:rPr>
          <w:sz w:val="28"/>
          <w:b/>
        </w:rPr>
        <w:t>一、采购项目编号：</w:t>
      </w:r>
      <w:r>
        <w:rPr>
          <w:sz w:val="28"/>
          <w:b/>
        </w:rPr>
        <w:t>KY2024-3-269</w:t>
      </w:r>
    </w:p>
    <w:p>
      <w:pPr>
        <w:pStyle w:val="null3"/>
        <w:outlineLvl w:val="2"/>
      </w:pPr>
      <w:r>
        <w:rPr>
          <w:sz w:val="28"/>
          <w:b/>
        </w:rPr>
        <w:t>二、采购项目名称：</w:t>
      </w:r>
      <w:r>
        <w:rPr>
          <w:sz w:val="28"/>
          <w:b/>
        </w:rPr>
        <w:t>重大节日慰问品采购项目</w:t>
      </w:r>
    </w:p>
    <w:p>
      <w:pPr>
        <w:pStyle w:val="null3"/>
        <w:outlineLvl w:val="2"/>
      </w:pPr>
      <w:r>
        <w:rPr>
          <w:sz w:val="28"/>
          <w:b/>
        </w:rPr>
        <w:t>三、招标项目简介</w:t>
      </w:r>
    </w:p>
    <w:p>
      <w:pPr>
        <w:pStyle w:val="null3"/>
        <w:ind w:firstLine="480"/>
      </w:pPr>
      <w:r>
        <w:rPr/>
        <w:t>重大节日慰问品采购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1、营业执照：具有独立承担民事责任能力的法人、其他组织或自然人：具有独立承担民事责任能力的法人、其他组织或自然人，并 出具合法有效的营业执照或事业单位法人证书等国家规定的相关证明， 自然人参与的提供其身份证明。</w:t>
      </w:r>
    </w:p>
    <w:p>
      <w:pPr>
        <w:pStyle w:val="null3"/>
      </w:pPr>
      <w:r>
        <w:rPr/>
        <w:t>2、财务状况报告：提供2023年度经审计的财务会计报告（包括审计报告、资产负债表、利润表、现金流量表、所有者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 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 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 失信主体、政府采购严重违法失信行为记录名单的书面声明。本项目拒绝被列入失信被执行人、重大税收违法失信主体、政府 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8、法定代表人授权书：法定代表人授权书及被授权人身份证复印件。（法定代表人直接投标须提交其身份证明书，被授权人投标还需提供投标人为其缴纳的2024年1月至今任意一个月社保证明材料）</w:t>
      </w:r>
    </w:p>
    <w:p>
      <w:pPr>
        <w:pStyle w:val="null3"/>
      </w:pPr>
      <w:r>
        <w:rPr/>
        <w:t>9、许可证：供应商为生产厂家的，须提供有效期内的《食品生产许可证》；供应商为代理商的，须提供有效期内的《食品经营许可证》及生产厂家有效期内的《食品生产许可证》。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采购包1：2,494,800.00元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采购包1保证金金额：32,000.00元</w:t>
            </w:r>
          </w:p>
          <w:p>
            <w:pPr>
              <w:pStyle w:val="null3"/>
            </w:pPr>
            <w:r>
              <w:rPr/>
              <w:t>缴交渠道：转账、支票、汇票等（需通过实体账户、户名及开户行信息）,电子保函</w:t>
            </w:r>
          </w:p>
          <w:p>
            <w:pPr>
              <w:pStyle w:val="null3"/>
            </w:pPr>
            <w:r>
              <w:rPr/>
              <w:t>开户名称：陕西开源招标有限公司</w:t>
            </w:r>
          </w:p>
          <w:p>
            <w:pPr>
              <w:pStyle w:val="null3"/>
            </w:pPr>
            <w:r>
              <w:rPr/>
              <w:t>开户银行：交通银行西安甜水井街支行</w:t>
            </w:r>
          </w:p>
          <w:p>
            <w:pPr>
              <w:pStyle w:val="null3"/>
            </w:pPr>
            <w:r>
              <w:rPr/>
              <w:t>银行账号：86113010750181501003752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代理服务费收费标准：1中标人应依据成交金额向采购代理机构交纳成交服务费，交费金额参照国家计委颁布的《招标代理服务收费管理暂行办法》（计价格[2002]1980号）及发改办 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陕西开源招标有限公司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陕西省肿瘤医院重大节日慰问品采购项目</w:t>
      </w:r>
    </w:p>
    <w:p>
      <w:pPr>
        <w:pStyle w:val="null3"/>
        <w:outlineLvl w:val="2"/>
      </w:pPr>
      <w:r>
        <w:rPr>
          <w:sz w:val="28"/>
          <w:b/>
        </w:rPr>
        <w:t>3.2采购内容</w:t>
      </w:r>
    </w:p>
    <w:p>
      <w:pPr>
        <w:pStyle w:val="null3"/>
      </w:pPr>
      <w:r>
        <w:rPr/>
        <w:t>采购包1：</w:t>
      </w:r>
    </w:p>
    <w:p>
      <w:pPr>
        <w:pStyle w:val="null3"/>
      </w:pPr>
      <w:r>
        <w:rPr/>
        <w:t>采购包预算金额（元）: 2,494,800.00</w:t>
      </w:r>
    </w:p>
    <w:p>
      <w:pPr>
        <w:pStyle w:val="null3"/>
      </w:pPr>
      <w:r>
        <w:rPr/>
        <w:t>采购包最高限价（元）: 2,494,800.00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工会重大节日慰问品采购项目</w:t>
            </w:r>
          </w:p>
        </w:tc>
        <w:tc>
          <w:tcPr>
            <w:tcW w:type="dxa" w:w="831"/>
          </w:tcPr>
          <w:p>
            <w:pPr>
              <w:pStyle w:val="null3"/>
              <w:jc w:val="right"/>
            </w:pPr>
            <w:r>
              <w:rPr/>
              <w:t>1.00</w:t>
            </w:r>
          </w:p>
        </w:tc>
        <w:tc>
          <w:tcPr>
            <w:tcW w:type="dxa" w:w="831"/>
          </w:tcPr>
          <w:p>
            <w:pPr>
              <w:pStyle w:val="null3"/>
              <w:jc w:val="right"/>
            </w:pPr>
            <w:r>
              <w:rPr/>
              <w:t>2,494,800.00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标的名称：工会重大节日慰问品采购项目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21"/>
                <w:b/>
                <w:color w:val="000000"/>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404"/>
              <w:gridCol w:w="360"/>
              <w:gridCol w:w="933"/>
              <w:gridCol w:w="470"/>
              <w:gridCol w:w="369"/>
            </w:tblGrid>
            <w:tr>
              <w:tc>
                <w:tcPr>
                  <w:tcW w:type="dxa" w:w="4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宋体" w:hAnsi="宋体" w:cs="宋体" w:eastAsia="宋体"/>
                      <w:sz w:val="19"/>
                      <w:color w:val="000000"/>
                    </w:rPr>
                    <w:t>序号</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pPr>
                  <w:r>
                    <w:rPr>
                      <w:rFonts w:ascii="宋体" w:hAnsi="宋体" w:cs="宋体" w:eastAsia="宋体"/>
                      <w:sz w:val="19"/>
                      <w:color w:val="000000"/>
                    </w:rPr>
                    <w:t>产品名称</w:t>
                  </w:r>
                </w:p>
              </w:tc>
              <w:tc>
                <w:tcPr>
                  <w:tcW w:type="dxa" w:w="9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20"/>
                  </w:pPr>
                  <w:r>
                    <w:rPr>
                      <w:rFonts w:ascii="宋体" w:hAnsi="宋体" w:cs="宋体" w:eastAsia="宋体"/>
                      <w:sz w:val="19"/>
                      <w:color w:val="000000"/>
                    </w:rPr>
                    <w:t>产品技术要求</w:t>
                  </w:r>
                </w:p>
              </w:tc>
              <w:tc>
                <w:tcPr>
                  <w:tcW w:type="dxa" w:w="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19"/>
                      <w:color w:val="000000"/>
                    </w:rPr>
                    <w:t>数量</w:t>
                  </w:r>
                </w:p>
              </w:tc>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1"/>
                      <w:color w:val="000000"/>
                    </w:rPr>
                    <w:t>备注</w:t>
                  </w:r>
                </w:p>
              </w:tc>
            </w:tr>
            <w:tr>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jc w:val="both"/>
                  </w:pPr>
                  <w:r>
                    <w:rPr>
                      <w:rFonts w:ascii="宋体" w:hAnsi="宋体" w:cs="宋体" w:eastAsia="宋体"/>
                      <w:sz w:val="19"/>
                      <w:color w:val="000000"/>
                    </w:rPr>
                    <w:t>1</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both"/>
                  </w:pPr>
                  <w:r>
                    <w:rPr>
                      <w:rFonts w:ascii="宋体" w:hAnsi="宋体" w:cs="宋体" w:eastAsia="宋体"/>
                      <w:sz w:val="19"/>
                      <w:color w:val="000000"/>
                    </w:rPr>
                    <w:t>大米</w:t>
                  </w:r>
                </w:p>
              </w:tc>
              <w:tc>
                <w:tcPr>
                  <w:tcW w:type="dxa" w:w="9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both"/>
                  </w:pPr>
                  <w:r>
                    <w:rPr>
                      <w:rFonts w:ascii="宋体" w:hAnsi="宋体" w:cs="宋体" w:eastAsia="宋体"/>
                      <w:sz w:val="19"/>
                      <w:color w:val="000000"/>
                    </w:rPr>
                    <w:t>包装规格：</w:t>
                  </w:r>
                  <w:r>
                    <w:rPr>
                      <w:rFonts w:ascii="宋体" w:hAnsi="宋体" w:cs="宋体" w:eastAsia="宋体"/>
                      <w:sz w:val="19"/>
                      <w:color w:val="000000"/>
                    </w:rPr>
                    <w:t>5KG/袋；</w:t>
                  </w:r>
                </w:p>
                <w:p>
                  <w:pPr>
                    <w:pStyle w:val="null3"/>
                    <w:spacing w:before="135"/>
                    <w:jc w:val="both"/>
                  </w:pPr>
                  <w:r>
                    <w:rPr>
                      <w:rFonts w:ascii="宋体" w:hAnsi="宋体" w:cs="宋体" w:eastAsia="宋体"/>
                      <w:sz w:val="19"/>
                      <w:color w:val="000000"/>
                    </w:rPr>
                    <w:t>质量等级：</w:t>
                  </w:r>
                  <w:r>
                    <w:rPr>
                      <w:rFonts w:ascii="宋体" w:hAnsi="宋体" w:cs="宋体" w:eastAsia="宋体"/>
                      <w:sz w:val="19"/>
                      <w:color w:val="000000"/>
                    </w:rPr>
                    <w:t>≥一级；</w:t>
                  </w:r>
                </w:p>
                <w:p>
                  <w:pPr>
                    <w:pStyle w:val="null3"/>
                    <w:spacing w:before="135"/>
                    <w:jc w:val="both"/>
                  </w:pPr>
                  <w:r>
                    <w:rPr>
                      <w:rFonts w:ascii="宋体" w:hAnsi="宋体" w:cs="宋体" w:eastAsia="宋体"/>
                      <w:sz w:val="19"/>
                      <w:color w:val="000000"/>
                    </w:rPr>
                    <w:t>非转基因；</w:t>
                  </w:r>
                </w:p>
              </w:tc>
              <w:tc>
                <w:tcPr>
                  <w:tcW w:type="dxa" w:w="47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宋体" w:hAnsi="宋体" w:cs="宋体" w:eastAsia="宋体"/>
                      <w:sz w:val="19"/>
                      <w:color w:val="000000"/>
                    </w:rPr>
                    <w:t>1620</w:t>
                  </w:r>
                  <w:r>
                    <w:rPr>
                      <w:rFonts w:ascii="宋体" w:hAnsi="宋体" w:cs="宋体" w:eastAsia="宋体"/>
                      <w:sz w:val="19"/>
                      <w:color w:val="000000"/>
                    </w:rPr>
                    <w:t>份</w:t>
                  </w:r>
                </w:p>
              </w:tc>
              <w:tc>
                <w:tcPr>
                  <w:tcW w:type="dxa" w:w="3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宋体" w:hAnsi="宋体" w:cs="宋体" w:eastAsia="宋体"/>
                      <w:sz w:val="19"/>
                      <w:color w:val="000000"/>
                    </w:rPr>
                    <w:t>每份包含</w:t>
                  </w:r>
                  <w:r>
                    <w:rPr>
                      <w:rFonts w:ascii="宋体" w:hAnsi="宋体" w:cs="宋体" w:eastAsia="宋体"/>
                      <w:sz w:val="19"/>
                      <w:color w:val="000000"/>
                    </w:rPr>
                    <w:t>大米</w:t>
                  </w:r>
                  <w:r>
                    <w:rPr>
                      <w:rFonts w:ascii="宋体" w:hAnsi="宋体" w:cs="宋体" w:eastAsia="宋体"/>
                      <w:sz w:val="19"/>
                      <w:color w:val="000000"/>
                    </w:rPr>
                    <w:t>4袋</w:t>
                  </w:r>
                  <w:r>
                    <w:rPr>
                      <w:rFonts w:ascii="宋体" w:hAnsi="宋体" w:cs="宋体" w:eastAsia="宋体"/>
                      <w:sz w:val="19"/>
                      <w:color w:val="000000"/>
                    </w:rPr>
                    <w:t>，</w:t>
                  </w:r>
                  <w:r>
                    <w:rPr>
                      <w:rFonts w:ascii="宋体" w:hAnsi="宋体" w:cs="宋体" w:eastAsia="宋体"/>
                      <w:sz w:val="19"/>
                      <w:color w:val="000000"/>
                    </w:rPr>
                    <w:t>面粉</w:t>
                  </w:r>
                  <w:r>
                    <w:rPr>
                      <w:rFonts w:ascii="宋体" w:hAnsi="宋体" w:cs="宋体" w:eastAsia="宋体"/>
                      <w:sz w:val="19"/>
                      <w:color w:val="000000"/>
                    </w:rPr>
                    <w:t>8袋</w:t>
                  </w:r>
                  <w:r>
                    <w:rPr>
                      <w:rFonts w:ascii="宋体" w:hAnsi="宋体" w:cs="宋体" w:eastAsia="宋体"/>
                      <w:sz w:val="19"/>
                      <w:color w:val="000000"/>
                    </w:rPr>
                    <w:t>，</w:t>
                  </w:r>
                  <w:r>
                    <w:rPr>
                      <w:rFonts w:ascii="宋体" w:hAnsi="宋体" w:cs="宋体" w:eastAsia="宋体"/>
                      <w:sz w:val="19"/>
                      <w:color w:val="000000"/>
                    </w:rPr>
                    <w:t>食用油</w:t>
                  </w:r>
                  <w:r>
                    <w:rPr>
                      <w:rFonts w:ascii="宋体" w:hAnsi="宋体" w:cs="宋体" w:eastAsia="宋体"/>
                      <w:sz w:val="19"/>
                      <w:color w:val="000000"/>
                    </w:rPr>
                    <w:t>4桶</w:t>
                  </w:r>
                  <w:r>
                    <w:rPr>
                      <w:rFonts w:ascii="宋体" w:hAnsi="宋体" w:cs="宋体" w:eastAsia="宋体"/>
                      <w:sz w:val="19"/>
                      <w:color w:val="000000"/>
                    </w:rPr>
                    <w:t>。</w:t>
                  </w:r>
                </w:p>
              </w:tc>
            </w:tr>
            <w:tr>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jc w:val="both"/>
                  </w:pPr>
                  <w:r>
                    <w:rPr>
                      <w:rFonts w:ascii="宋体" w:hAnsi="宋体" w:cs="宋体" w:eastAsia="宋体"/>
                      <w:sz w:val="19"/>
                      <w:color w:val="000000"/>
                    </w:rPr>
                    <w:t>2</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both"/>
                  </w:pPr>
                  <w:r>
                    <w:rPr>
                      <w:rFonts w:ascii="宋体" w:hAnsi="宋体" w:cs="宋体" w:eastAsia="宋体"/>
                      <w:sz w:val="19"/>
                      <w:color w:val="000000"/>
                    </w:rPr>
                    <w:t>面粉</w:t>
                  </w:r>
                </w:p>
              </w:tc>
              <w:tc>
                <w:tcPr>
                  <w:tcW w:type="dxa" w:w="9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both"/>
                  </w:pPr>
                  <w:r>
                    <w:rPr>
                      <w:rFonts w:ascii="宋体" w:hAnsi="宋体" w:cs="宋体" w:eastAsia="宋体"/>
                      <w:sz w:val="19"/>
                      <w:color w:val="000000"/>
                    </w:rPr>
                    <w:t>包装规格：</w:t>
                  </w:r>
                  <w:r>
                    <w:rPr>
                      <w:rFonts w:ascii="宋体" w:hAnsi="宋体" w:cs="宋体" w:eastAsia="宋体"/>
                      <w:sz w:val="19"/>
                      <w:color w:val="000000"/>
                    </w:rPr>
                    <w:t>10KG/袋；</w:t>
                  </w:r>
                </w:p>
                <w:p>
                  <w:pPr>
                    <w:pStyle w:val="null3"/>
                    <w:spacing w:before="135"/>
                    <w:jc w:val="both"/>
                  </w:pPr>
                  <w:r>
                    <w:rPr>
                      <w:rFonts w:ascii="宋体" w:hAnsi="宋体" w:cs="宋体" w:eastAsia="宋体"/>
                      <w:sz w:val="19"/>
                      <w:color w:val="000000"/>
                    </w:rPr>
                    <w:t>质量等级：</w:t>
                  </w:r>
                  <w:r>
                    <w:rPr>
                      <w:rFonts w:ascii="宋体" w:hAnsi="宋体" w:cs="宋体" w:eastAsia="宋体"/>
                      <w:sz w:val="19"/>
                      <w:color w:val="000000"/>
                    </w:rPr>
                    <w:t>≥一级粉；</w:t>
                  </w:r>
                </w:p>
                <w:p>
                  <w:pPr>
                    <w:pStyle w:val="null3"/>
                    <w:spacing w:before="120"/>
                    <w:jc w:val="both"/>
                  </w:pPr>
                  <w:r>
                    <w:rPr>
                      <w:rFonts w:ascii="宋体" w:hAnsi="宋体" w:cs="宋体" w:eastAsia="宋体"/>
                      <w:sz w:val="19"/>
                      <w:color w:val="000000"/>
                    </w:rPr>
                    <w:t>精制粉；</w:t>
                  </w:r>
                </w:p>
              </w:tc>
              <w:tc>
                <w:tcPr>
                  <w:tcW w:type="dxa" w:w="470"/>
                  <w:vMerge/>
                  <w:tcBorders>
                    <w:top w:val="none" w:color="000000" w:sz="4"/>
                    <w:left w:val="single" w:color="000000" w:sz="4"/>
                    <w:bottom w:val="single" w:color="000000" w:sz="4"/>
                    <w:right w:val="single" w:color="000000" w:sz="4"/>
                  </w:tcBorders>
                </w:tcPr>
                <w:p/>
              </w:tc>
              <w:tc>
                <w:tcPr>
                  <w:tcW w:type="dxa" w:w="369"/>
                  <w:vMerge/>
                  <w:tcBorders>
                    <w:top w:val="none" w:color="000000" w:sz="4"/>
                    <w:left w:val="single" w:color="000000" w:sz="4"/>
                    <w:bottom w:val="single" w:color="000000" w:sz="4"/>
                    <w:right w:val="single" w:color="000000" w:sz="4"/>
                  </w:tcBorders>
                </w:tcPr>
                <w:p/>
              </w:tc>
            </w:tr>
            <w:tr>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jc w:val="both"/>
                  </w:pPr>
                  <w:r>
                    <w:rPr>
                      <w:rFonts w:ascii="宋体" w:hAnsi="宋体" w:cs="宋体" w:eastAsia="宋体"/>
                      <w:sz w:val="19"/>
                      <w:color w:val="000000"/>
                    </w:rPr>
                    <w:t>3</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30"/>
                    <w:jc w:val="both"/>
                  </w:pPr>
                  <w:r>
                    <w:rPr>
                      <w:rFonts w:ascii="宋体" w:hAnsi="宋体" w:cs="宋体" w:eastAsia="宋体"/>
                      <w:sz w:val="19"/>
                      <w:color w:val="000000"/>
                    </w:rPr>
                    <w:t>食用油</w:t>
                  </w:r>
                </w:p>
              </w:tc>
              <w:tc>
                <w:tcPr>
                  <w:tcW w:type="dxa" w:w="9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825"/>
                    <w:jc w:val="both"/>
                  </w:pPr>
                  <w:r>
                    <w:rPr>
                      <w:rFonts w:ascii="宋体" w:hAnsi="宋体" w:cs="宋体" w:eastAsia="宋体"/>
                      <w:sz w:val="19"/>
                      <w:color w:val="000000"/>
                    </w:rPr>
                    <w:t>包装规格：</w:t>
                  </w:r>
                  <w:r>
                    <w:rPr>
                      <w:rFonts w:ascii="宋体" w:hAnsi="宋体" w:cs="宋体" w:eastAsia="宋体"/>
                      <w:sz w:val="19"/>
                      <w:color w:val="000000"/>
                    </w:rPr>
                    <w:t>5L/桶；</w:t>
                  </w:r>
                  <w:r>
                    <w:rPr/>
                    <w:t xml:space="preserve"> </w:t>
                  </w:r>
                </w:p>
                <w:p>
                  <w:pPr>
                    <w:pStyle w:val="null3"/>
                    <w:spacing w:before="90"/>
                    <w:ind w:right="825"/>
                    <w:jc w:val="both"/>
                  </w:pPr>
                  <w:r>
                    <w:rPr>
                      <w:rFonts w:ascii="宋体" w:hAnsi="宋体" w:cs="宋体" w:eastAsia="宋体"/>
                      <w:sz w:val="19"/>
                      <w:color w:val="000000"/>
                    </w:rPr>
                    <w:t>物理压榨或熟榨；</w:t>
                  </w:r>
                </w:p>
              </w:tc>
              <w:tc>
                <w:tcPr>
                  <w:tcW w:type="dxa" w:w="470"/>
                  <w:vMerge/>
                  <w:tcBorders>
                    <w:top w:val="none" w:color="000000" w:sz="4"/>
                    <w:left w:val="single" w:color="000000" w:sz="4"/>
                    <w:bottom w:val="single" w:color="000000" w:sz="4"/>
                    <w:right w:val="single" w:color="000000" w:sz="4"/>
                  </w:tcBorders>
                </w:tcPr>
                <w:p/>
              </w:tc>
              <w:tc>
                <w:tcPr>
                  <w:tcW w:type="dxa" w:w="369"/>
                  <w:vMerge/>
                  <w:tcBorders>
                    <w:top w:val="none" w:color="000000" w:sz="4"/>
                    <w:left w:val="single" w:color="000000" w:sz="4"/>
                    <w:bottom w:val="single" w:color="000000" w:sz="4"/>
                    <w:right w:val="single" w:color="000000" w:sz="4"/>
                  </w:tcBorders>
                </w:tcPr>
                <w:p/>
              </w:tc>
            </w:tr>
          </w:tbl>
          <w:p>
            <w:pPr>
              <w:pStyle w:val="null3"/>
              <w:jc w:val="left"/>
            </w:pPr>
            <w:r>
              <w:rPr>
                <w:b/>
              </w:rPr>
              <w:t>二、项目需求</w:t>
            </w:r>
          </w:p>
          <w:p>
            <w:pPr>
              <w:pStyle w:val="null3"/>
            </w:pPr>
            <w:r>
              <w:rPr/>
              <w:t>1、采购的物品以提货单/领取单/电子券/兑换码的方式由乙方按甲方要求进行发放。</w:t>
            </w:r>
          </w:p>
          <w:p>
            <w:pPr>
              <w:pStyle w:val="null3"/>
            </w:pPr>
            <w:r>
              <w:rPr/>
              <w:t>2、提货单/领取单/电子券/兑换码（货物领取时间）有效期：提货单/领取单有效期一年（可适当顺延)；电子券/兑换码有效期30天。</w:t>
            </w:r>
          </w:p>
          <w:p>
            <w:pPr>
              <w:pStyle w:val="null3"/>
            </w:pPr>
            <w:r>
              <w:rPr/>
              <w:t>3、提货单/领取单/电子券/兑换码交货期：乙方接到甲方供货通知后5个工作日内完成。</w:t>
            </w:r>
          </w:p>
          <w:p>
            <w:pPr>
              <w:pStyle w:val="null3"/>
            </w:pPr>
            <w:r>
              <w:rPr/>
              <w:t>4、使用人如不需清单内物品，此提货单/领取单/ 电子券/兑换码可以兑换成店内其它任何等值商品。（投标文件需对此项进行承诺）</w:t>
            </w:r>
          </w:p>
          <w:p>
            <w:pPr>
              <w:pStyle w:val="null3"/>
            </w:pPr>
            <w:r>
              <w:rPr/>
              <w:t>5、采购商品生产日期不超过发货前3个月，其中大米、面粉保质期不小于12个月，菜籽油、花生油保质期不小于18个月。</w:t>
            </w:r>
          </w:p>
          <w:p>
            <w:pPr>
              <w:pStyle w:val="null3"/>
            </w:pPr>
            <w:r>
              <w:rPr/>
              <w:t>6、物品包装破损或质量问题10日内予以换货。</w:t>
            </w:r>
          </w:p>
          <w:p>
            <w:pPr>
              <w:pStyle w:val="null3"/>
            </w:pPr>
            <w:r>
              <w:rPr/>
              <w:t>7、付款方式：（一）合同款由甲方负责结算，在付款前，乙方必须开具全额发票给甲方，否则，甲方有权拒绝付款 , 无需承担任何责任，且乙方不得以此为由拒绝履行合同义务。 （二）乙方按照甲方要求的交货期，向甲方交付甲方要求的实际数量的购货提货凭证，甲方就该提货 凭证进行验收。甲方签收提货凭证之日视为乙方履行完毕货物的交付义务。验收合格之日起15日内甲方付清实际数量的全部货款。 （三）甲方和乙方的付款必须仅按合同中所提供的户名及账户进行银行结算（据实结算）。</w:t>
            </w:r>
          </w:p>
          <w:p>
            <w:pPr>
              <w:pStyle w:val="null3"/>
            </w:pPr>
            <w:r>
              <w:rPr/>
              <w:t>8、如采用线上提货，提货单或领取单包含配送费。</w:t>
            </w:r>
          </w:p>
          <w:p>
            <w:pPr>
              <w:pStyle w:val="null3"/>
            </w:pPr>
            <w:r>
              <w:rPr>
                <w:b/>
              </w:rPr>
              <w:t>三、其他要求</w:t>
            </w:r>
          </w:p>
          <w:p>
            <w:pPr>
              <w:pStyle w:val="null3"/>
            </w:pPr>
            <w:r>
              <w:rPr/>
              <w:t>1、节日慰问品数量：1620人（最终供货量按实际发生人数进行据实结算）</w:t>
            </w:r>
          </w:p>
          <w:p>
            <w:pPr>
              <w:pStyle w:val="null3"/>
            </w:pPr>
            <w:r>
              <w:rPr/>
              <w:t>2、提货单或领取单金额为1540元。</w:t>
            </w:r>
          </w:p>
          <w:p>
            <w:pPr>
              <w:pStyle w:val="null3"/>
            </w:pPr>
            <w:r>
              <w:rPr/>
              <w:t>3、交货方式：乙方按照甲方要求分阶段送货，采购人职工可选择来店自取或线上提货。来店自取方式：甲方职工凭乙方有效提货凭证，可在乙方西安市不同区域内的经营场所领取货品，并可根据需要调换其它同等价位的商品。线上提货：甲方职工凭乙方有效提货凭证在线上程序内下单后，可在预定地址接收快递或投标人自行配送。</w:t>
            </w:r>
          </w:p>
          <w:p>
            <w:pPr>
              <w:pStyle w:val="null3"/>
            </w:pPr>
            <w:r>
              <w:rPr/>
              <w:t>4、如采用线上提货，提货单或领取单包含配送费。</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提货单/领取单/电子券/兑换码交货期：乙方接到甲方供货通知后5个工作日内完成。</w:t>
      </w:r>
    </w:p>
    <w:p>
      <w:pPr>
        <w:pStyle w:val="null3"/>
        <w:outlineLvl w:val="3"/>
      </w:pPr>
      <w:r>
        <w:rPr>
          <w:sz w:val="24"/>
          <w:b/>
        </w:rPr>
        <w:t>3.4.2交货地点</w:t>
      </w:r>
    </w:p>
    <w:p>
      <w:pPr>
        <w:pStyle w:val="null3"/>
      </w:pPr>
      <w:r>
        <w:rPr/>
        <w:t>采购包1：</w:t>
      </w:r>
    </w:p>
    <w:p>
      <w:pPr>
        <w:pStyle w:val="null3"/>
      </w:pPr>
      <w:r>
        <w:rPr/>
        <w:t>陕西省肿瘤医院指定地点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乙方按照甲方要求的节日交货期，向甲方交付甲方要求的实际数量的购货提货凭证，甲方就该提货凭证进行验收。甲方签收提货凭证之日视为乙方履行完毕货物的交付义务</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质保期：采购商品生产日期不超过发货前3个月，其中大米、面粉保质期不小于12个月，菜籽油、花生油保质期不小于 18个月。</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2、纸质投标文件正、副本分别胶装，标明投标人名称密封递交，递交截止时间同在线递交投标电子文件截止时间一致，递交地址：西安市雁展路1111号莱安中心T6-15层。（纸质投标 文件可邮寄（顺丰邮寄），邮件签收时间应在递交电子投标文件截止时间之前，邮寄地址：西安市雁展路1111号莱安中心T6-15层，联系人：谢婷婷，联系电话：029-81206622/81206633-832）。 3、若电子投标文件与纸质投标文件不一致的，以电子投标文件为准。 4、因本项目支付约定内容为系统固定格式要求，投标人须响应的具体支付约定如下：若中标方为实体店，乙方按照甲方要求的交货期向甲方交付甲方要求的实际数量的购货提货凭证，甲方就该提货凭证进行验收。甲方签收提货凭证之日视为乙方履行完毕货物的交付义务 ，达到付款条件起15日内，支付合同总金额的 100.00%，若中标方为电商，乙方按照甲方要求的交货期向甲方交付甲方要求的实际数量的购货提货凭证，甲方就该提货凭证进行验收。甲方签收提货凭证之日视为乙方履行完毕货物的交付义务，提货凭证生效30日后并达到付款条款15日内，甲方根据职工实际提货据实结算。 5、本项目为固定价格招标、投标报价为1540元/人，未按照此金额报价视为无效报价，按无效文件处理。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具有独立承担民事责任能力的法人、其他组织或自然人：具有独立承担民事责任能力的法人、其他组织或自然人，并 出具合法有效的营业执照或事业单位法人证书等国家规定的相关证明， 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 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 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 失信主体、政府采购严重违法失信行为记录名单的书面声明。本项目拒绝被列入失信被执行人、重大税收违法失信主体、政府 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法定代表人授权书及被授权人身份证复印件。（法定代表人直接投标须提交其身份证明书，被授权人投标还需提供投标人为其缴纳的2024年1月至今任意一个月社保证明材料）</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许可证</w:t>
            </w:r>
          </w:p>
        </w:tc>
        <w:tc>
          <w:tcPr>
            <w:tcW w:type="dxa" w:w="3322"/>
          </w:tcPr>
          <w:p>
            <w:pPr>
              <w:pStyle w:val="null3"/>
            </w:pPr>
            <w:r>
              <w:rPr/>
              <w:t>供应商为生产厂家的，须提供有效期内的《食品生产许可证》；供应商为代理商的，须提供有效期内的《食品经营许可证》及生产厂家有效期内的《食品生产许可证》。</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 ⑩本项目非专门面向中小企业采购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 报价货币及签字盖章</w:t>
            </w:r>
          </w:p>
        </w:tc>
        <w:tc>
          <w:tcPr>
            <w:tcW w:type="dxa" w:w="1661"/>
          </w:tcPr>
          <w:p>
            <w:pPr>
              <w:pStyle w:val="null3"/>
            </w:pPr>
            <w:r>
              <w:rPr/>
              <w:t>开标一览表 产品技术参数表 分项报价表 投标函 商务应答表 标的清单 投标文件封面</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分项报价表 投标人认为有必要说明的问题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产品响应</w:t>
            </w:r>
          </w:p>
        </w:tc>
        <w:tc>
          <w:tcPr>
            <w:tcW w:type="dxa" w:w="2492"/>
          </w:tcPr>
          <w:p>
            <w:pPr>
              <w:pStyle w:val="null3"/>
            </w:pPr>
            <w:r>
              <w:rPr/>
              <w:t>根据供应商所投产品的①品牌规格; ②质量指标；③营养成分；④食品安全；⑤包装质量等方面进行评审。提供相关证明材料（包括但不限于产品彩页、检测报告、厂家证明材料等）。满分20分，每有一项缺项扣分4分，每有一项内容中与响应需求不匹配或不能满足采购需求的扣2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产品响应</w:t>
            </w:r>
          </w:p>
        </w:tc>
      </w:tr>
      <w:tr>
        <w:tc>
          <w:tcPr>
            <w:tcW w:type="dxa" w:w="831"/>
            <w:vMerge/>
          </w:tcPr>
          <w:p/>
        </w:tc>
        <w:tc>
          <w:tcPr>
            <w:tcW w:type="dxa" w:w="1661"/>
          </w:tcPr>
          <w:p>
            <w:pPr>
              <w:pStyle w:val="null3"/>
            </w:pPr>
            <w:r>
              <w:rPr/>
              <w:t>管理制度</w:t>
            </w:r>
          </w:p>
        </w:tc>
        <w:tc>
          <w:tcPr>
            <w:tcW w:type="dxa" w:w="2492"/>
          </w:tcPr>
          <w:p>
            <w:pPr>
              <w:pStyle w:val="null3"/>
            </w:pPr>
            <w:r>
              <w:rPr/>
              <w:t>管理制度详细，链条完整，措施具体，根据①质量控制管理制度；②存储管理制度；③提货、配送管理制度；④调换管理制度；⑤人员管理制度等方面进行响应，满分20分, 每有一项缺项扣4分，每有一项内容中与响应与需求不匹配或不能满足采购需求的扣2分。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管理制度</w:t>
            </w:r>
          </w:p>
        </w:tc>
      </w:tr>
      <w:tr>
        <w:tc>
          <w:tcPr>
            <w:tcW w:type="dxa" w:w="831"/>
            <w:vMerge/>
          </w:tcPr>
          <w:p/>
        </w:tc>
        <w:tc>
          <w:tcPr>
            <w:tcW w:type="dxa" w:w="1661"/>
          </w:tcPr>
          <w:p>
            <w:pPr>
              <w:pStyle w:val="null3"/>
            </w:pPr>
            <w:r>
              <w:rPr/>
              <w:t>服务保障方案</w:t>
            </w:r>
          </w:p>
        </w:tc>
        <w:tc>
          <w:tcPr>
            <w:tcW w:type="dxa" w:w="2492"/>
          </w:tcPr>
          <w:p>
            <w:pPr>
              <w:pStyle w:val="null3"/>
            </w:pPr>
            <w:r>
              <w:rPr/>
              <w:t>供应商根据采购需求提供具体可行的服务保障方案，包括：①供货渠 道的正规性、货源充足保障性；②提货、配送方式多样化，支持微信 、电话、手机APP等线上线下多种 方式提货配送；③结合自身实力和经验提供库存周转方案，以满足采购人正常和突发需要；④服务方案及服务承诺完善；⑤特殊情况处理方案（包括但不限于领取单据过期、领取单据丢失、发放品临期、过期等情况）；满分30分；每有一项缺项扣6分，每有一项内容中与响应需求不匹配或不能满足采购需求的扣3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服务保障方案</w:t>
            </w:r>
          </w:p>
        </w:tc>
      </w:tr>
      <w:tr>
        <w:tc>
          <w:tcPr>
            <w:tcW w:type="dxa" w:w="831"/>
            <w:vMerge/>
          </w:tcPr>
          <w:p/>
        </w:tc>
        <w:tc>
          <w:tcPr>
            <w:tcW w:type="dxa" w:w="1661"/>
          </w:tcPr>
          <w:p>
            <w:pPr>
              <w:pStyle w:val="null3"/>
            </w:pPr>
            <w:r>
              <w:rPr/>
              <w:t>业绩</w:t>
            </w:r>
          </w:p>
        </w:tc>
        <w:tc>
          <w:tcPr>
            <w:tcW w:type="dxa" w:w="2492"/>
          </w:tcPr>
          <w:p>
            <w:pPr>
              <w:pStyle w:val="null3"/>
            </w:pPr>
            <w:r>
              <w:rPr/>
              <w:t>提供2021年1月至开标前同类的业绩，须提供合同复印件加盖公章，提供不全不计分，每提供一份计2分，此项共计10分。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符合《食品安全法》，对本次项目 提交详尽的“三包”实施内容，制定 售后服务承诺，具有本地化的专业 队伍和技术人员支持，提供售后服务，包括人员安排、响应时间、退 （调）换货等内容全面响应，承诺内容全面可行性强计10分；承诺内容宽泛、不具体计6分；承诺内容不满足需求，可行性不强计3 分 , 未提供售后服务不得分。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应急方案</w:t>
            </w:r>
          </w:p>
        </w:tc>
        <w:tc>
          <w:tcPr>
            <w:tcW w:type="dxa" w:w="2492"/>
          </w:tcPr>
          <w:p>
            <w:pPr>
              <w:pStyle w:val="null3"/>
            </w:pPr>
            <w:r>
              <w:rPr/>
              <w:t>1、供应商针对项目服务过程中的应急保障方案全面、详细、合理计5分；供应商的应急保障方案基本全面、详细、合理计3分，应急保障方案有明显缺漏或措施不合理的计1分。未提供不计分。 2、针对运输途中产生的破损 、胀袋等有具 体补救措施和承诺，措施合理，承诺完善的计5分，措施较为合理，承诺基本完善的计3分，承诺不完善或措施不合理的计1分，未承诺的不计分。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应急方案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详见附件：投标人资格条件证明文件</w:t>
      </w:r>
    </w:p>
    <w:p>
      <w:pPr>
        <w:pStyle w:val="null3"/>
        <w:ind w:firstLine="960"/>
      </w:pPr>
      <w:r>
        <w:rPr/>
        <w:t>详见附件：分项报价表</w:t>
      </w:r>
    </w:p>
    <w:p>
      <w:pPr>
        <w:pStyle w:val="null3"/>
        <w:ind w:firstLine="960"/>
      </w:pPr>
      <w:r>
        <w:rPr/>
        <w:t>详见附件：产品响应</w:t>
      </w:r>
    </w:p>
    <w:p>
      <w:pPr>
        <w:pStyle w:val="null3"/>
        <w:ind w:firstLine="960"/>
      </w:pPr>
      <w:r>
        <w:rPr/>
        <w:t>详见附件：服务保障方案</w:t>
      </w:r>
    </w:p>
    <w:p>
      <w:pPr>
        <w:pStyle w:val="null3"/>
        <w:ind w:firstLine="960"/>
      </w:pPr>
      <w:r>
        <w:rPr/>
        <w:t>详见附件：管理制度</w:t>
      </w:r>
    </w:p>
    <w:p>
      <w:pPr>
        <w:pStyle w:val="null3"/>
        <w:ind w:firstLine="960"/>
      </w:pPr>
      <w:r>
        <w:rPr/>
        <w:t>详见附件：售后服务</w:t>
      </w:r>
    </w:p>
    <w:p>
      <w:pPr>
        <w:pStyle w:val="null3"/>
        <w:ind w:firstLine="960"/>
      </w:pPr>
      <w:r>
        <w:rPr/>
        <w:t>详见附件：业绩</w:t>
      </w:r>
    </w:p>
    <w:p>
      <w:pPr>
        <w:pStyle w:val="null3"/>
        <w:ind w:firstLine="960"/>
      </w:pPr>
      <w:r>
        <w:rPr/>
        <w:t>详见附件：应急方案</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