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电磁频谱效应测试平台建设（一期）采购项目(三次)</w:t>
      </w:r>
    </w:p>
    <w:p>
      <w:pPr>
        <w:pStyle w:val="null3"/>
        <w:jc w:val="center"/>
        <w:outlineLvl w:val="2"/>
      </w:pPr>
      <w:r>
        <w:rPr>
          <w:sz w:val="28"/>
          <w:b/>
        </w:rPr>
        <w:t>采购项目编号：</w:t>
      </w:r>
      <w:r>
        <w:rPr>
          <w:sz w:val="28"/>
          <w:b/>
        </w:rPr>
        <w:t>ZMZB2024GYDX-164A</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2024年11月14日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电磁频谱效应测试平台建设（一期）采购项目(三次)</w:t>
      </w:r>
      <w:r>
        <w:rPr/>
        <w:t>进行国内公开招标，兹邀请符合本次招标要求的供应商参加投标。</w:t>
      </w:r>
    </w:p>
    <w:p>
      <w:pPr>
        <w:pStyle w:val="null3"/>
        <w:outlineLvl w:val="2"/>
      </w:pPr>
      <w:r>
        <w:rPr>
          <w:sz w:val="28"/>
          <w:b/>
        </w:rPr>
        <w:t>一、采购项目编号：</w:t>
      </w:r>
      <w:r>
        <w:rPr>
          <w:sz w:val="28"/>
          <w:b/>
        </w:rPr>
        <w:t>ZMZB2024GYDX-164A</w:t>
      </w:r>
    </w:p>
    <w:p>
      <w:pPr>
        <w:pStyle w:val="null3"/>
        <w:outlineLvl w:val="2"/>
      </w:pPr>
      <w:r>
        <w:rPr>
          <w:sz w:val="28"/>
          <w:b/>
        </w:rPr>
        <w:t>二、采购项目名称：</w:t>
      </w:r>
      <w:r>
        <w:rPr>
          <w:sz w:val="28"/>
          <w:b/>
        </w:rPr>
        <w:t>电磁频谱效应测试平台建设（一期）采购项目(三次)</w:t>
      </w:r>
    </w:p>
    <w:p>
      <w:pPr>
        <w:pStyle w:val="null3"/>
        <w:outlineLvl w:val="2"/>
      </w:pPr>
      <w:r>
        <w:rPr>
          <w:sz w:val="28"/>
          <w:b/>
        </w:rPr>
        <w:t>三、招标项目简介</w:t>
      </w:r>
    </w:p>
    <w:p>
      <w:pPr>
        <w:pStyle w:val="null3"/>
        <w:ind w:firstLine="480"/>
      </w:pPr>
      <w:r>
        <w:rPr/>
        <w:t>电磁频谱效应测试平台建设（一期）采购项目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pPr>
        <w:pStyle w:val="null3"/>
      </w:pPr>
      <w:r>
        <w:rPr/>
        <w:t>9、本项目不接受联合体投标：非联合体投标声明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周老师</w:t>
      </w:r>
    </w:p>
    <w:p>
      <w:pPr>
        <w:pStyle w:val="null3"/>
      </w:pPr>
      <w:r>
        <w:rPr/>
        <w:t xml:space="preserve"> 联系电话： </w:t>
      </w:r>
      <w:r>
        <w:rPr/>
        <w:t>029-86173142</w:t>
      </w:r>
    </w:p>
    <w:p>
      <w:pPr>
        <w:pStyle w:val="null3"/>
        <w:outlineLvl w:val="2"/>
      </w:pPr>
      <w:r>
        <w:rPr>
          <w:sz w:val="28"/>
          <w:b/>
        </w:rPr>
        <w:t>代理机构：</w:t>
      </w:r>
      <w:r>
        <w:rPr>
          <w:sz w:val="28"/>
          <w:b/>
        </w:rPr>
        <w:t>陕西卓佲项目管理有限公司</w:t>
      </w:r>
    </w:p>
    <w:p>
      <w:pPr>
        <w:pStyle w:val="null3"/>
      </w:pPr>
      <w:r>
        <w:rPr/>
        <w:t xml:space="preserve"> 地址： </w:t>
      </w:r>
      <w:r>
        <w:rPr/>
        <w:t xml:space="preserve"> 西安市雁塔区科技路 30号合力紫郡B座21层</w:t>
      </w:r>
    </w:p>
    <w:p>
      <w:pPr>
        <w:pStyle w:val="null3"/>
      </w:pPr>
      <w:r>
        <w:rPr/>
        <w:t xml:space="preserve"> 邮编： </w:t>
      </w:r>
      <w:r>
        <w:rPr/>
        <w:t>710065</w:t>
      </w:r>
    </w:p>
    <w:p>
      <w:pPr>
        <w:pStyle w:val="null3"/>
      </w:pPr>
      <w:r>
        <w:rPr/>
        <w:t xml:space="preserve"> 联系人： </w:t>
      </w:r>
      <w:r>
        <w:rPr/>
        <w:t>董菊莉 黄乐 张倩</w:t>
      </w:r>
    </w:p>
    <w:p>
      <w:pPr>
        <w:pStyle w:val="null3"/>
      </w:pPr>
      <w:r>
        <w:rPr/>
        <w:t xml:space="preserve"> 联系电话： </w:t>
      </w:r>
      <w:r>
        <w:rPr/>
        <w:t>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采购包1保证金金额：3,600.00元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联系电话：029-81875979</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电磁频谱效应测试平台建设（一期）采购项目</w:t>
      </w:r>
    </w:p>
    <w:p>
      <w:pPr>
        <w:pStyle w:val="null3"/>
        <w:outlineLvl w:val="2"/>
      </w:pPr>
      <w:r>
        <w:rPr>
          <w:sz w:val="28"/>
          <w:b/>
        </w:rPr>
        <w:t>3.2采购内容</w:t>
      </w:r>
    </w:p>
    <w:p>
      <w:pPr>
        <w:pStyle w:val="null3"/>
      </w:pPr>
      <w:r>
        <w:rPr/>
        <w:t>采购包1：</w:t>
      </w:r>
    </w:p>
    <w:p>
      <w:pPr>
        <w:pStyle w:val="null3"/>
      </w:pPr>
      <w:r>
        <w:rPr/>
        <w:t>采购包预算金额（元）: 180,000.00</w:t>
      </w:r>
    </w:p>
    <w:p>
      <w:pPr>
        <w:pStyle w:val="null3"/>
      </w:pPr>
      <w:r>
        <w:rPr/>
        <w:t>采购包最高限价（元）: 180,000.00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程控可调衰减器</w:t>
            </w:r>
          </w:p>
        </w:tc>
        <w:tc>
          <w:tcPr>
            <w:tcW w:type="dxa" w:w="831"/>
          </w:tcPr>
          <w:p>
            <w:pPr>
              <w:pStyle w:val="null3"/>
              <w:jc w:val="right"/>
            </w:pPr>
            <w:r>
              <w:rPr/>
              <w:t>2.00</w:t>
            </w:r>
          </w:p>
        </w:tc>
        <w:tc>
          <w:tcPr>
            <w:tcW w:type="dxa" w:w="831"/>
          </w:tcPr>
          <w:p>
            <w:pPr>
              <w:pStyle w:val="null3"/>
              <w:jc w:val="right"/>
            </w:pPr>
            <w:r>
              <w:rPr/>
              <w:t>180,000.00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标的名称：程控可调衰减器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color w:val="000000"/>
              </w:rPr>
              <w:t>频率范围：</w:t>
            </w:r>
            <w:r>
              <w:rPr>
                <w:rFonts w:ascii="宋体" w:hAnsi="宋体" w:cs="宋体" w:eastAsia="宋体"/>
                <w:sz w:val="21"/>
                <w:color w:val="000000"/>
              </w:rPr>
              <w:t>DC～26.5GHz</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color w:val="000000"/>
              </w:rPr>
              <w:t>调节范围：</w:t>
            </w:r>
            <w:r>
              <w:rPr>
                <w:rFonts w:ascii="宋体" w:hAnsi="宋体" w:cs="宋体" w:eastAsia="宋体"/>
                <w:sz w:val="21"/>
                <w:color w:val="000000"/>
              </w:rPr>
              <w:t>0～70dB</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1"/>
                <w:color w:val="000000"/>
              </w:rPr>
              <w:t>步进值：</w:t>
            </w:r>
            <w:r>
              <w:rPr>
                <w:rFonts w:ascii="宋体" w:hAnsi="宋体" w:cs="宋体" w:eastAsia="宋体"/>
                <w:sz w:val="21"/>
                <w:color w:val="000000"/>
              </w:rPr>
              <w:t>≦1dB</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1"/>
                <w:color w:val="000000"/>
              </w:rPr>
              <w:t>衰减精度：</w:t>
            </w:r>
            <w:r>
              <w:rPr>
                <w:rFonts w:ascii="宋体" w:hAnsi="宋体" w:cs="宋体" w:eastAsia="宋体"/>
                <w:sz w:val="21"/>
                <w:color w:val="000000"/>
              </w:rPr>
              <w:t>≦±1dB</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color w:val="000000"/>
              </w:rPr>
              <w:t>程控接口：</w:t>
            </w:r>
            <w:r>
              <w:rPr>
                <w:rFonts w:ascii="宋体" w:hAnsi="宋体" w:cs="宋体" w:eastAsia="宋体"/>
                <w:sz w:val="21"/>
                <w:color w:val="000000"/>
              </w:rPr>
              <w:t>LAN</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1"/>
                <w:color w:val="000000"/>
              </w:rPr>
              <w:t>使用寿命</w:t>
            </w:r>
            <w:r>
              <w:rPr>
                <w:rFonts w:ascii="宋体" w:hAnsi="宋体" w:cs="宋体" w:eastAsia="宋体"/>
                <w:sz w:val="21"/>
                <w:color w:val="000000"/>
              </w:rPr>
              <w:t>: ≥500万次</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1"/>
                <w:color w:val="000000"/>
              </w:rPr>
              <w:t>最大输入功率：平均功率</w:t>
            </w:r>
            <w:r>
              <w:rPr>
                <w:rFonts w:ascii="宋体" w:hAnsi="宋体" w:cs="宋体" w:eastAsia="宋体"/>
                <w:sz w:val="21"/>
                <w:color w:val="000000"/>
              </w:rPr>
              <w:t>: ≥1W</w:t>
            </w:r>
            <w:r>
              <w:rPr>
                <w:rFonts w:ascii="宋体" w:hAnsi="宋体" w:cs="宋体" w:eastAsia="宋体"/>
                <w:sz w:val="21"/>
                <w:color w:val="000000"/>
              </w:rPr>
              <w:t>，</w:t>
            </w:r>
            <w:r>
              <w:rPr>
                <w:rFonts w:ascii="宋体" w:hAnsi="宋体" w:cs="宋体" w:eastAsia="宋体"/>
                <w:sz w:val="21"/>
                <w:color w:val="000000"/>
              </w:rPr>
              <w:t>峰值功率</w:t>
            </w:r>
            <w:r>
              <w:rPr>
                <w:rFonts w:ascii="宋体" w:hAnsi="宋体" w:cs="宋体" w:eastAsia="宋体"/>
                <w:sz w:val="21"/>
                <w:color w:val="000000"/>
              </w:rPr>
              <w:t>: ≥50W</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1"/>
                <w:color w:val="000000"/>
              </w:rPr>
              <w:t>可重复性：</w:t>
            </w:r>
            <w:r>
              <w:rPr>
                <w:rFonts w:ascii="宋体" w:hAnsi="宋体" w:cs="宋体" w:eastAsia="宋体"/>
                <w:sz w:val="21"/>
                <w:color w:val="000000"/>
              </w:rPr>
              <w:t>≦0.03dB</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1"/>
                <w:color w:val="000000"/>
              </w:rPr>
              <w:t>切换速度</w:t>
            </w:r>
            <w:r>
              <w:rPr>
                <w:rFonts w:ascii="宋体" w:hAnsi="宋体" w:cs="宋体" w:eastAsia="宋体"/>
                <w:sz w:val="21"/>
                <w:color w:val="000000"/>
              </w:rPr>
              <w:t>:≦30ms</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交货期：合同签订之日起90天内完成交付、安装及调试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国产：设备验收合格后，提供相应发票，达到付款条件起 30 日内，支付合同总金额的 100.00%。 进口：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设备功能现场测试验证，技术指标通过第三方计量验证。 根据招标文件要求、投标文件及合同约定执行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质保期：验收合格通过之日起 5年。 服务期限：产品终身维修，质保期满后，仍需提供专业维修服务。 服务响应时间：接到维修电话后4小时内给予明确答复，必要时安排返厂维修，质保期内的运输费用由卖方承担。</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1、必须为全新设备，不接受二手机、翻新机。 2、核心产品：程控可调衰减器。 3、付款方式：国产：合同总金额为包含设备价格及设备运送到甲方指定地点的全部一切费用。设备验收合格后，提供相应发票；验收合格后，支付合同总金额的 100.00%。 进口：（1）、合同总金额为包含设备价格及设备运送到甲方指定地点的全部一切费用,甲方指定外贸公司的代理费由乙方承担。 （2）、甲方与外贸代理公司委托协议生效后，由丙方将本合同约定的合同款支付给甲方委托外贸公司办理相关事项，外贸代理项目一事一约定，详见双方外贸代理委托协议书。 （3）、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 （4）、货到验收无误后，最终由甲方委托的外贸代理公司向甲方开具结算发票。 4、符合教科文进口环节免税规定的可以报人民币免税价，供应商未明确人民币免税报价的，学校有权扣除报价中由学校主体减免的进口环节增值税。成交人民币报价不受结算汇率风险波动影响。 5、投标报价为完成本项目工作的全部费用。包含但不限于设备费用及设备运送并安装到使用单位指定地点前所产生的费用（含安装调试费）、保险费、商检费、售后服务费（含培训）、招标人委托进出口公司代理服务费等各项费用。 6、质保期内，设备维修需由境外厂家提供的，供应商应书面告知用户，经用户同意后做好维修事项的维保记录。 7、为顺利推进政府采购电子化交易半台应用工作，投标人需要在线提交所有通过电子化交易平台实施的政府采购项目的投标文件，同时，线下提交纸质版投标文件，正本壹份、副本贰份(标明投标人名称，密封递交)。若线上电子投标文件与纸质投标文件不一致的，以线上电子投标文件为准；若正本和副本不符，以正本为准。线下递交文件截止时间:详见本项目招标公告文件递交截止时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 不合格 投标报价未超过采购预算或 者最高限价 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投标文件的交货期、质保期</w:t>
            </w:r>
          </w:p>
        </w:tc>
        <w:tc>
          <w:tcPr>
            <w:tcW w:type="dxa" w:w="3322"/>
          </w:tcPr>
          <w:p>
            <w:pPr>
              <w:pStyle w:val="null3"/>
            </w:pPr>
            <w:r>
              <w:rPr/>
              <w:t>投标文件的交货期、质保期不满足招标文件要求 不合格 投标文件的交货期、质保期满足招标文件要求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产品技术参数表 分项报价表 投标函 商务应答表 供应商资格要求 标的清单</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开标一览表 分项报价表 标的清单</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产品技术参数表 商务应答表 供应商认为有必要说明的其他问题</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 格，存在法律、法规和招标文件规 定的其他无效情形 不合格</w:t>
            </w:r>
          </w:p>
        </w:tc>
        <w:tc>
          <w:tcPr>
            <w:tcW w:type="dxa" w:w="1661"/>
          </w:tcPr>
          <w:p>
            <w:pPr>
              <w:pStyle w:val="null3"/>
            </w:pPr>
            <w:r>
              <w:rPr/>
              <w:t>产品技术参数表 商务应答表 供应商认为有必要说明的其他问题</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根据供应商提供所投产品的技术偏离表及相应的证明材料（包括但不限于测试报告、功能截图等技术证明材料），经评审专家审定得分。 基本分（34分）：完全符合、响应招标文件要求，没有负偏离计34分，“▲”参数每负偏离一项扣6分，未带标识参数每负偏离一项扣2分，扣完为止。 加分（6分）：在基本分的基础上，响应产品技术指标、参数经评审专家认定优于招标文件规定的相应技术指标、参数，并且有实质性能提升的(提供证明材料)，根据响应程度进行相应加分，参数正偏离每一项加2分，最多加6分。未提供证明材料的不予加分。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①项目总体实施方案；②项目团队方案；③项目实施时间安排方案；④系统安装调试方案；⑤项目验收方案。每项最高计2分，每项未提供不得分，最高计10分。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 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