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版本号：241129003</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Truebeam加速器维保服务采购项目</w:t>
      </w:r>
    </w:p>
    <w:p>
      <w:pPr>
        <w:pStyle w:val="null3"/>
        <w:jc w:val="center"/>
        <w:outlineLvl w:val="2"/>
      </w:pPr>
      <w:r>
        <w:rPr>
          <w:sz w:val="28"/>
          <w:b/>
        </w:rPr>
        <w:t>采购项目编号：</w:t>
      </w:r>
      <w:r>
        <w:rPr>
          <w:sz w:val="28"/>
          <w:b/>
        </w:rPr>
        <w:t>【KRDL】K2-2411324</w:t>
      </w:r>
      <w:r>
        <w:br/>
      </w:r>
      <w:r>
        <w:br/>
      </w:r>
      <w:r>
        <w:br/>
      </w:r>
    </w:p>
    <w:p>
      <w:pPr>
        <w:pStyle w:val="null3"/>
        <w:jc w:val="center"/>
        <w:outlineLvl w:val="2"/>
      </w:pPr>
      <w:r>
        <w:rPr>
          <w:sz w:val="28"/>
          <w:b/>
        </w:rPr>
        <w:t>陕西省肿瘤医院</w:t>
      </w:r>
    </w:p>
    <w:p>
      <w:pPr>
        <w:pStyle w:val="null3"/>
        <w:jc w:val="center"/>
        <w:outlineLvl w:val="2"/>
      </w:pPr>
      <w:r>
        <w:rPr>
          <w:sz w:val="28"/>
          <w:b/>
        </w:rPr>
        <w:t>开瑞项目管理有限公司</w:t>
      </w:r>
      <w:r>
        <w:rPr>
          <w:sz w:val="28"/>
          <w:b/>
        </w:rPr>
        <w:t>共同编制</w:t>
      </w:r>
    </w:p>
    <w:p>
      <w:pPr>
        <w:pStyle w:val="null3"/>
        <w:jc w:val="center"/>
        <w:outlineLvl w:val="2"/>
      </w:pPr>
      <w:r>
        <w:rPr>
          <w:sz w:val="28"/>
          <w:b/>
        </w:rPr>
        <w:t>2024年11月15日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开瑞项目管理有限公司</w:t>
      </w:r>
      <w:r>
        <w:rPr/>
        <w:t>（以下简称“代理机构”）受</w:t>
      </w:r>
      <w:r>
        <w:rPr/>
        <w:t>陕西省肿瘤医院</w:t>
      </w:r>
      <w:r>
        <w:rPr/>
        <w:t>委托，拟对</w:t>
      </w:r>
      <w:r>
        <w:rPr/>
        <w:t>Truebeam加速器维保服务采购项目</w:t>
      </w:r>
      <w:r>
        <w:rPr/>
        <w:t>进行国内公开招标，兹邀请符合本次招标要求的供应商参加投标。</w:t>
      </w:r>
    </w:p>
    <w:p>
      <w:pPr>
        <w:pStyle w:val="null3"/>
        <w:outlineLvl w:val="2"/>
      </w:pPr>
      <w:r>
        <w:rPr>
          <w:sz w:val="28"/>
          <w:b/>
        </w:rPr>
        <w:t>一、采购项目编号：</w:t>
      </w:r>
      <w:r>
        <w:rPr>
          <w:sz w:val="28"/>
          <w:b/>
        </w:rPr>
        <w:t>【KRDL】K2-2411324</w:t>
      </w:r>
    </w:p>
    <w:p>
      <w:pPr>
        <w:pStyle w:val="null3"/>
        <w:outlineLvl w:val="2"/>
      </w:pPr>
      <w:r>
        <w:rPr>
          <w:sz w:val="28"/>
          <w:b/>
        </w:rPr>
        <w:t>二、采购项目名称：</w:t>
      </w:r>
      <w:r>
        <w:rPr>
          <w:sz w:val="28"/>
          <w:b/>
        </w:rPr>
        <w:t>Truebeam加速器维保服务采购项目</w:t>
      </w:r>
    </w:p>
    <w:p>
      <w:pPr>
        <w:pStyle w:val="null3"/>
        <w:outlineLvl w:val="2"/>
      </w:pPr>
      <w:r>
        <w:rPr>
          <w:sz w:val="28"/>
          <w:b/>
        </w:rPr>
        <w:t>三、招标项目简介</w:t>
      </w:r>
    </w:p>
    <w:p>
      <w:pPr>
        <w:pStyle w:val="null3"/>
        <w:ind w:firstLine="480"/>
      </w:pPr>
      <w:r>
        <w:rPr/>
        <w:t>陕西省肿瘤医院Truebeam加速器维保服务采购项目拟对Truebeam加速器的软、硬件及附件进行维保服务，具体服务内容及需求详见本项目招标文件。</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1、主体资格：供应商为向采购人提供相关服务的法人或其他组织；</w:t>
      </w:r>
    </w:p>
    <w:p>
      <w:pPr>
        <w:pStyle w:val="null3"/>
      </w:pPr>
      <w:r>
        <w:rPr/>
        <w:t>2、信誉要求：截止至投标文件递交截止时间之前，供应商未被“信用中国”列入严重失信主体名单查询及重点领域严重失信主体名单查询，未被列入“中国政府采购网(www.ccgp.gov.cn)”政府采购严重违法失信行为记录名单；</w:t>
      </w:r>
    </w:p>
    <w:p>
      <w:pPr>
        <w:pStyle w:val="null3"/>
      </w:pPr>
      <w:r>
        <w:rPr/>
        <w:t>3、投标授权代表：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pPr>
        <w:pStyle w:val="null3"/>
      </w:pPr>
      <w:r>
        <w:rPr/>
        <w:t>4、是否专门面向中小企业采购：本项目不专门面向中小企业采购。</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陕西省肿瘤医院</w:t>
      </w:r>
    </w:p>
    <w:p>
      <w:pPr>
        <w:pStyle w:val="null3"/>
      </w:pPr>
      <w:r>
        <w:rPr/>
        <w:t xml:space="preserve"> 地址： </w:t>
      </w:r>
      <w:r>
        <w:rPr/>
        <w:t>西安市雁塔区雁塔西路309号</w:t>
      </w:r>
    </w:p>
    <w:p>
      <w:pPr>
        <w:pStyle w:val="null3"/>
      </w:pPr>
      <w:r>
        <w:rPr/>
        <w:t xml:space="preserve"> 邮编： </w:t>
      </w:r>
      <w:r>
        <w:rPr/>
        <w:t>710000</w:t>
      </w:r>
    </w:p>
    <w:p>
      <w:pPr>
        <w:pStyle w:val="null3"/>
      </w:pPr>
      <w:r>
        <w:rPr/>
        <w:t xml:space="preserve"> 联系人： </w:t>
      </w:r>
      <w:r>
        <w:rPr/>
        <w:t>陈老师</w:t>
      </w:r>
    </w:p>
    <w:p>
      <w:pPr>
        <w:pStyle w:val="null3"/>
      </w:pPr>
      <w:r>
        <w:rPr/>
        <w:t xml:space="preserve"> 联系电话： </w:t>
      </w:r>
      <w:r>
        <w:rPr/>
        <w:t>029-85276353</w:t>
      </w:r>
    </w:p>
    <w:p>
      <w:pPr>
        <w:pStyle w:val="null3"/>
        <w:outlineLvl w:val="2"/>
      </w:pPr>
      <w:r>
        <w:rPr>
          <w:sz w:val="28"/>
          <w:b/>
        </w:rPr>
        <w:t>代理机构：</w:t>
      </w:r>
      <w:r>
        <w:rPr>
          <w:sz w:val="28"/>
          <w:b/>
        </w:rPr>
        <w:t>开瑞项目管理有限公司</w:t>
      </w:r>
    </w:p>
    <w:p>
      <w:pPr>
        <w:pStyle w:val="null3"/>
      </w:pPr>
      <w:r>
        <w:rPr/>
        <w:t xml:space="preserve"> 地址： </w:t>
      </w:r>
      <w:r>
        <w:rPr/>
        <w:t>陕西省西安市莲湖区高新二路1号招商银行大厦19层</w:t>
      </w:r>
    </w:p>
    <w:p>
      <w:pPr>
        <w:pStyle w:val="null3"/>
      </w:pPr>
      <w:r>
        <w:rPr/>
        <w:t xml:space="preserve"> 邮编： </w:t>
      </w:r>
      <w:r>
        <w:rPr/>
        <w:t>710000</w:t>
      </w:r>
    </w:p>
    <w:p>
      <w:pPr>
        <w:pStyle w:val="null3"/>
      </w:pPr>
      <w:r>
        <w:rPr/>
        <w:t xml:space="preserve"> 联系人： </w:t>
      </w:r>
      <w:r>
        <w:rPr/>
        <w:t>代光艳、刘昆</w:t>
      </w:r>
    </w:p>
    <w:p>
      <w:pPr>
        <w:pStyle w:val="null3"/>
      </w:pPr>
      <w:r>
        <w:rPr/>
        <w:t xml:space="preserve"> 联系电话： </w:t>
      </w:r>
      <w:r>
        <w:rPr/>
        <w:t>029-89581311、17302920968</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采购包1：1,200,000.00元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采购包1保证金金额：20,002.00元</w:t>
            </w:r>
          </w:p>
          <w:p>
            <w:pPr>
              <w:pStyle w:val="null3"/>
            </w:pPr>
            <w:r>
              <w:rPr/>
              <w:t>缴交渠道：电子保函,转账、支票、汇票等（需通过实体账户、户名及开户行信息）</w:t>
            </w:r>
          </w:p>
          <w:p>
            <w:pPr>
              <w:pStyle w:val="null3"/>
            </w:pPr>
            <w:r>
              <w:rPr/>
              <w:t>开户名称：开瑞项目管理有限公司</w:t>
            </w:r>
          </w:p>
          <w:p>
            <w:pPr>
              <w:pStyle w:val="null3"/>
            </w:pPr>
            <w:r>
              <w:rPr/>
              <w:t>开户银行：招商银行股份有限公司西安分行营业部</w:t>
            </w:r>
          </w:p>
          <w:p>
            <w:pPr>
              <w:pStyle w:val="null3"/>
            </w:pPr>
            <w:r>
              <w:rPr/>
              <w:t>银行账号：129905724510703</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 857号）的有关规定向采购代理机构一次付清代理服务费。注：转账需备注项目名称+代理服务费/投标保证金。</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陕西省肿瘤医院</w:t>
      </w:r>
      <w:r>
        <w:rPr/>
        <w:t>和</w:t>
      </w:r>
      <w:r>
        <w:rPr/>
        <w:t>开瑞项目管理有限公司</w:t>
      </w:r>
      <w:r>
        <w:rPr/>
        <w:t>享有。对招标文件中供应商参加本次政府采购活动应当具备的条件，招标项目技术、服务、商务及其他要求，评标细则及标准由</w:t>
      </w:r>
      <w:r>
        <w:rPr/>
        <w:t>陕西省肿瘤医院</w:t>
      </w:r>
      <w:r>
        <w:rPr/>
        <w:t>负责解释。除上述招标文件内容，其他内容由</w:t>
      </w:r>
      <w:r>
        <w:rPr/>
        <w:t>开瑞项目管理有限公司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陕西省肿瘤医院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开瑞项目管理有限公司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sz w:val="24"/>
          <w:b/>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详见合同文本。</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sz w:val="24"/>
          <w:b/>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sz w:val="24"/>
          <w:b/>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开瑞项目管理有限公司</w:t>
      </w:r>
      <w:r>
        <w:rPr/>
        <w:t xml:space="preserve"> 负责答复；供应商对除采购需求外的采购文件的询问、质疑由</w:t>
      </w:r>
      <w:r>
        <w:rPr/>
        <w:t>开瑞项目管理有限公司</w:t>
      </w:r>
      <w:r>
        <w:rPr/>
        <w:t xml:space="preserve"> 负责答复；供应商对采购过程、采购结果的询问、质疑由 </w:t>
      </w:r>
      <w:r>
        <w:rPr/>
        <w:t>开瑞项目管理有限公司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联系人：代光艳、刘昆</w:t>
      </w:r>
    </w:p>
    <w:p>
      <w:pPr>
        <w:pStyle w:val="null3"/>
      </w:pPr>
      <w:r>
        <w:rPr/>
        <w:t>联系电话：029-89581311、17302920968</w:t>
      </w:r>
    </w:p>
    <w:p>
      <w:pPr>
        <w:pStyle w:val="null3"/>
      </w:pPr>
      <w:r>
        <w:rPr/>
        <w:t>地址：陕西省西安市莲湖区高新二路1号招商银行大厦19层</w:t>
      </w:r>
    </w:p>
    <w:p>
      <w:pPr>
        <w:pStyle w:val="null3"/>
      </w:pPr>
      <w:r>
        <w:rPr/>
        <w:t>邮编：710000</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陕西省肿瘤医院Truebeam加速器维保服务采购项目拟对Truebeam加速器的软、硬件及附件进行维保服务，具体服务内容及需求详见本项目招标文件。</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1,200,000.00</w:t>
      </w:r>
    </w:p>
    <w:p>
      <w:pPr>
        <w:pStyle w:val="null3"/>
      </w:pPr>
      <w:r>
        <w:rPr/>
        <w:t>采购包最高限价（元）: 1,200,000.00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Truebeam加速器维保服务</w:t>
            </w:r>
          </w:p>
        </w:tc>
        <w:tc>
          <w:tcPr>
            <w:tcW w:type="dxa" w:w="831"/>
          </w:tcPr>
          <w:p>
            <w:pPr>
              <w:pStyle w:val="null3"/>
              <w:jc w:val="right"/>
            </w:pPr>
            <w:r>
              <w:rPr/>
              <w:t>1.00</w:t>
            </w:r>
          </w:p>
        </w:tc>
        <w:tc>
          <w:tcPr>
            <w:tcW w:type="dxa" w:w="831"/>
          </w:tcPr>
          <w:p>
            <w:pPr>
              <w:pStyle w:val="null3"/>
              <w:jc w:val="right"/>
            </w:pPr>
            <w:r>
              <w:rPr/>
              <w:t>1,200,000.00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标的名称：Truebeam加速器维保服务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2"/>
              <w:jc w:val="left"/>
            </w:pPr>
            <w:r>
              <w:rPr>
                <w:rFonts w:ascii="宋体" w:hAnsi="宋体" w:cs="宋体" w:eastAsia="宋体"/>
                <w:sz w:val="24"/>
                <w:b/>
                <w:color w:val="5B9BD5"/>
              </w:rPr>
              <w:t>一、维保</w:t>
            </w:r>
            <w:r>
              <w:rPr>
                <w:rFonts w:ascii="宋体" w:hAnsi="宋体" w:cs="宋体" w:eastAsia="宋体"/>
                <w:sz w:val="24"/>
                <w:b/>
                <w:color w:val="5B9BD5"/>
              </w:rPr>
              <w:t>服务范围</w:t>
            </w:r>
          </w:p>
          <w:p>
            <w:pPr>
              <w:pStyle w:val="null3"/>
              <w:ind w:firstLine="480"/>
              <w:jc w:val="left"/>
            </w:pPr>
            <w:r>
              <w:rPr>
                <w:rFonts w:ascii="宋体" w:hAnsi="宋体" w:cs="宋体" w:eastAsia="宋体"/>
                <w:sz w:val="24"/>
                <w:color w:val="5B9BD5"/>
              </w:rPr>
              <w:t>1.瓦里安公司放疗系统CL-</w:t>
            </w:r>
            <w:r>
              <w:rPr>
                <w:rFonts w:ascii="宋体" w:hAnsi="宋体" w:cs="宋体" w:eastAsia="宋体"/>
                <w:sz w:val="24"/>
                <w:color w:val="5B9BD5"/>
              </w:rPr>
              <w:t>TrueBeam</w:t>
            </w:r>
            <w:r>
              <w:rPr>
                <w:rFonts w:ascii="宋体" w:hAnsi="宋体" w:cs="宋体" w:eastAsia="宋体"/>
                <w:sz w:val="24"/>
                <w:color w:val="5B9BD5"/>
              </w:rPr>
              <w:t>高能医用直线加速器全部硬件及相关软件（</w:t>
            </w:r>
            <w:r>
              <w:rPr>
                <w:rFonts w:ascii="宋体" w:hAnsi="宋体" w:cs="宋体" w:eastAsia="宋体"/>
                <w:sz w:val="24"/>
                <w:color w:val="5B9BD5"/>
              </w:rPr>
              <w:t>Aria网络系统，呼吸门控系统，Eclipse治疗计划系统及相关工作站及服务器系统软硬件）。</w:t>
            </w:r>
          </w:p>
          <w:p>
            <w:pPr>
              <w:pStyle w:val="null3"/>
              <w:ind w:firstLine="480"/>
              <w:jc w:val="left"/>
            </w:pPr>
            <w:r>
              <w:rPr>
                <w:rFonts w:ascii="宋体" w:hAnsi="宋体" w:cs="宋体" w:eastAsia="宋体"/>
                <w:sz w:val="24"/>
                <w:color w:val="5B9BD5"/>
              </w:rPr>
              <w:t>1.</w:t>
            </w:r>
            <w:r>
              <w:rPr>
                <w:rFonts w:ascii="宋体" w:hAnsi="宋体" w:cs="宋体" w:eastAsia="宋体"/>
                <w:sz w:val="24"/>
                <w:color w:val="5B9BD5"/>
              </w:rPr>
              <w:t>TrueBeam</w:t>
            </w:r>
            <w:r>
              <w:rPr>
                <w:rFonts w:ascii="宋体" w:hAnsi="宋体" w:cs="宋体" w:eastAsia="宋体"/>
                <w:sz w:val="24"/>
                <w:color w:val="5B9BD5"/>
              </w:rPr>
              <w:t xml:space="preserve"> </w:t>
            </w:r>
            <w:r>
              <w:rPr>
                <w:rFonts w:ascii="宋体" w:hAnsi="宋体" w:cs="宋体" w:eastAsia="宋体"/>
                <w:sz w:val="24"/>
                <w:color w:val="5B9BD5"/>
              </w:rPr>
              <w:t>加速器配套的水冷机、稳压电源、激光灯、室内监视系统、对讲机</w:t>
            </w:r>
            <w:r>
              <w:rPr>
                <w:rFonts w:ascii="宋体" w:hAnsi="宋体" w:cs="宋体" w:eastAsia="宋体"/>
                <w:sz w:val="24"/>
                <w:color w:val="5B9BD5"/>
              </w:rPr>
              <w:t>等所有附属设备进行维保服务。</w:t>
            </w:r>
          </w:p>
          <w:p>
            <w:pPr>
              <w:pStyle w:val="null3"/>
              <w:ind w:firstLine="482"/>
              <w:jc w:val="left"/>
            </w:pPr>
            <w:r>
              <w:rPr>
                <w:rFonts w:ascii="宋体" w:hAnsi="宋体" w:cs="宋体" w:eastAsia="宋体"/>
                <w:sz w:val="24"/>
                <w:b/>
                <w:color w:val="5B9BD5"/>
              </w:rPr>
              <w:t>二、维保能力及服务要求</w:t>
            </w:r>
          </w:p>
          <w:p>
            <w:pPr>
              <w:pStyle w:val="null3"/>
              <w:ind w:firstLine="480"/>
              <w:jc w:val="left"/>
            </w:pPr>
            <w:r>
              <w:rPr>
                <w:rFonts w:ascii="宋体" w:hAnsi="宋体" w:cs="宋体" w:eastAsia="宋体"/>
                <w:sz w:val="24"/>
                <w:color w:val="5B9BD5"/>
              </w:rPr>
              <w:t>1.</w:t>
            </w:r>
            <w:r>
              <w:rPr>
                <w:rFonts w:ascii="宋体" w:hAnsi="宋体" w:cs="宋体" w:eastAsia="宋体"/>
                <w:sz w:val="24"/>
                <w:color w:val="5B9BD5"/>
              </w:rPr>
              <w:t>开机率：提供服务期间保证设备开机率</w:t>
            </w:r>
            <w:r>
              <w:rPr>
                <w:rFonts w:ascii="宋体" w:hAnsi="宋体" w:cs="宋体" w:eastAsia="宋体"/>
                <w:sz w:val="24"/>
                <w:color w:val="5B9BD5"/>
              </w:rPr>
              <w:t>≥97%，停机率＜3%。开机率按工作日进行计算。（设备开机率定义除设备常规治疗功能外，还包括CBCT系统、计划系统、网络系统、MV系统功能的正常使用）。</w:t>
            </w:r>
          </w:p>
          <w:p>
            <w:pPr>
              <w:pStyle w:val="null3"/>
              <w:ind w:firstLine="480"/>
              <w:jc w:val="left"/>
            </w:pPr>
            <w:r>
              <w:rPr>
                <w:rFonts w:ascii="宋体" w:hAnsi="宋体" w:cs="宋体" w:eastAsia="宋体"/>
                <w:sz w:val="24"/>
                <w:color w:val="5B9BD5"/>
              </w:rPr>
              <w:t>2.</w:t>
            </w:r>
            <w:r>
              <w:rPr>
                <w:rFonts w:ascii="宋体" w:hAnsi="宋体" w:cs="宋体" w:eastAsia="宋体"/>
                <w:sz w:val="24"/>
                <w:color w:val="5B9BD5"/>
              </w:rPr>
              <w:t>服务响应：提供全年</w:t>
            </w:r>
            <w:r>
              <w:rPr>
                <w:rFonts w:ascii="宋体" w:hAnsi="宋体" w:cs="宋体" w:eastAsia="宋体"/>
                <w:sz w:val="24"/>
                <w:color w:val="5B9BD5"/>
              </w:rPr>
              <w:t>24小时响应。电话报修后，初次电话支持响应时间为 30分钟内。</w:t>
            </w:r>
          </w:p>
          <w:p>
            <w:pPr>
              <w:pStyle w:val="null3"/>
              <w:ind w:firstLine="480"/>
              <w:jc w:val="left"/>
            </w:pPr>
            <w:r>
              <w:rPr>
                <w:rFonts w:ascii="宋体" w:hAnsi="宋体" w:cs="宋体" w:eastAsia="宋体"/>
                <w:sz w:val="24"/>
                <w:color w:val="5B9BD5"/>
              </w:rPr>
              <w:t>在电话支持无法解决故障的情况下，须保证</w:t>
            </w:r>
            <w:r>
              <w:rPr>
                <w:rFonts w:ascii="宋体" w:hAnsi="宋体" w:cs="宋体" w:eastAsia="宋体"/>
                <w:sz w:val="24"/>
                <w:color w:val="5B9BD5"/>
              </w:rPr>
              <w:t>2小时内工程师到达现场处理故障。到达现场后常规故障（无需更换配件）12小时内解决。需要更换配件的须保证24小时内配件到位；导致停机的配件需要专人派送，最大限度减少停机时间。</w:t>
            </w:r>
          </w:p>
          <w:p>
            <w:pPr>
              <w:pStyle w:val="null3"/>
              <w:ind w:firstLine="480"/>
              <w:jc w:val="left"/>
            </w:pPr>
            <w:r>
              <w:rPr>
                <w:rFonts w:ascii="宋体" w:hAnsi="宋体" w:cs="宋体" w:eastAsia="宋体"/>
                <w:sz w:val="24"/>
                <w:color w:val="5B9BD5"/>
              </w:rPr>
              <w:t>3.</w:t>
            </w:r>
            <w:r>
              <w:rPr>
                <w:rFonts w:ascii="宋体" w:hAnsi="宋体" w:cs="宋体" w:eastAsia="宋体"/>
                <w:sz w:val="24"/>
                <w:color w:val="5B9BD5"/>
              </w:rPr>
              <w:t>如故障在</w:t>
            </w:r>
            <w:r>
              <w:rPr>
                <w:rFonts w:ascii="宋体" w:hAnsi="宋体" w:cs="宋体" w:eastAsia="宋体"/>
                <w:sz w:val="24"/>
                <w:color w:val="5B9BD5"/>
              </w:rPr>
              <w:t>48小时内仍无法解决，或同一故障2次维修仍无法解决</w:t>
            </w:r>
            <w:r>
              <w:rPr>
                <w:rFonts w:ascii="宋体" w:hAnsi="宋体" w:cs="宋体" w:eastAsia="宋体"/>
                <w:sz w:val="24"/>
                <w:color w:val="5B9BD5"/>
              </w:rPr>
              <w:t>采购人</w:t>
            </w:r>
            <w:r>
              <w:rPr>
                <w:rFonts w:ascii="宋体" w:hAnsi="宋体" w:cs="宋体" w:eastAsia="宋体"/>
                <w:sz w:val="24"/>
                <w:color w:val="5B9BD5"/>
              </w:rPr>
              <w:t>可联系其他服务商维修，所产生的维修人工及备件费用由维保方承担。</w:t>
            </w:r>
          </w:p>
          <w:p>
            <w:pPr>
              <w:pStyle w:val="null3"/>
              <w:ind w:firstLine="480"/>
              <w:jc w:val="left"/>
            </w:pPr>
            <w:r>
              <w:rPr>
                <w:rFonts w:ascii="宋体" w:hAnsi="宋体" w:cs="宋体" w:eastAsia="宋体"/>
                <w:sz w:val="24"/>
                <w:color w:val="5B9BD5"/>
              </w:rPr>
              <w:t>4.</w:t>
            </w:r>
            <w:r>
              <w:rPr>
                <w:rFonts w:ascii="宋体" w:hAnsi="宋体" w:cs="宋体" w:eastAsia="宋体"/>
                <w:sz w:val="24"/>
                <w:color w:val="5B9BD5"/>
              </w:rPr>
              <w:t>维修工单：每次设备故障处理完成后，应及时填写工单，且内容由双方共同确认一致并签字确认。</w:t>
            </w:r>
          </w:p>
          <w:p>
            <w:pPr>
              <w:pStyle w:val="null3"/>
              <w:ind w:firstLine="480"/>
              <w:jc w:val="left"/>
            </w:pPr>
            <w:r>
              <w:rPr>
                <w:rFonts w:ascii="宋体" w:hAnsi="宋体" w:cs="宋体" w:eastAsia="宋体"/>
                <w:sz w:val="24"/>
                <w:color w:val="5B9BD5"/>
              </w:rPr>
              <w:t>5.</w:t>
            </w:r>
            <w:r>
              <w:rPr>
                <w:rFonts w:ascii="宋体" w:hAnsi="宋体" w:cs="宋体" w:eastAsia="宋体"/>
                <w:sz w:val="24"/>
                <w:color w:val="5B9BD5"/>
              </w:rPr>
              <w:t>在保修服务期内，每年</w:t>
            </w:r>
            <w:r>
              <w:rPr>
                <w:rFonts w:ascii="宋体" w:hAnsi="宋体" w:cs="宋体" w:eastAsia="宋体"/>
                <w:sz w:val="24"/>
                <w:color w:val="5B9BD5"/>
              </w:rPr>
              <w:t>5次保养服务，即每季度保养1次+1次年度保养服务。</w:t>
            </w:r>
          </w:p>
          <w:p>
            <w:pPr>
              <w:pStyle w:val="null3"/>
              <w:ind w:firstLine="480"/>
              <w:jc w:val="left"/>
            </w:pPr>
            <w:r>
              <w:rPr>
                <w:rFonts w:ascii="宋体" w:hAnsi="宋体" w:cs="宋体" w:eastAsia="宋体"/>
                <w:sz w:val="24"/>
                <w:color w:val="5B9BD5"/>
              </w:rPr>
              <w:t>季度保养内容包括机器清洁，安全、性能测试及校准，必要的机械或电气的检查，非紧急性质的预防性维护。配合医院物理师完成加速器机械、光学、束流、剂量、影像的质量控制工作，确保设备性能符合国家质控标准要求。提供保养报告单。</w:t>
            </w:r>
          </w:p>
          <w:p>
            <w:pPr>
              <w:pStyle w:val="null3"/>
              <w:ind w:firstLine="480"/>
              <w:jc w:val="left"/>
            </w:pPr>
            <w:r>
              <w:rPr>
                <w:rFonts w:ascii="宋体" w:hAnsi="宋体" w:cs="宋体" w:eastAsia="宋体"/>
                <w:sz w:val="24"/>
                <w:color w:val="5B9BD5"/>
              </w:rPr>
              <w:t>年度保养：按照制造商的产品规格运行的年度维护，并包括加速器年度质量检测，维保方提供专业技术人员及相关检测设备支持，具体项目</w:t>
            </w:r>
            <w:r>
              <w:rPr>
                <w:rFonts w:ascii="宋体" w:hAnsi="宋体" w:cs="宋体" w:eastAsia="宋体"/>
                <w:sz w:val="24"/>
                <w:color w:val="5B9BD5"/>
              </w:rPr>
              <w:t>参考行业指南</w:t>
            </w:r>
            <w:r>
              <w:rPr>
                <w:rFonts w:ascii="宋体" w:hAnsi="宋体" w:cs="宋体" w:eastAsia="宋体"/>
                <w:sz w:val="24"/>
                <w:color w:val="5B9BD5"/>
              </w:rPr>
              <w:t>完成。</w:t>
            </w:r>
          </w:p>
          <w:p>
            <w:pPr>
              <w:pStyle w:val="null3"/>
              <w:ind w:firstLine="480"/>
              <w:jc w:val="left"/>
            </w:pPr>
            <w:r>
              <w:rPr>
                <w:rFonts w:ascii="宋体" w:hAnsi="宋体" w:cs="宋体" w:eastAsia="宋体"/>
                <w:sz w:val="24"/>
                <w:color w:val="5B9BD5"/>
              </w:rPr>
              <w:t>6.</w:t>
            </w:r>
            <w:r>
              <w:rPr>
                <w:rFonts w:ascii="宋体" w:hAnsi="宋体" w:cs="宋体" w:eastAsia="宋体"/>
                <w:sz w:val="24"/>
                <w:color w:val="5B9BD5"/>
              </w:rPr>
              <w:t>服务工程师要求：</w:t>
            </w:r>
            <w:r>
              <w:rPr>
                <w:rFonts w:ascii="宋体" w:hAnsi="宋体" w:cs="宋体" w:eastAsia="宋体"/>
                <w:sz w:val="24"/>
                <w:color w:val="5B9BD5"/>
              </w:rPr>
              <w:t>供应商拟投入本项目至少配备</w:t>
            </w:r>
            <w:r>
              <w:rPr>
                <w:rFonts w:ascii="宋体" w:hAnsi="宋体" w:cs="宋体" w:eastAsia="宋体"/>
                <w:sz w:val="24"/>
                <w:color w:val="5B9BD5"/>
              </w:rPr>
              <w:t>1名软件和1名硬件工程师，并提供原厂维保培训经历或具备相应维修能力的证明资料。</w:t>
            </w:r>
          </w:p>
          <w:p>
            <w:pPr>
              <w:pStyle w:val="null3"/>
              <w:ind w:firstLine="480"/>
              <w:jc w:val="left"/>
            </w:pPr>
            <w:r>
              <w:rPr>
                <w:rFonts w:ascii="宋体" w:hAnsi="宋体" w:cs="宋体" w:eastAsia="宋体"/>
                <w:sz w:val="24"/>
                <w:color w:val="5B9BD5"/>
              </w:rPr>
              <w:t>7.</w:t>
            </w:r>
            <w:r>
              <w:rPr>
                <w:rFonts w:ascii="宋体" w:hAnsi="宋体" w:cs="宋体" w:eastAsia="宋体"/>
                <w:sz w:val="24"/>
                <w:color w:val="5B9BD5"/>
              </w:rPr>
              <w:t>维修单位能及时派工，到场工程师必须为培训合格，取得相关服务资质的人员</w:t>
            </w:r>
            <w:r>
              <w:rPr>
                <w:rFonts w:ascii="宋体" w:hAnsi="宋体" w:cs="宋体" w:eastAsia="宋体"/>
                <w:sz w:val="24"/>
                <w:color w:val="5B9BD5"/>
              </w:rPr>
              <w:t>，无资质人员不能进入机房进行维修</w:t>
            </w:r>
            <w:r>
              <w:rPr>
                <w:rFonts w:ascii="宋体" w:hAnsi="宋体" w:cs="宋体" w:eastAsia="宋体"/>
                <w:sz w:val="24"/>
                <w:color w:val="5B9BD5"/>
              </w:rPr>
              <w:t>。</w:t>
            </w:r>
          </w:p>
          <w:p>
            <w:pPr>
              <w:pStyle w:val="null3"/>
              <w:ind w:firstLine="480"/>
              <w:jc w:val="left"/>
            </w:pPr>
            <w:r>
              <w:rPr>
                <w:rFonts w:ascii="宋体" w:hAnsi="宋体" w:cs="宋体" w:eastAsia="宋体"/>
                <w:sz w:val="24"/>
                <w:color w:val="5B9BD5"/>
              </w:rPr>
              <w:t>8.</w:t>
            </w:r>
            <w:r>
              <w:rPr>
                <w:rFonts w:ascii="宋体" w:hAnsi="宋体" w:cs="宋体" w:eastAsia="宋体"/>
                <w:sz w:val="24"/>
                <w:color w:val="5B9BD5"/>
              </w:rPr>
              <w:t>维修单位在国内有备件仓库，能证明库存有各类原厂零部件（如偏转磁铁、电子枪、电离室、</w:t>
            </w:r>
            <w:r>
              <w:rPr>
                <w:rFonts w:ascii="宋体" w:hAnsi="宋体" w:cs="宋体" w:eastAsia="宋体"/>
                <w:sz w:val="24"/>
                <w:color w:val="5B9BD5"/>
              </w:rPr>
              <w:t>TrueBeam</w:t>
            </w:r>
            <w:r>
              <w:rPr>
                <w:rFonts w:ascii="宋体" w:hAnsi="宋体" w:cs="宋体" w:eastAsia="宋体"/>
                <w:sz w:val="24"/>
                <w:color w:val="5B9BD5"/>
              </w:rPr>
              <w:t>整机全套电路板等）。</w:t>
            </w:r>
          </w:p>
          <w:p>
            <w:pPr>
              <w:pStyle w:val="null3"/>
              <w:ind w:firstLine="480"/>
              <w:jc w:val="left"/>
            </w:pPr>
            <w:r>
              <w:rPr>
                <w:rFonts w:ascii="宋体" w:hAnsi="宋体" w:cs="宋体" w:eastAsia="宋体"/>
                <w:sz w:val="24"/>
                <w:color w:val="5B9BD5"/>
              </w:rPr>
              <w:t>9.</w:t>
            </w:r>
            <w:r>
              <w:rPr>
                <w:rFonts w:ascii="宋体" w:hAnsi="宋体" w:cs="宋体" w:eastAsia="宋体"/>
                <w:sz w:val="24"/>
                <w:color w:val="5B9BD5"/>
              </w:rPr>
              <w:t>保证所有维修备件是瓦里安厂家原厂生产的全新件或与故障零配件品牌型号完全一致的全新件。</w:t>
            </w:r>
            <w:r>
              <w:rPr>
                <w:rFonts w:ascii="宋体" w:hAnsi="宋体" w:cs="宋体" w:eastAsia="宋体"/>
                <w:sz w:val="24"/>
                <w:color w:val="5B9BD5"/>
              </w:rPr>
              <w:t>在后期维修中</w:t>
            </w:r>
            <w:r>
              <w:rPr>
                <w:rFonts w:ascii="宋体" w:hAnsi="宋体" w:cs="宋体" w:eastAsia="宋体"/>
                <w:sz w:val="24"/>
                <w:color w:val="5B9BD5"/>
              </w:rPr>
              <w:t>对价值高于</w:t>
            </w:r>
            <w:r>
              <w:rPr>
                <w:rFonts w:ascii="宋体" w:hAnsi="宋体" w:cs="宋体" w:eastAsia="宋体"/>
                <w:sz w:val="24"/>
                <w:color w:val="5B9BD5"/>
              </w:rPr>
              <w:t>5万元备件，提供报关单或原厂书面证明材料</w:t>
            </w:r>
            <w:r>
              <w:rPr>
                <w:rFonts w:ascii="宋体" w:hAnsi="宋体" w:cs="宋体" w:eastAsia="宋体"/>
                <w:sz w:val="24"/>
                <w:color w:val="5B9BD5"/>
              </w:rPr>
              <w:t>。所有更换备件维保的费用包含在投标报价中，采购人不再另行支付。</w:t>
            </w:r>
          </w:p>
          <w:p>
            <w:pPr>
              <w:pStyle w:val="null3"/>
              <w:ind w:firstLine="480"/>
              <w:jc w:val="left"/>
            </w:pPr>
            <w:r>
              <w:rPr>
                <w:rFonts w:ascii="宋体" w:hAnsi="宋体" w:cs="宋体" w:eastAsia="宋体"/>
                <w:sz w:val="24"/>
                <w:color w:val="5B9BD5"/>
              </w:rPr>
              <w:t>10.在使用科室建立</w:t>
            </w:r>
            <w:r>
              <w:rPr>
                <w:rFonts w:ascii="宋体" w:hAnsi="宋体" w:cs="宋体" w:eastAsia="宋体"/>
                <w:sz w:val="24"/>
                <w:color w:val="5B9BD5"/>
              </w:rPr>
              <w:t>备件库：维保方提供不低于</w:t>
            </w:r>
            <w:r>
              <w:rPr>
                <w:rFonts w:ascii="宋体" w:hAnsi="宋体" w:cs="宋体" w:eastAsia="宋体"/>
                <w:sz w:val="24"/>
                <w:color w:val="5B9BD5"/>
              </w:rPr>
              <w:t>10种类的常用易损备件包</w:t>
            </w:r>
            <w:r>
              <w:rPr>
                <w:rFonts w:ascii="宋体" w:hAnsi="宋体" w:cs="宋体" w:eastAsia="宋体"/>
                <w:sz w:val="24"/>
                <w:color w:val="5B9BD5"/>
              </w:rPr>
              <w:t>，具体清单如下：</w:t>
            </w:r>
          </w:p>
          <w:tbl>
            <w:tblPr>
              <w:tblBorders>
                <w:top w:val="none" w:color="000000" w:sz="4"/>
                <w:left w:val="none" w:color="000000" w:sz="4"/>
                <w:bottom w:val="none" w:color="000000" w:sz="4"/>
                <w:right w:val="none" w:color="000000" w:sz="4"/>
                <w:insideH w:val="none"/>
                <w:insideV w:val="none"/>
              </w:tblBorders>
            </w:tblPr>
            <w:tblGrid>
              <w:gridCol w:w="290"/>
              <w:gridCol w:w="1111"/>
              <w:gridCol w:w="551"/>
              <w:gridCol w:w="601"/>
            </w:tblGrid>
            <w:tr>
              <w:tc>
                <w:tcPr>
                  <w:tcW w:type="dxa" w:w="2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2E75B5"/>
                    </w:rPr>
                    <w:t>序号</w:t>
                  </w:r>
                </w:p>
              </w:tc>
              <w:tc>
                <w:tcPr>
                  <w:tcW w:type="dxa" w:w="11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2E75B5"/>
                    </w:rPr>
                    <w:t>品目名称</w:t>
                  </w:r>
                </w:p>
              </w:tc>
              <w:tc>
                <w:tcPr>
                  <w:tcW w:type="dxa" w:w="5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2E75B5"/>
                    </w:rPr>
                    <w:t>数量</w:t>
                  </w:r>
                </w:p>
              </w:tc>
              <w:tc>
                <w:tcPr>
                  <w:tcW w:type="dxa" w:w="6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2E75B5"/>
                    </w:rPr>
                    <w:t>单位</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2E75B5"/>
                    </w:rPr>
                    <w:t>1</w:t>
                  </w:r>
                </w:p>
              </w:tc>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2E75B5"/>
                    </w:rPr>
                    <w:t>MLC全叶NUT</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2E75B5"/>
                    </w:rPr>
                    <w:t>10</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2E75B5"/>
                    </w:rPr>
                    <w:t>个</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2E75B5"/>
                    </w:rPr>
                    <w:t>2</w:t>
                  </w:r>
                </w:p>
              </w:tc>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2E75B5"/>
                    </w:rPr>
                    <w:t>MLC半叶NUT</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2E75B5"/>
                    </w:rPr>
                    <w:t>10</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2E75B5"/>
                    </w:rPr>
                    <w:t>个</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2E75B5"/>
                    </w:rPr>
                    <w:t>3</w:t>
                  </w:r>
                </w:p>
              </w:tc>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2E75B5"/>
                    </w:rPr>
                    <w:t>MLC</w:t>
                  </w:r>
                  <w:r>
                    <w:rPr>
                      <w:rFonts w:ascii="宋体" w:hAnsi="宋体" w:cs="宋体" w:eastAsia="宋体"/>
                      <w:sz w:val="24"/>
                      <w:color w:val="2E75B5"/>
                    </w:rPr>
                    <w:t>全叶小球</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2E75B5"/>
                    </w:rPr>
                    <w:t>10</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2E75B5"/>
                    </w:rPr>
                    <w:t>个</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2E75B5"/>
                    </w:rPr>
                    <w:t>4</w:t>
                  </w:r>
                </w:p>
              </w:tc>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2E75B5"/>
                    </w:rPr>
                    <w:t>MLC半</w:t>
                  </w:r>
                  <w:r>
                    <w:rPr>
                      <w:rFonts w:ascii="宋体" w:hAnsi="宋体" w:cs="宋体" w:eastAsia="宋体"/>
                      <w:sz w:val="24"/>
                      <w:color w:val="2E75B5"/>
                    </w:rPr>
                    <w:t>叶小球</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2E75B5"/>
                    </w:rPr>
                    <w:t>10</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2E75B5"/>
                    </w:rPr>
                    <w:t>个</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2E75B5"/>
                    </w:rPr>
                    <w:t>5</w:t>
                  </w:r>
                </w:p>
              </w:tc>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2E75B5"/>
                    </w:rPr>
                    <w:t>MLC全叶马达</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2E75B5"/>
                    </w:rPr>
                    <w:t>5</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2E75B5"/>
                    </w:rPr>
                    <w:t>个</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2E75B5"/>
                    </w:rPr>
                    <w:t>6</w:t>
                  </w:r>
                </w:p>
              </w:tc>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2E75B5"/>
                    </w:rPr>
                    <w:t>MLC半叶马达</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2E75B5"/>
                    </w:rPr>
                    <w:t>5</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2E75B5"/>
                    </w:rPr>
                    <w:t>个</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2E75B5"/>
                    </w:rPr>
                    <w:t>7</w:t>
                  </w:r>
                </w:p>
              </w:tc>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2E75B5"/>
                    </w:rPr>
                    <w:t>MLC软电位器</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2E75B5"/>
                    </w:rPr>
                    <w:t>4</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2E75B5"/>
                    </w:rPr>
                    <w:t>块</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2E75B5"/>
                    </w:rPr>
                    <w:t>8</w:t>
                  </w:r>
                </w:p>
              </w:tc>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2E75B5"/>
                    </w:rPr>
                    <w:t>Daughter</w:t>
                  </w:r>
                  <w:r>
                    <w:rPr>
                      <w:rFonts w:ascii="宋体" w:hAnsi="宋体" w:cs="宋体" w:eastAsia="宋体"/>
                      <w:sz w:val="24"/>
                      <w:color w:val="2E75B5"/>
                    </w:rPr>
                    <w:t>电源</w:t>
                  </w:r>
                  <w:r>
                    <w:rPr>
                      <w:rFonts w:ascii="宋体" w:hAnsi="宋体" w:cs="宋体" w:eastAsia="宋体"/>
                      <w:sz w:val="24"/>
                      <w:color w:val="2E75B5"/>
                    </w:rPr>
                    <w:t>板</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2E75B5"/>
                    </w:rPr>
                    <w:t>1</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2E75B5"/>
                    </w:rPr>
                    <w:t>块</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2E75B5"/>
                    </w:rPr>
                    <w:t>9</w:t>
                  </w:r>
                </w:p>
              </w:tc>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2E75B5"/>
                    </w:rPr>
                    <w:t>100M数字示波器</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2E75B5"/>
                    </w:rPr>
                    <w:t>1</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2E75B5"/>
                    </w:rPr>
                    <w:t>台</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2E75B5"/>
                    </w:rPr>
                    <w:t>10</w:t>
                  </w:r>
                </w:p>
              </w:tc>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2E75B5"/>
                    </w:rPr>
                    <w:t>公制、英制内六角</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2E75B5"/>
                    </w:rPr>
                    <w:t>1</w:t>
                  </w:r>
                </w:p>
              </w:tc>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2E75B5"/>
                    </w:rPr>
                    <w:t>套</w:t>
                  </w:r>
                </w:p>
              </w:tc>
            </w:tr>
          </w:tbl>
          <w:p>
            <w:pPr>
              <w:pStyle w:val="null3"/>
              <w:ind w:firstLine="480"/>
              <w:jc w:val="left"/>
            </w:pPr>
            <w:r>
              <w:rPr>
                <w:rFonts w:ascii="宋体" w:hAnsi="宋体" w:cs="宋体" w:eastAsia="宋体"/>
                <w:sz w:val="24"/>
                <w:color w:val="5B9BD5"/>
              </w:rPr>
              <w:t>11.</w:t>
            </w:r>
            <w:r>
              <w:rPr>
                <w:rFonts w:ascii="宋体" w:hAnsi="宋体" w:cs="宋体" w:eastAsia="宋体"/>
                <w:sz w:val="24"/>
                <w:color w:val="5B9BD5"/>
              </w:rPr>
              <w:t>在保修服务期内</w:t>
            </w:r>
            <w:r>
              <w:rPr>
                <w:rFonts w:ascii="宋体" w:hAnsi="宋体" w:cs="宋体" w:eastAsia="宋体"/>
                <w:sz w:val="24"/>
                <w:color w:val="5B9BD5"/>
              </w:rPr>
              <w:t>负责</w:t>
            </w:r>
            <w:r>
              <w:rPr>
                <w:rFonts w:ascii="宋体" w:hAnsi="宋体" w:cs="宋体" w:eastAsia="宋体"/>
                <w:sz w:val="24"/>
                <w:color w:val="5B9BD5"/>
              </w:rPr>
              <w:t>提供设备软硬件安全升级，软件是生产厂家的正版软件。若因维修方提供的产品及零配件问题导致被保修</w:t>
            </w:r>
            <w:r>
              <w:rPr>
                <w:rFonts w:ascii="宋体" w:hAnsi="宋体" w:cs="宋体" w:eastAsia="宋体"/>
                <w:sz w:val="24"/>
                <w:color w:val="5B9BD5"/>
              </w:rPr>
              <w:t>TrueBeam</w:t>
            </w:r>
            <w:r>
              <w:rPr>
                <w:rFonts w:ascii="宋体" w:hAnsi="宋体" w:cs="宋体" w:eastAsia="宋体"/>
                <w:sz w:val="24"/>
                <w:color w:val="5B9BD5"/>
              </w:rPr>
              <w:t>加速器出现故障，由维修方承担相关责任及附带损失。</w:t>
            </w:r>
          </w:p>
          <w:p>
            <w:pPr>
              <w:pStyle w:val="null3"/>
              <w:ind w:firstLine="480"/>
              <w:jc w:val="left"/>
            </w:pPr>
            <w:r>
              <w:rPr>
                <w:rFonts w:ascii="宋体" w:hAnsi="宋体" w:cs="宋体" w:eastAsia="宋体"/>
                <w:sz w:val="24"/>
                <w:color w:val="5B9BD5"/>
              </w:rPr>
              <w:t>12.</w:t>
            </w:r>
            <w:r>
              <w:rPr>
                <w:rFonts w:ascii="宋体" w:hAnsi="宋体" w:cs="宋体" w:eastAsia="宋体"/>
                <w:sz w:val="24"/>
                <w:color w:val="5B9BD5"/>
              </w:rPr>
              <w:t>完成加速器相应软件备份工作和完成服务器数据备份工作。需包括</w:t>
            </w:r>
            <w:r>
              <w:rPr>
                <w:rFonts w:ascii="宋体" w:hAnsi="宋体" w:cs="宋体" w:eastAsia="宋体"/>
                <w:sz w:val="24"/>
                <w:color w:val="5B9BD5"/>
              </w:rPr>
              <w:t>Eclipse治疗计划系统及ARIA网络管理系统每年2次维护保养，检查数据备份，容灾，病毒查杀。</w:t>
            </w:r>
            <w:r>
              <w:rPr>
                <w:rFonts w:ascii="宋体" w:hAnsi="宋体" w:cs="宋体" w:eastAsia="宋体"/>
                <w:sz w:val="24"/>
                <w:color w:val="5B9BD5"/>
              </w:rPr>
              <w:t>此费用已包含在本次投标报价中，招标人不再另行支付。</w:t>
            </w:r>
          </w:p>
          <w:p>
            <w:pPr>
              <w:pStyle w:val="null3"/>
              <w:ind w:firstLine="480"/>
              <w:jc w:val="left"/>
            </w:pPr>
            <w:r>
              <w:rPr>
                <w:rFonts w:ascii="宋体" w:hAnsi="宋体" w:cs="宋体" w:eastAsia="宋体"/>
                <w:sz w:val="24"/>
                <w:color w:val="5B9BD5"/>
              </w:rPr>
              <w:t>13.</w:t>
            </w:r>
            <w:r>
              <w:rPr>
                <w:rFonts w:ascii="宋体" w:hAnsi="宋体" w:cs="宋体" w:eastAsia="宋体"/>
                <w:sz w:val="24"/>
                <w:color w:val="5B9BD5"/>
              </w:rPr>
              <w:t>由招标人</w:t>
            </w:r>
            <w:r>
              <w:rPr>
                <w:rFonts w:ascii="宋体" w:hAnsi="宋体" w:cs="宋体" w:eastAsia="宋体"/>
                <w:sz w:val="24"/>
                <w:color w:val="5B9BD5"/>
              </w:rPr>
              <w:t>定期对</w:t>
            </w:r>
            <w:r>
              <w:rPr>
                <w:rFonts w:ascii="宋体" w:hAnsi="宋体" w:cs="宋体" w:eastAsia="宋体"/>
                <w:sz w:val="24"/>
                <w:color w:val="5B9BD5"/>
              </w:rPr>
              <w:t>中标单位的</w:t>
            </w:r>
            <w:r>
              <w:rPr>
                <w:rFonts w:ascii="宋体" w:hAnsi="宋体" w:cs="宋体" w:eastAsia="宋体"/>
                <w:sz w:val="24"/>
                <w:color w:val="5B9BD5"/>
              </w:rPr>
              <w:t>维修服务进行评估，如开机率、服务响应时间、故障解决时间等维保服务</w:t>
            </w:r>
            <w:r>
              <w:rPr>
                <w:rFonts w:ascii="宋体" w:hAnsi="宋体" w:cs="宋体" w:eastAsia="宋体"/>
                <w:sz w:val="24"/>
                <w:color w:val="5B9BD5"/>
              </w:rPr>
              <w:t>达不到招标人所要求的服务标准的</w:t>
            </w:r>
            <w:r>
              <w:rPr>
                <w:rFonts w:ascii="宋体" w:hAnsi="宋体" w:cs="宋体" w:eastAsia="宋体"/>
                <w:sz w:val="24"/>
                <w:color w:val="5B9BD5"/>
              </w:rPr>
              <w:t>，</w:t>
            </w:r>
            <w:r>
              <w:rPr>
                <w:rFonts w:ascii="宋体" w:hAnsi="宋体" w:cs="宋体" w:eastAsia="宋体"/>
                <w:sz w:val="24"/>
                <w:color w:val="5B9BD5"/>
              </w:rPr>
              <w:t>招标人</w:t>
            </w:r>
            <w:r>
              <w:rPr>
                <w:rFonts w:ascii="宋体" w:hAnsi="宋体" w:cs="宋体" w:eastAsia="宋体"/>
                <w:sz w:val="24"/>
                <w:color w:val="5B9BD5"/>
              </w:rPr>
              <w:t>可与维保方解除合同。</w:t>
            </w:r>
          </w:p>
        </w:tc>
      </w:tr>
    </w:tbl>
    <w:p>
      <w:pPr>
        <w:pStyle w:val="null3"/>
        <w:outlineLvl w:val="3"/>
      </w:pPr>
      <w:r>
        <w:rPr>
          <w:sz w:val="24"/>
          <w:b/>
        </w:rPr>
        <w:t>3.2.3人员配置要求</w:t>
      </w:r>
    </w:p>
    <w:p>
      <w:pPr>
        <w:pStyle w:val="null3"/>
      </w:pPr>
      <w:r>
        <w:rPr/>
        <w:t>采购包1：</w:t>
      </w:r>
    </w:p>
    <w:p>
      <w:pPr>
        <w:pStyle w:val="null3"/>
      </w:pPr>
      <w:r>
        <w:rPr/>
        <w:t>满足本项目服务需求的人员配置。</w:t>
      </w:r>
    </w:p>
    <w:p>
      <w:pPr>
        <w:pStyle w:val="null3"/>
        <w:outlineLvl w:val="3"/>
      </w:pPr>
      <w:r>
        <w:rPr>
          <w:sz w:val="24"/>
          <w:b/>
        </w:rPr>
        <w:t>3.2.4设施设备配置要求</w:t>
      </w:r>
    </w:p>
    <w:p>
      <w:pPr>
        <w:pStyle w:val="null3"/>
      </w:pPr>
      <w:r>
        <w:rPr/>
        <w:t>采购包1：</w:t>
      </w:r>
    </w:p>
    <w:p>
      <w:pPr>
        <w:pStyle w:val="null3"/>
      </w:pPr>
      <w:r>
        <w:rPr/>
        <w:t>满足本项目服务需求的设施设备。</w:t>
      </w:r>
    </w:p>
    <w:p>
      <w:pPr>
        <w:pStyle w:val="null3"/>
        <w:outlineLvl w:val="3"/>
      </w:pPr>
      <w:r>
        <w:rPr>
          <w:sz w:val="24"/>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维保服务期限三年（合同一年一签，每年考核一次，招标人依据考核结果决定是否续签下一年服务合同，最多续签两次）</w:t>
      </w:r>
    </w:p>
    <w:p>
      <w:pPr>
        <w:pStyle w:val="null3"/>
        <w:outlineLvl w:val="3"/>
      </w:pPr>
      <w:r>
        <w:rPr>
          <w:sz w:val="24"/>
          <w:b/>
        </w:rPr>
        <w:t>3.3.2服务地点</w:t>
      </w:r>
    </w:p>
    <w:p>
      <w:pPr>
        <w:pStyle w:val="null3"/>
      </w:pPr>
      <w:r>
        <w:rPr/>
        <w:t>采购包1：</w:t>
      </w:r>
    </w:p>
    <w:p>
      <w:pPr>
        <w:pStyle w:val="null3"/>
      </w:pPr>
      <w:r>
        <w:rPr/>
        <w:t>陕西省肿瘤医院指定地点。</w:t>
      </w:r>
    </w:p>
    <w:p>
      <w:pPr>
        <w:pStyle w:val="null3"/>
        <w:outlineLvl w:val="3"/>
      </w:pPr>
      <w:r>
        <w:rPr>
          <w:sz w:val="24"/>
          <w:b/>
        </w:rPr>
        <w:t>3.3.3考核（验收）标准和方法</w:t>
      </w:r>
    </w:p>
    <w:p>
      <w:pPr>
        <w:pStyle w:val="null3"/>
      </w:pPr>
      <w:r>
        <w:rPr/>
        <w:t>采购包1：</w:t>
      </w:r>
    </w:p>
    <w:p>
      <w:pPr>
        <w:pStyle w:val="null3"/>
      </w:pPr>
      <w:r>
        <w:rPr/>
        <w:t>本项目验收由采购人有关部门进行验收，质量达到现行合格标准，符合国家、行业、地方规定以及招标文件规定标准要求。</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每半年考核合格后</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每半年考核合格后</w:t>
      </w:r>
      <w:r>
        <w:rPr/>
        <w:t xml:space="preserve"> ，达到付款条件起 </w:t>
      </w:r>
      <w:r>
        <w:rPr/>
        <w:t>30</w:t>
      </w:r>
      <w:r>
        <w:rPr/>
        <w:t xml:space="preserve"> 日内，支付合同总金额的 </w:t>
      </w:r>
      <w:r>
        <w:rPr/>
        <w:t>50.00</w:t>
      </w:r>
      <w:r>
        <w:rPr/>
        <w:t>%。</w:t>
      </w:r>
    </w:p>
    <w:p>
      <w:pPr>
        <w:pStyle w:val="null3"/>
        <w:outlineLvl w:val="3"/>
      </w:pPr>
      <w:r>
        <w:rPr>
          <w:sz w:val="24"/>
          <w:b/>
        </w:rPr>
        <w:t>3.3.6违约责任与解决争议的方法</w:t>
      </w:r>
    </w:p>
    <w:p>
      <w:pPr>
        <w:pStyle w:val="null3"/>
      </w:pPr>
      <w:r>
        <w:rPr/>
        <w:t>采购包1：</w:t>
      </w:r>
    </w:p>
    <w:p>
      <w:pPr>
        <w:pStyle w:val="null3"/>
      </w:pPr>
      <w:r>
        <w:rPr/>
        <w:t>详见合同文本。</w:t>
      </w:r>
    </w:p>
    <w:p>
      <w:pPr>
        <w:pStyle w:val="null3"/>
        <w:jc w:val="left"/>
        <w:outlineLvl w:val="2"/>
      </w:pPr>
      <w:r>
        <w:rPr>
          <w:sz w:val="28"/>
          <w:b/>
        </w:rPr>
        <w:t>3.5其他要求</w:t>
      </w:r>
    </w:p>
    <w:p>
      <w:pPr>
        <w:pStyle w:val="null3"/>
      </w:pPr>
      <w:r>
        <w:rPr/>
        <w:t>本项目预算金额为一年预算，维保服务期限三年（合同一年一签，每年考核一次，招标人依据考核结果决定是否续签下一年服务合同，最多续签两次）。各投标人投标报价不得超过最高限价，否则按无效投标处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投标人应提供的资格证明材料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投标人提供会计师事务所出具的完整的2023年度审计报告（成立时间至提交响应文件截止时间不足一年的可提供成立后任意时段的资产负债表），或提交自2023年1月1日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tc>
        <w:tc>
          <w:tcPr>
            <w:tcW w:type="dxa" w:w="1661"/>
          </w:tcPr>
          <w:p>
            <w:pPr>
              <w:pStyle w:val="null3"/>
            </w:pPr>
            <w:r>
              <w:rPr/>
              <w:t>投标人应提供的资格证明材料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投标人应提供的资格证明材料</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供应商为向采购人提供相关服务的法人或其他组织；</w:t>
            </w:r>
          </w:p>
        </w:tc>
        <w:tc>
          <w:tcPr>
            <w:tcW w:type="dxa" w:w="1661"/>
          </w:tcPr>
          <w:p>
            <w:pPr>
              <w:pStyle w:val="null3"/>
            </w:pPr>
            <w:r>
              <w:rPr/>
              <w:t>投标人应提供的资格证明材料</w:t>
            </w:r>
          </w:p>
        </w:tc>
      </w:tr>
      <w:tr>
        <w:tc>
          <w:tcPr>
            <w:tcW w:type="dxa" w:w="831"/>
          </w:tcPr>
          <w:p>
            <w:pPr>
              <w:pStyle w:val="null3"/>
            </w:pPr>
            <w:r>
              <w:rPr/>
              <w:t>2</w:t>
            </w:r>
          </w:p>
        </w:tc>
        <w:tc>
          <w:tcPr>
            <w:tcW w:type="dxa" w:w="2492"/>
          </w:tcPr>
          <w:p>
            <w:pPr>
              <w:pStyle w:val="null3"/>
            </w:pPr>
            <w:r>
              <w:rPr/>
              <w:t>信誉要求</w:t>
            </w:r>
          </w:p>
        </w:tc>
        <w:tc>
          <w:tcPr>
            <w:tcW w:type="dxa" w:w="3322"/>
          </w:tcPr>
          <w:p>
            <w:pPr>
              <w:pStyle w:val="null3"/>
            </w:pPr>
            <w:r>
              <w:rPr/>
              <w:t>截止至投标文件递交截止时间之前，供应商未被“信用中国”列入严重失信主体名单查询及重点领域严重失信主体名单查询，未被列入“中国政府采购网(www.ccgp.gov.cn)”政府采购严重违法失信行为记录名单；</w:t>
            </w:r>
          </w:p>
        </w:tc>
        <w:tc>
          <w:tcPr>
            <w:tcW w:type="dxa" w:w="1661"/>
          </w:tcPr>
          <w:p>
            <w:pPr>
              <w:pStyle w:val="null3"/>
            </w:pPr>
            <w:r>
              <w:rPr/>
              <w:t>投标人应提供的资格证明材料</w:t>
            </w:r>
          </w:p>
        </w:tc>
      </w:tr>
      <w:tr>
        <w:tc>
          <w:tcPr>
            <w:tcW w:type="dxa" w:w="831"/>
          </w:tcPr>
          <w:p>
            <w:pPr>
              <w:pStyle w:val="null3"/>
            </w:pPr>
            <w:r>
              <w:rPr/>
              <w:t>3</w:t>
            </w:r>
          </w:p>
        </w:tc>
        <w:tc>
          <w:tcPr>
            <w:tcW w:type="dxa" w:w="2492"/>
          </w:tcPr>
          <w:p>
            <w:pPr>
              <w:pStyle w:val="null3"/>
            </w:pPr>
            <w:r>
              <w:rPr/>
              <w:t>投标授权代表</w:t>
            </w:r>
          </w:p>
        </w:tc>
        <w:tc>
          <w:tcPr>
            <w:tcW w:type="dxa" w:w="3322"/>
          </w:tcPr>
          <w:p>
            <w:pPr>
              <w:pStyle w:val="null3"/>
            </w:pPr>
            <w:r>
              <w:rPr/>
              <w:t>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tc>
        <w:tc>
          <w:tcPr>
            <w:tcW w:type="dxa" w:w="1661"/>
          </w:tcPr>
          <w:p>
            <w:pPr>
              <w:pStyle w:val="null3"/>
            </w:pPr>
            <w:r>
              <w:rPr/>
              <w:t>投标人应提供的资格证明材料</w:t>
            </w:r>
          </w:p>
        </w:tc>
      </w:tr>
      <w:tr>
        <w:tc>
          <w:tcPr>
            <w:tcW w:type="dxa" w:w="831"/>
          </w:tcPr>
          <w:p>
            <w:pPr>
              <w:pStyle w:val="null3"/>
            </w:pPr>
            <w:r>
              <w:rPr/>
              <w:t>4</w:t>
            </w:r>
          </w:p>
        </w:tc>
        <w:tc>
          <w:tcPr>
            <w:tcW w:type="dxa" w:w="2492"/>
          </w:tcPr>
          <w:p>
            <w:pPr>
              <w:pStyle w:val="null3"/>
            </w:pPr>
            <w:r>
              <w:rPr/>
              <w:t>是否专门面向中小企业采购</w:t>
            </w:r>
          </w:p>
        </w:tc>
        <w:tc>
          <w:tcPr>
            <w:tcW w:type="dxa" w:w="3322"/>
          </w:tcPr>
          <w:p>
            <w:pPr>
              <w:pStyle w:val="null3"/>
            </w:pPr>
            <w:r>
              <w:rPr/>
              <w:t>本项目不专门面向中小企业采购。</w:t>
            </w:r>
          </w:p>
        </w:tc>
        <w:tc>
          <w:tcPr>
            <w:tcW w:type="dxa" w:w="1661"/>
          </w:tcPr>
          <w:p>
            <w:pPr>
              <w:pStyle w:val="null3"/>
            </w:pPr>
            <w:r>
              <w:rPr/>
              <w:t>投标人应提供的资格证明材料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督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5.3评标方法</w:t>
      </w:r>
    </w:p>
    <w:p>
      <w:pPr>
        <w:pStyle w:val="null3"/>
      </w:pPr>
      <w:r>
        <w:rPr/>
        <w:t>采购包1：综合评分法</w:t>
      </w:r>
    </w:p>
    <w:p>
      <w:pPr>
        <w:pStyle w:val="null3"/>
        <w:outlineLvl w:val="2"/>
      </w:pPr>
      <w:r>
        <w:rPr>
          <w:sz w:val="28"/>
          <w:b/>
        </w:rPr>
        <w:t>5.4评标程序</w:t>
      </w:r>
    </w:p>
    <w:p>
      <w:pPr>
        <w:pStyle w:val="null3"/>
        <w:outlineLvl w:val="3"/>
      </w:pPr>
      <w:r>
        <w:rPr>
          <w:sz w:val="24"/>
          <w:b/>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投标文件是否按招标文件要求签署、盖章</w:t>
            </w:r>
          </w:p>
        </w:tc>
        <w:tc>
          <w:tcPr>
            <w:tcW w:type="dxa" w:w="3322"/>
          </w:tcPr>
          <w:p>
            <w:pPr>
              <w:pStyle w:val="null3"/>
            </w:pPr>
            <w:r>
              <w:rPr/>
              <w:t>投标文件按招标文件要求签署、盖章</w:t>
            </w:r>
          </w:p>
        </w:tc>
        <w:tc>
          <w:tcPr>
            <w:tcW w:type="dxa" w:w="1661"/>
          </w:tcPr>
          <w:p>
            <w:pPr>
              <w:pStyle w:val="null3"/>
            </w:pPr>
            <w:r>
              <w:rPr/>
              <w:t>开标一览表 商务应答表 维护保养范围、标准、机器清洁及安全检查服务方案 总体运维服务方案 服务响应时间及应对措施 企业业绩 投标函 标的清单 投标文件封面 对服务需求整体理解 维保设备清单及备品备件清单 监狱企业的证明文件 服务内容及服务邀请应答表 合理化建议 中小企业声明函 季度、年度保养承诺函 定期预防性检查及评估方案 应急方案 与原设备配套兼容的承诺函 残疾人福利性单位声明函 投标人应提供的资格证明材料 服务质量保证的管理措施方案 承诺函及备件来源证明资料 拟投入本项目团队人员的配置情况 维修保养制度与操作规范及针对本项目制定的相关措施服务方案</w:t>
            </w:r>
          </w:p>
        </w:tc>
      </w:tr>
      <w:tr>
        <w:tc>
          <w:tcPr>
            <w:tcW w:type="dxa" w:w="831"/>
          </w:tcPr>
          <w:p>
            <w:pPr>
              <w:pStyle w:val="null3"/>
            </w:pPr>
            <w:r>
              <w:rPr/>
              <w:t>3</w:t>
            </w:r>
          </w:p>
        </w:tc>
        <w:tc>
          <w:tcPr>
            <w:tcW w:type="dxa" w:w="2492"/>
          </w:tcPr>
          <w:p>
            <w:pPr>
              <w:pStyle w:val="null3"/>
            </w:pPr>
            <w:r>
              <w:rPr/>
              <w:t>报价是否超过招标文件中规定的预算金额或者最高限价</w:t>
            </w:r>
          </w:p>
        </w:tc>
        <w:tc>
          <w:tcPr>
            <w:tcW w:type="dxa" w:w="3322"/>
          </w:tcPr>
          <w:p>
            <w:pPr>
              <w:pStyle w:val="null3"/>
            </w:pPr>
            <w:r>
              <w:rPr/>
              <w:t>报价未超过招标文件中规定的预算金额 或者最高限价</w:t>
            </w:r>
          </w:p>
        </w:tc>
        <w:tc>
          <w:tcPr>
            <w:tcW w:type="dxa" w:w="1661"/>
          </w:tcPr>
          <w:p>
            <w:pPr>
              <w:pStyle w:val="null3"/>
            </w:pPr>
            <w:r>
              <w:rPr/>
              <w:t>开标一览表 标的清单</w:t>
            </w:r>
          </w:p>
        </w:tc>
      </w:tr>
      <w:tr>
        <w:tc>
          <w:tcPr>
            <w:tcW w:type="dxa" w:w="831"/>
          </w:tcPr>
          <w:p>
            <w:pPr>
              <w:pStyle w:val="null3"/>
            </w:pPr>
            <w:r>
              <w:rPr/>
              <w:t>4</w:t>
            </w:r>
          </w:p>
        </w:tc>
        <w:tc>
          <w:tcPr>
            <w:tcW w:type="dxa" w:w="2492"/>
          </w:tcPr>
          <w:p>
            <w:pPr>
              <w:pStyle w:val="null3"/>
            </w:pPr>
            <w:r>
              <w:rPr/>
              <w:t>是否存在法律、法规和招标文件规定的其他无效情形</w:t>
            </w:r>
          </w:p>
        </w:tc>
        <w:tc>
          <w:tcPr>
            <w:tcW w:type="dxa" w:w="3322"/>
          </w:tcPr>
          <w:p>
            <w:pPr>
              <w:pStyle w:val="null3"/>
            </w:pPr>
            <w:r>
              <w:rPr/>
              <w:t>不存在法律、法规和招标文件规定的 其他无效情形</w:t>
            </w:r>
          </w:p>
        </w:tc>
        <w:tc>
          <w:tcPr>
            <w:tcW w:type="dxa" w:w="1661"/>
          </w:tcPr>
          <w:p>
            <w:pPr>
              <w:pStyle w:val="null3"/>
            </w:pPr>
            <w:r>
              <w:rPr/>
              <w:t>开标一览表 商务应答表 维护保养范围、标准、机器清洁及安全检查服务方案 总体运维服务方案 服务响应时间及应对措施 企业业绩 投标函 标的清单 投标文件封面 对服务需求整体理解 维保设备清单及备品备件清单 监狱企业的证明文件 服务内容及服务邀请应答表 合理化建议 中小企业声明函 季度、年度保养承诺函 定期预防性检查及评估方案 应急方案 与原设备配套兼容的承诺函 残疾人福利性单位声明函 投标人应提供的资格证明材料 服务质量保证的管理措施方案 承诺函及备件来源证明资料 拟投入本项目团队人员的配置情况 维修保养制度与操作规范及针对本项目制定的相关措施服务方案</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服务需求整体理解</w:t>
            </w:r>
          </w:p>
        </w:tc>
        <w:tc>
          <w:tcPr>
            <w:tcW w:type="dxa" w:w="2492"/>
          </w:tcPr>
          <w:p>
            <w:pPr>
              <w:pStyle w:val="null3"/>
            </w:pPr>
            <w:r>
              <w:rPr/>
              <w:t>对本项目服务内容了解全面完整、准确充分，对本项目的服务需求理解表述准确清楚得3.1-6分； 对本项目服务内容了解较为全面、充分，对本项目的服务需求理解表述较为准确清楚的得1.1-3分； 对本项目服务内容了解不全面，对本项目的服务需求理解表述不准确得0-1分； 未提供的得0分。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对服务需求整体理解</w:t>
            </w:r>
          </w:p>
        </w:tc>
      </w:tr>
      <w:tr>
        <w:tc>
          <w:tcPr>
            <w:tcW w:type="dxa" w:w="831"/>
            <w:vMerge/>
          </w:tcPr>
          <w:p/>
        </w:tc>
        <w:tc>
          <w:tcPr>
            <w:tcW w:type="dxa" w:w="1661"/>
          </w:tcPr>
          <w:p>
            <w:pPr>
              <w:pStyle w:val="null3"/>
            </w:pPr>
            <w:r>
              <w:rPr/>
              <w:t>1.根据投标人针对Truebeam加速器提供的软、硬件总体运维服务方案进行评审：</w:t>
            </w:r>
          </w:p>
        </w:tc>
        <w:tc>
          <w:tcPr>
            <w:tcW w:type="dxa" w:w="2492"/>
          </w:tcPr>
          <w:p>
            <w:pPr>
              <w:pStyle w:val="null3"/>
            </w:pPr>
            <w:r>
              <w:rPr/>
              <w:t>服务方案科学、合理、方案内容规范性和可操作性强，能达到采购人要求的运维服务标准的得3.1-6 分； 服务方案较科学、合理、方案内容规范性稍有欠缺，但基本能达到采购人的运维服务标准得得1.1-3分； 服务方案简单，内容不具备操作性的得0-1分； 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总体运维服务方案</w:t>
            </w:r>
          </w:p>
        </w:tc>
      </w:tr>
      <w:tr>
        <w:tc>
          <w:tcPr>
            <w:tcW w:type="dxa" w:w="831"/>
            <w:vMerge/>
          </w:tcPr>
          <w:p/>
        </w:tc>
        <w:tc>
          <w:tcPr>
            <w:tcW w:type="dxa" w:w="1661"/>
          </w:tcPr>
          <w:p>
            <w:pPr>
              <w:pStyle w:val="null3"/>
            </w:pPr>
            <w:r>
              <w:rPr/>
              <w:t>2.根据供应商针对本项目提供的服务响应时间及应对措施进行评审：</w:t>
            </w:r>
          </w:p>
        </w:tc>
        <w:tc>
          <w:tcPr>
            <w:tcW w:type="dxa" w:w="2492"/>
          </w:tcPr>
          <w:p>
            <w:pPr>
              <w:pStyle w:val="null3"/>
            </w:pPr>
            <w:r>
              <w:rPr/>
              <w:t>服务响应时间明确，满足项目需求，应对措施内容科学、合理、方案内容规范性和可操作性强，能达到采购人要求的运维服务标准的得3.1-6 分； 服务响应时间明确，满足项目需求，应对措施内容内容稍有欠缺，但基本能达到采购人的运维服务标准得得1.1-3分； 服务响应时间不明确，无法满足项目需求，应对措施内容简单，内容不具备操作性的得0-1分； 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服务响应时间及应对措施</w:t>
            </w:r>
          </w:p>
        </w:tc>
      </w:tr>
      <w:tr>
        <w:tc>
          <w:tcPr>
            <w:tcW w:type="dxa" w:w="831"/>
            <w:vMerge/>
          </w:tcPr>
          <w:p/>
        </w:tc>
        <w:tc>
          <w:tcPr>
            <w:tcW w:type="dxa" w:w="1661"/>
          </w:tcPr>
          <w:p>
            <w:pPr>
              <w:pStyle w:val="null3"/>
            </w:pPr>
            <w:r>
              <w:rPr/>
              <w:t>3.根据投标人针对本项目提供的季度、年度保养计划进行评审：</w:t>
            </w:r>
          </w:p>
        </w:tc>
        <w:tc>
          <w:tcPr>
            <w:tcW w:type="dxa" w:w="2492"/>
          </w:tcPr>
          <w:p>
            <w:pPr>
              <w:pStyle w:val="null3"/>
            </w:pPr>
            <w:r>
              <w:rPr/>
              <w:t>投标人承诺：每年向采购人提供≥5次保养服务的得6分； 投标人承诺：每年向采购人提供＜5次保养服务的得3分； 未提供承诺的得0分。 评审依据：提供季度、年度保养承诺函并加盖单位公章。</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季度、年度保养承诺函</w:t>
            </w:r>
          </w:p>
        </w:tc>
      </w:tr>
      <w:tr>
        <w:tc>
          <w:tcPr>
            <w:tcW w:type="dxa" w:w="831"/>
            <w:vMerge/>
          </w:tcPr>
          <w:p/>
        </w:tc>
        <w:tc>
          <w:tcPr>
            <w:tcW w:type="dxa" w:w="1661"/>
          </w:tcPr>
          <w:p>
            <w:pPr>
              <w:pStyle w:val="null3"/>
            </w:pPr>
            <w:r>
              <w:rPr/>
              <w:t>4.根据投标人针对本项目提供的维修保养制度与操作规范及针对本项目制定的相关措施进行评审：</w:t>
            </w:r>
          </w:p>
        </w:tc>
        <w:tc>
          <w:tcPr>
            <w:tcW w:type="dxa" w:w="2492"/>
          </w:tcPr>
          <w:p>
            <w:pPr>
              <w:pStyle w:val="null3"/>
            </w:pPr>
            <w:r>
              <w:rPr/>
              <w:t>维修保养制度完善、操作规范，内容要求科学、合理、严谨，针对本项目切实要求制定了详细的措施条款的得3.1-6分。 维修保养制度完善，操作规范要求及相关内容稍有欠缺，但能够满足项目实施需求的得1.1-3分 维修保养制度、操作规范要求相关内容差，或存在缺漏项内容的得0-1分； 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维修保养制度与操作规范及针对本项目制定的相关措施服务方案</w:t>
            </w:r>
          </w:p>
        </w:tc>
      </w:tr>
      <w:tr>
        <w:tc>
          <w:tcPr>
            <w:tcW w:type="dxa" w:w="831"/>
            <w:vMerge/>
          </w:tcPr>
          <w:p/>
        </w:tc>
        <w:tc>
          <w:tcPr>
            <w:tcW w:type="dxa" w:w="1661"/>
          </w:tcPr>
          <w:p>
            <w:pPr>
              <w:pStyle w:val="null3"/>
            </w:pPr>
            <w:r>
              <w:rPr/>
              <w:t>5.根据投标人针对本项目提供的维护保养范围、标准、机器清洁及安全检查服务方案进行评审：</w:t>
            </w:r>
          </w:p>
        </w:tc>
        <w:tc>
          <w:tcPr>
            <w:tcW w:type="dxa" w:w="2492"/>
          </w:tcPr>
          <w:p>
            <w:pPr>
              <w:pStyle w:val="null3"/>
            </w:pPr>
            <w:r>
              <w:rPr/>
              <w:t>服务方案科学、合理，内容规范性和可操作性强，能达到采购人要求的运维服务标准的得3.1-6分； 服务方案较科学、合理、规范性，内容稍有欠缺，但基本能达到采购人的运维服务标准得得1.1-3分； 服务方案简单，内容缺项、漏项，不具备操作性的得0-1分； 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维护保养范围、标准、机器清洁及安全检查服务方案</w:t>
            </w:r>
          </w:p>
        </w:tc>
      </w:tr>
      <w:tr>
        <w:tc>
          <w:tcPr>
            <w:tcW w:type="dxa" w:w="831"/>
            <w:vMerge/>
          </w:tcPr>
          <w:p/>
        </w:tc>
        <w:tc>
          <w:tcPr>
            <w:tcW w:type="dxa" w:w="1661"/>
          </w:tcPr>
          <w:p>
            <w:pPr>
              <w:pStyle w:val="null3"/>
            </w:pPr>
            <w:r>
              <w:rPr/>
              <w:t>6.根据投标人针对本项目维保服务所配备的设备情况，（包含拟投入维保的工具、消耗材料、装备、用具及备品、备件清单分列完整性）详细合理进行评审：</w:t>
            </w:r>
          </w:p>
        </w:tc>
        <w:tc>
          <w:tcPr>
            <w:tcW w:type="dxa" w:w="2492"/>
          </w:tcPr>
          <w:p>
            <w:pPr>
              <w:pStyle w:val="null3"/>
            </w:pPr>
            <w:r>
              <w:rPr/>
              <w:t>设备工具、消耗材料备品、备件库等用具配备齐全，分列完整、详细合理，完全满足项目要求得3.1-6分； 设备工具、消耗材料备品、备件库等用具配备齐全，分列基本完整，基本满足项目要求得1.1-3分； 设备工具、消耗材料备品、备件库等用具配备不齐全，较难满足项目要求得0-1分； 供应商未提供的得0分。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维保设备清单及备品备件清单</w:t>
            </w:r>
          </w:p>
        </w:tc>
      </w:tr>
      <w:tr>
        <w:tc>
          <w:tcPr>
            <w:tcW w:type="dxa" w:w="831"/>
            <w:vMerge/>
          </w:tcPr>
          <w:p/>
        </w:tc>
        <w:tc>
          <w:tcPr>
            <w:tcW w:type="dxa" w:w="1661"/>
          </w:tcPr>
          <w:p>
            <w:pPr>
              <w:pStyle w:val="null3"/>
            </w:pPr>
            <w:r>
              <w:rPr/>
              <w:t>7.根据投标人针对本项目配备合法、稳定的主要部件、配件、配套设备（主要指须具备医疗产品注册许可证或备案证的产品）来源渠道进行评审：</w:t>
            </w:r>
          </w:p>
        </w:tc>
        <w:tc>
          <w:tcPr>
            <w:tcW w:type="dxa" w:w="2492"/>
          </w:tcPr>
          <w:p>
            <w:pPr>
              <w:pStyle w:val="null3"/>
            </w:pPr>
            <w:r>
              <w:rPr/>
              <w:t>投标人拟投入设备维修及更换的相关部件（或配件、配套设备）无假货、水货、翻新件且无产权纠纷（提供承诺函，格式自拟）并提供相关来源渠道合法证明文件完整、清晰，能完全够保障本项目实施且承诺函内容完善的得3.1-6分； 投标人拟投入设备维修及更换的相关部件（或配件、配套设备）无假货、水货、翻新件且无产权纠纷（提供承诺函，格式自拟）并提供相关来源渠道合法证明文件相对完整，但有部分缺失，但承诺函内容完善的得1.1-3分； 投标人承诺函及相关来源渠道合法证明文件缺项、漏项无法保障维保质量的得0-1分； 未提供承诺函及相关来源渠道合法证明文件的得0分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承诺函及备件来源证明资料</w:t>
            </w:r>
          </w:p>
        </w:tc>
      </w:tr>
      <w:tr>
        <w:tc>
          <w:tcPr>
            <w:tcW w:type="dxa" w:w="831"/>
            <w:vMerge/>
          </w:tcPr>
          <w:p/>
        </w:tc>
        <w:tc>
          <w:tcPr>
            <w:tcW w:type="dxa" w:w="1661"/>
          </w:tcPr>
          <w:p>
            <w:pPr>
              <w:pStyle w:val="null3"/>
            </w:pPr>
            <w:r>
              <w:rPr/>
              <w:t>8.拟派硬件维保工程师：</w:t>
            </w:r>
          </w:p>
        </w:tc>
        <w:tc>
          <w:tcPr>
            <w:tcW w:type="dxa" w:w="2492"/>
          </w:tcPr>
          <w:p>
            <w:pPr>
              <w:pStyle w:val="null3"/>
            </w:pPr>
            <w:r>
              <w:rPr/>
              <w:t>拟派硬件维保工程师：投标人针对本项目拟投入人员具有维保设备原厂培训经历或具备维修能力证明资料的得3分； 评审依据：提供原厂培训证明资料或具备维修能力证明资料，未提供的不得分。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拟投入本项目团队人员的配置情况</w:t>
            </w:r>
          </w:p>
        </w:tc>
      </w:tr>
      <w:tr>
        <w:tc>
          <w:tcPr>
            <w:tcW w:type="dxa" w:w="831"/>
            <w:vMerge/>
          </w:tcPr>
          <w:p/>
        </w:tc>
        <w:tc>
          <w:tcPr>
            <w:tcW w:type="dxa" w:w="1661"/>
          </w:tcPr>
          <w:p>
            <w:pPr>
              <w:pStyle w:val="null3"/>
            </w:pPr>
            <w:r>
              <w:rPr/>
              <w:t>9.拟派软件维保工程师：</w:t>
            </w:r>
          </w:p>
        </w:tc>
        <w:tc>
          <w:tcPr>
            <w:tcW w:type="dxa" w:w="2492"/>
          </w:tcPr>
          <w:p>
            <w:pPr>
              <w:pStyle w:val="null3"/>
            </w:pPr>
            <w:r>
              <w:rPr/>
              <w:t>拟派软件维保工程师：投标人针对本项目拟投入人员具有原厂软件培训经历或具备维修能力证明资料的得3分； 评审依据：提供原厂培训证明资料或具备维修能力证明资料，未提供的不得分。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拟投入本项目团队人员的配置情况</w:t>
            </w:r>
          </w:p>
        </w:tc>
      </w:tr>
      <w:tr>
        <w:tc>
          <w:tcPr>
            <w:tcW w:type="dxa" w:w="831"/>
            <w:vMerge/>
          </w:tcPr>
          <w:p/>
        </w:tc>
        <w:tc>
          <w:tcPr>
            <w:tcW w:type="dxa" w:w="1661"/>
          </w:tcPr>
          <w:p>
            <w:pPr>
              <w:pStyle w:val="null3"/>
            </w:pPr>
            <w:r>
              <w:rPr/>
              <w:t>10.根据投标人拟投入本项目团队人员的配置情况以及岗位职责分工进行评审：</w:t>
            </w:r>
          </w:p>
        </w:tc>
        <w:tc>
          <w:tcPr>
            <w:tcW w:type="dxa" w:w="2492"/>
          </w:tcPr>
          <w:p>
            <w:pPr>
              <w:pStyle w:val="null3"/>
            </w:pPr>
            <w:r>
              <w:rPr/>
              <w:t>投标人拟投入项目组成员的专业搭配合理、人员数量充分，人员职责分工明确，完全能够满足本项目需求的得3.1-5分； 投标人拟投入项目组成员的专业搭配一般、人员数量充分，人员职责分工稍有欠缺，但基本能够满足本项目需求的得1.1-3分； 投标人拟投入项目组成员的专业搭配不匹配、人员数量不充分，人员职责分工不明确，不能满足本项目需求的得0-1分； 供应商未提供的得0分；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拟投入本项目团队人员的配置情况</w:t>
            </w:r>
          </w:p>
        </w:tc>
      </w:tr>
      <w:tr>
        <w:tc>
          <w:tcPr>
            <w:tcW w:type="dxa" w:w="831"/>
            <w:vMerge/>
          </w:tcPr>
          <w:p/>
        </w:tc>
        <w:tc>
          <w:tcPr>
            <w:tcW w:type="dxa" w:w="1661"/>
          </w:tcPr>
          <w:p>
            <w:pPr>
              <w:pStyle w:val="null3"/>
            </w:pPr>
            <w:r>
              <w:rPr/>
              <w:t>11.根据投标人提供定期预防性检查及评估方案进行评审：</w:t>
            </w:r>
          </w:p>
        </w:tc>
        <w:tc>
          <w:tcPr>
            <w:tcW w:type="dxa" w:w="2492"/>
          </w:tcPr>
          <w:p>
            <w:pPr>
              <w:pStyle w:val="null3"/>
            </w:pPr>
            <w:r>
              <w:rPr/>
              <w:t>方案内容完善、科学、合理，内容贴合项目实际情况，完全符合采购人使用要求的的3.1-5分； 方案内容稍有欠缺，内容可行性欠缺，但能够保证采购人使用要求的得1.1-3分。 投标人提供的定期预防性检查方案较混乱，缺项、漏项可行性较差得0-1分； 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定期预防性检查及评估方案</w:t>
            </w:r>
          </w:p>
        </w:tc>
      </w:tr>
      <w:tr>
        <w:tc>
          <w:tcPr>
            <w:tcW w:type="dxa" w:w="831"/>
            <w:vMerge/>
          </w:tcPr>
          <w:p/>
        </w:tc>
        <w:tc>
          <w:tcPr>
            <w:tcW w:type="dxa" w:w="1661"/>
          </w:tcPr>
          <w:p>
            <w:pPr>
              <w:pStyle w:val="null3"/>
            </w:pPr>
            <w:r>
              <w:rPr/>
              <w:t>12.根据投标人提供实施过程中可能出现的突发事件、紧急故障、等方面制定应急方案（投标人在所提供方案中应充分考虑业务系统连续性，对本次项目的技术难点、风险进行分析，解决难题，满足系统要求的应急状况措施、有详细应急管理办法，保证运维服务工作有序推进，对技术难点、风险分析准确）进行评审：</w:t>
            </w:r>
          </w:p>
        </w:tc>
        <w:tc>
          <w:tcPr>
            <w:tcW w:type="dxa" w:w="2492"/>
          </w:tcPr>
          <w:p>
            <w:pPr>
              <w:pStyle w:val="null3"/>
            </w:pPr>
            <w:r>
              <w:rPr/>
              <w:t>应急方案详细可行，内容针对性强，能够确保采购人使用得 3.1-5分； 应急方案相对完整，内容具有一定的针对性，基本能够保证采购人使用得1.1-3分； 应急方案简单粗略，内容表述不具体，无法完全保障采购人使用得0-1分； 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应急方案</w:t>
            </w:r>
          </w:p>
        </w:tc>
      </w:tr>
      <w:tr>
        <w:tc>
          <w:tcPr>
            <w:tcW w:type="dxa" w:w="831"/>
            <w:vMerge/>
          </w:tcPr>
          <w:p/>
        </w:tc>
        <w:tc>
          <w:tcPr>
            <w:tcW w:type="dxa" w:w="1661"/>
          </w:tcPr>
          <w:p>
            <w:pPr>
              <w:pStyle w:val="null3"/>
            </w:pPr>
            <w:r>
              <w:rPr/>
              <w:t>13.根据投标人针对本项目提供的服务质量保证的管理措施方案进行评审：</w:t>
            </w:r>
          </w:p>
        </w:tc>
        <w:tc>
          <w:tcPr>
            <w:tcW w:type="dxa" w:w="2492"/>
          </w:tcPr>
          <w:p>
            <w:pPr>
              <w:pStyle w:val="null3"/>
            </w:pPr>
            <w:r>
              <w:rPr/>
              <w:t>服务质量保证的管理措施方案完整，内容科学合理、满足项目要求，合理性、针对性强得3.1-5分； 服务质量保证的管理措施方案完整，内容基本可行，但合理性、针对性稍有欠缺的得1.1-3分； 服务质量保证的管理措施方案不完整，内容有部分缺漏，合理性、针对性较差的得0-1分； 未提供服务方案得0分。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服务质量保证的管理措施方案</w:t>
            </w:r>
          </w:p>
        </w:tc>
      </w:tr>
      <w:tr>
        <w:tc>
          <w:tcPr>
            <w:tcW w:type="dxa" w:w="831"/>
            <w:vMerge/>
          </w:tcPr>
          <w:p/>
        </w:tc>
        <w:tc>
          <w:tcPr>
            <w:tcW w:type="dxa" w:w="1661"/>
          </w:tcPr>
          <w:p>
            <w:pPr>
              <w:pStyle w:val="null3"/>
            </w:pPr>
            <w:r>
              <w:rPr/>
              <w:t>14.投标人提供的所有维修备件均应符合行业标准且能够与原设备配套兼容，提供承诺函格式自拟，内容齐全的得3分，未提供不得分。</w:t>
            </w:r>
          </w:p>
        </w:tc>
        <w:tc>
          <w:tcPr>
            <w:tcW w:type="dxa" w:w="2492"/>
          </w:tcPr>
          <w:p>
            <w:pPr>
              <w:pStyle w:val="null3"/>
            </w:pPr>
            <w:r>
              <w:rPr/>
              <w:t>投标人提供的所有维修备件均应符合行业标准且能够与原设备配套兼容，提供承诺函格式自拟，内容齐全的得3分，未提供不得分。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与原设备配套兼容的承诺函</w:t>
            </w:r>
          </w:p>
        </w:tc>
      </w:tr>
      <w:tr>
        <w:tc>
          <w:tcPr>
            <w:tcW w:type="dxa" w:w="831"/>
            <w:vMerge/>
          </w:tcPr>
          <w:p/>
        </w:tc>
        <w:tc>
          <w:tcPr>
            <w:tcW w:type="dxa" w:w="1661"/>
          </w:tcPr>
          <w:p>
            <w:pPr>
              <w:pStyle w:val="null3"/>
            </w:pPr>
            <w:r>
              <w:rPr/>
              <w:t>15.投标人针对本项目特点，能够提出有价值的合理化建议进行评审：</w:t>
            </w:r>
          </w:p>
        </w:tc>
        <w:tc>
          <w:tcPr>
            <w:tcW w:type="dxa" w:w="2492"/>
          </w:tcPr>
          <w:p>
            <w:pPr>
              <w:pStyle w:val="null3"/>
            </w:pPr>
            <w:r>
              <w:rPr/>
              <w:t>合理化建议科学、合理，内容具体切实可行，有利于延长设备使用寿命的得2.1-3分； 合理化建议稍有有缺陷，内容简单，但是有利于延长设备使用寿命的得1.1-2分； 合理化建议不科学、不合理，内容简单粗略的得0-1分； 未提供的不得分。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合理化建议</w:t>
            </w:r>
          </w:p>
        </w:tc>
      </w:tr>
      <w:tr>
        <w:tc>
          <w:tcPr>
            <w:tcW w:type="dxa" w:w="831"/>
            <w:vMerge/>
          </w:tcPr>
          <w:p/>
        </w:tc>
        <w:tc>
          <w:tcPr>
            <w:tcW w:type="dxa" w:w="1661"/>
          </w:tcPr>
          <w:p>
            <w:pPr>
              <w:pStyle w:val="null3"/>
            </w:pPr>
            <w:r>
              <w:rPr/>
              <w:t>企业业绩</w:t>
            </w:r>
          </w:p>
        </w:tc>
        <w:tc>
          <w:tcPr>
            <w:tcW w:type="dxa" w:w="2492"/>
          </w:tcPr>
          <w:p>
            <w:pPr>
              <w:pStyle w:val="null3"/>
            </w:pPr>
            <w:r>
              <w:rPr/>
              <w:t>投标人应提供自2021年11月1日以来类似业绩，每提供一项有效业绩证明材料得2分，最高得10分。(注：以合同签订时间为准，投标人应在投标文件中提供业绩合同复印件或扫描件且加盖单位公章。)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企业业绩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投标报价采用综合评分法计算，即满足招标文件要求且经评审的投标报价的算数平均值为评审基准价。投标人的价格分统一按照下列公式计算：投标报价得分=(评审基准价/经评审的投标价)×10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投标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第6章投标文件格式</w:t>
      </w:r>
    </w:p>
    <w:p>
      <w:pPr>
        <w:pStyle w:val="null3"/>
        <w:outlineLvl w:val="2"/>
      </w:pPr>
      <w:r>
        <w:rPr>
          <w:sz w:val="28"/>
          <w:b/>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详见附件：对服务需求整体理解</w:t>
      </w:r>
    </w:p>
    <w:p>
      <w:pPr>
        <w:pStyle w:val="null3"/>
        <w:ind w:firstLine="960"/>
      </w:pPr>
      <w:r>
        <w:rPr/>
        <w:t>详见附件：总体运维服务方案</w:t>
      </w:r>
    </w:p>
    <w:p>
      <w:pPr>
        <w:pStyle w:val="null3"/>
        <w:ind w:firstLine="960"/>
      </w:pPr>
      <w:r>
        <w:rPr/>
        <w:t>详见附件：服务响应时间及应对措施</w:t>
      </w:r>
    </w:p>
    <w:p>
      <w:pPr>
        <w:pStyle w:val="null3"/>
        <w:ind w:firstLine="960"/>
      </w:pPr>
      <w:r>
        <w:rPr/>
        <w:t>详见附件：季度、年度保养承诺函</w:t>
      </w:r>
    </w:p>
    <w:p>
      <w:pPr>
        <w:pStyle w:val="null3"/>
        <w:ind w:firstLine="960"/>
      </w:pPr>
      <w:r>
        <w:rPr/>
        <w:t>详见附件：维修保养制度与操作规范及针对本项目制定的相关措施服务方案</w:t>
      </w:r>
    </w:p>
    <w:p>
      <w:pPr>
        <w:pStyle w:val="null3"/>
        <w:ind w:firstLine="960"/>
      </w:pPr>
      <w:r>
        <w:rPr/>
        <w:t>详见附件：维护保养范围、标准、机器清洁及安全检查服务方案</w:t>
      </w:r>
    </w:p>
    <w:p>
      <w:pPr>
        <w:pStyle w:val="null3"/>
        <w:ind w:firstLine="960"/>
      </w:pPr>
      <w:r>
        <w:rPr/>
        <w:t>详见附件：维保设备清单及备品备件清单</w:t>
      </w:r>
    </w:p>
    <w:p>
      <w:pPr>
        <w:pStyle w:val="null3"/>
        <w:ind w:firstLine="960"/>
      </w:pPr>
      <w:r>
        <w:rPr/>
        <w:t>详见附件：承诺函及备件来源证明资料</w:t>
      </w:r>
    </w:p>
    <w:p>
      <w:pPr>
        <w:pStyle w:val="null3"/>
        <w:ind w:firstLine="960"/>
      </w:pPr>
      <w:r>
        <w:rPr/>
        <w:t>详见附件：拟投入本项目团队人员的配置情况</w:t>
      </w:r>
    </w:p>
    <w:p>
      <w:pPr>
        <w:pStyle w:val="null3"/>
        <w:ind w:firstLine="960"/>
      </w:pPr>
      <w:r>
        <w:rPr/>
        <w:t>详见附件：定期预防性检查及评估方案</w:t>
      </w:r>
    </w:p>
    <w:p>
      <w:pPr>
        <w:pStyle w:val="null3"/>
        <w:ind w:firstLine="960"/>
      </w:pPr>
      <w:r>
        <w:rPr/>
        <w:t>详见附件：应急方案</w:t>
      </w:r>
    </w:p>
    <w:p>
      <w:pPr>
        <w:pStyle w:val="null3"/>
        <w:ind w:firstLine="960"/>
      </w:pPr>
      <w:r>
        <w:rPr/>
        <w:t>详见附件：服务质量保证的管理措施方案</w:t>
      </w:r>
    </w:p>
    <w:p>
      <w:pPr>
        <w:pStyle w:val="null3"/>
        <w:ind w:firstLine="960"/>
      </w:pPr>
      <w:r>
        <w:rPr/>
        <w:t>详见附件：与原设备配套兼容的承诺函</w:t>
      </w:r>
    </w:p>
    <w:p>
      <w:pPr>
        <w:pStyle w:val="null3"/>
        <w:ind w:firstLine="960"/>
      </w:pPr>
      <w:r>
        <w:rPr/>
        <w:t>详见附件：合理化建议</w:t>
      </w:r>
    </w:p>
    <w:p>
      <w:pPr>
        <w:pStyle w:val="null3"/>
        <w:ind w:firstLine="960"/>
      </w:pPr>
      <w:r>
        <w:rPr/>
        <w:t>详见附件：企业业绩</w:t>
      </w:r>
    </w:p>
    <w:p>
      <w:pPr>
        <w:pStyle w:val="null3"/>
        <w:ind w:firstLine="960"/>
      </w:pPr>
      <w:r>
        <w:rPr/>
        <w:t>详见附件：投标人应提供的资格证明材料</w:t>
      </w:r>
    </w:p>
    <w:p>
      <w:pPr>
        <w:pStyle w:val="null3"/>
      </w:pPr>
      <w:r>
        <w:rPr/>
        <w:t xml:space="preserve"> </w:t>
        <w:br/>
        <w:br w:type="page"/>
      </w:r>
    </w:p>
    <w:p>
      <w:pPr>
        <w:pStyle w:val="null3"/>
        <w:jc w:val="center"/>
        <w:outlineLvl w:val="1"/>
      </w:pPr>
      <w:r>
        <w:rPr>
          <w:sz w:val="36"/>
          <w:b/>
        </w:rPr>
        <w:t>第7章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