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AD00F">
      <w:pPr>
        <w:spacing w:line="560" w:lineRule="exac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合同编号：         </w:t>
      </w:r>
    </w:p>
    <w:p w14:paraId="78551E20">
      <w:pPr>
        <w:spacing w:line="240" w:lineRule="auto"/>
        <w:rPr>
          <w:rFonts w:ascii="仿宋" w:hAnsi="仿宋" w:eastAsia="仿宋"/>
          <w:color w:val="auto"/>
          <w:kern w:val="0"/>
          <w:sz w:val="24"/>
          <w:highlight w:val="none"/>
        </w:rPr>
      </w:pPr>
    </w:p>
    <w:p w14:paraId="06775CEA">
      <w:pPr>
        <w:spacing w:line="240" w:lineRule="auto"/>
        <w:rPr>
          <w:rFonts w:ascii="仿宋" w:hAnsi="仿宋" w:eastAsia="仿宋"/>
          <w:color w:val="auto"/>
          <w:kern w:val="0"/>
          <w:sz w:val="24"/>
          <w:highlight w:val="none"/>
        </w:rPr>
      </w:pPr>
    </w:p>
    <w:p w14:paraId="448F0AC2">
      <w:pPr>
        <w:pStyle w:val="4"/>
        <w:rPr>
          <w:rFonts w:hint="eastAsia" w:ascii="仿宋" w:hAnsi="仿宋" w:eastAsia="仿宋"/>
          <w:color w:val="auto"/>
          <w:highlight w:val="none"/>
        </w:rPr>
      </w:pPr>
    </w:p>
    <w:p w14:paraId="0B0E59A0">
      <w:pPr>
        <w:spacing w:after="120" w:line="560" w:lineRule="exact"/>
        <w:jc w:val="center"/>
        <w:rPr>
          <w:rFonts w:hint="eastAsia" w:ascii="仿宋" w:hAnsi="仿宋" w:eastAsia="仿宋"/>
          <w:b/>
          <w:bCs/>
          <w:color w:val="auto"/>
          <w:kern w:val="0"/>
          <w:sz w:val="32"/>
          <w:szCs w:val="32"/>
          <w:highlight w:val="none"/>
          <w:u w:val="single"/>
        </w:rPr>
      </w:pPr>
      <w:r>
        <w:rPr>
          <w:rFonts w:hint="eastAsia" w:ascii="仿宋" w:hAnsi="仿宋" w:eastAsia="仿宋"/>
          <w:b/>
          <w:bCs/>
          <w:color w:val="auto"/>
          <w:kern w:val="0"/>
          <w:sz w:val="36"/>
          <w:szCs w:val="36"/>
          <w:highlight w:val="none"/>
          <w:u w:val="single"/>
          <w:lang w:val="en-US" w:eastAsia="zh-CN"/>
        </w:rPr>
        <w:t xml:space="preserve">                       </w:t>
      </w:r>
      <w:r>
        <w:rPr>
          <w:rFonts w:hint="eastAsia" w:ascii="仿宋" w:hAnsi="仿宋" w:eastAsia="仿宋"/>
          <w:b/>
          <w:bCs/>
          <w:color w:val="auto"/>
          <w:kern w:val="0"/>
          <w:sz w:val="36"/>
          <w:szCs w:val="36"/>
          <w:highlight w:val="none"/>
          <w:u w:val="single"/>
        </w:rPr>
        <w:t>项目</w:t>
      </w:r>
    </w:p>
    <w:p w14:paraId="6DCF62B2">
      <w:pPr>
        <w:spacing w:after="120" w:line="560" w:lineRule="exact"/>
        <w:rPr>
          <w:rFonts w:hint="eastAsia" w:ascii="仿宋" w:hAnsi="仿宋" w:eastAsia="仿宋"/>
          <w:color w:val="auto"/>
          <w:kern w:val="0"/>
          <w:sz w:val="24"/>
          <w:highlight w:val="none"/>
        </w:rPr>
      </w:pPr>
      <w:r>
        <w:rPr>
          <w:rFonts w:ascii="仿宋" w:hAnsi="仿宋" w:eastAsia="仿宋"/>
          <w:color w:val="auto"/>
          <w:kern w:val="0"/>
          <w:sz w:val="24"/>
          <w:highlight w:val="none"/>
        </w:rPr>
        <w:t xml:space="preserve"> </w:t>
      </w:r>
    </w:p>
    <w:p w14:paraId="0369F089">
      <w:pPr>
        <w:spacing w:after="120" w:line="560" w:lineRule="exact"/>
        <w:rPr>
          <w:rFonts w:ascii="仿宋" w:hAnsi="仿宋" w:eastAsia="仿宋"/>
          <w:color w:val="auto"/>
          <w:kern w:val="0"/>
          <w:sz w:val="24"/>
          <w:highlight w:val="none"/>
        </w:rPr>
      </w:pPr>
      <w:r>
        <w:rPr>
          <w:rFonts w:ascii="仿宋" w:hAnsi="仿宋" w:eastAsia="仿宋"/>
          <w:color w:val="auto"/>
          <w:kern w:val="0"/>
          <w:sz w:val="24"/>
          <w:highlight w:val="none"/>
        </w:rPr>
        <w:t xml:space="preserve"> </w:t>
      </w:r>
    </w:p>
    <w:p w14:paraId="42B7F51E">
      <w:pPr>
        <w:spacing w:line="560" w:lineRule="exact"/>
        <w:jc w:val="center"/>
        <w:rPr>
          <w:rFonts w:ascii="仿宋" w:hAnsi="仿宋" w:eastAsia="仿宋"/>
          <w:b/>
          <w:bCs/>
          <w:color w:val="auto"/>
          <w:kern w:val="0"/>
          <w:sz w:val="32"/>
          <w:szCs w:val="32"/>
          <w:highlight w:val="none"/>
        </w:rPr>
      </w:pPr>
    </w:p>
    <w:p w14:paraId="300B1883">
      <w:pPr>
        <w:pStyle w:val="2"/>
        <w:rPr>
          <w:rFonts w:ascii="仿宋" w:hAnsi="仿宋" w:eastAsia="仿宋"/>
          <w:color w:val="auto"/>
          <w:highlight w:val="none"/>
        </w:rPr>
      </w:pPr>
    </w:p>
    <w:p w14:paraId="245689DF">
      <w:pPr>
        <w:spacing w:line="560" w:lineRule="exact"/>
        <w:jc w:val="center"/>
        <w:rPr>
          <w:rFonts w:hint="eastAsia" w:ascii="仿宋" w:hAnsi="仿宋" w:eastAsia="仿宋"/>
          <w:b/>
          <w:bCs/>
          <w:color w:val="auto"/>
          <w:kern w:val="0"/>
          <w:sz w:val="44"/>
          <w:szCs w:val="44"/>
          <w:highlight w:val="none"/>
        </w:rPr>
      </w:pPr>
      <w:r>
        <w:rPr>
          <w:rFonts w:hint="eastAsia" w:ascii="仿宋" w:hAnsi="仿宋" w:eastAsia="仿宋"/>
          <w:b/>
          <w:bCs/>
          <w:color w:val="auto"/>
          <w:kern w:val="0"/>
          <w:sz w:val="44"/>
          <w:szCs w:val="44"/>
          <w:highlight w:val="none"/>
        </w:rPr>
        <w:t xml:space="preserve"> </w:t>
      </w:r>
    </w:p>
    <w:p w14:paraId="2457F203">
      <w:pPr>
        <w:spacing w:line="560" w:lineRule="exact"/>
        <w:jc w:val="center"/>
        <w:rPr>
          <w:rFonts w:hint="eastAsia" w:ascii="仿宋" w:hAnsi="仿宋" w:eastAsia="仿宋"/>
          <w:b/>
          <w:bCs/>
          <w:color w:val="auto"/>
          <w:kern w:val="0"/>
          <w:sz w:val="44"/>
          <w:szCs w:val="44"/>
          <w:highlight w:val="none"/>
        </w:rPr>
      </w:pPr>
      <w:r>
        <w:rPr>
          <w:rFonts w:hint="eastAsia" w:ascii="仿宋" w:hAnsi="仿宋" w:eastAsia="仿宋"/>
          <w:b/>
          <w:bCs/>
          <w:color w:val="auto"/>
          <w:kern w:val="0"/>
          <w:sz w:val="44"/>
          <w:szCs w:val="44"/>
          <w:highlight w:val="none"/>
        </w:rPr>
        <w:t xml:space="preserve"> </w:t>
      </w:r>
    </w:p>
    <w:p w14:paraId="5D74232F">
      <w:pPr>
        <w:spacing w:line="560" w:lineRule="exact"/>
        <w:jc w:val="center"/>
        <w:rPr>
          <w:rFonts w:hint="eastAsia" w:ascii="仿宋" w:hAnsi="仿宋" w:eastAsia="仿宋"/>
          <w:b/>
          <w:bCs/>
          <w:color w:val="auto"/>
          <w:kern w:val="0"/>
          <w:sz w:val="44"/>
          <w:szCs w:val="44"/>
          <w:highlight w:val="none"/>
        </w:rPr>
      </w:pPr>
      <w:r>
        <w:rPr>
          <w:rFonts w:hint="eastAsia" w:ascii="仿宋" w:hAnsi="仿宋" w:eastAsia="仿宋"/>
          <w:b/>
          <w:bCs/>
          <w:color w:val="auto"/>
          <w:kern w:val="0"/>
          <w:sz w:val="44"/>
          <w:szCs w:val="44"/>
          <w:highlight w:val="none"/>
        </w:rPr>
        <w:t>供 货 合 同</w:t>
      </w:r>
    </w:p>
    <w:p w14:paraId="62FA19F4">
      <w:pPr>
        <w:spacing w:line="560" w:lineRule="exact"/>
        <w:jc w:val="center"/>
        <w:rPr>
          <w:rFonts w:hint="eastAsia" w:ascii="仿宋" w:hAnsi="仿宋" w:eastAsia="仿宋"/>
          <w:color w:val="auto"/>
          <w:kern w:val="0"/>
          <w:sz w:val="32"/>
          <w:szCs w:val="32"/>
          <w:highlight w:val="none"/>
        </w:rPr>
      </w:pPr>
      <w:r>
        <w:rPr>
          <w:rFonts w:hint="eastAsia" w:ascii="仿宋" w:hAnsi="仿宋" w:eastAsia="仿宋"/>
          <w:color w:val="auto"/>
          <w:kern w:val="0"/>
          <w:sz w:val="32"/>
          <w:szCs w:val="32"/>
          <w:highlight w:val="none"/>
        </w:rPr>
        <w:t xml:space="preserve"> </w:t>
      </w:r>
    </w:p>
    <w:p w14:paraId="7A039DEF">
      <w:pPr>
        <w:spacing w:line="560" w:lineRule="exact"/>
        <w:rPr>
          <w:rFonts w:hint="eastAsia" w:ascii="仿宋" w:hAnsi="仿宋" w:eastAsia="仿宋"/>
          <w:color w:val="auto"/>
          <w:kern w:val="0"/>
          <w:sz w:val="28"/>
          <w:szCs w:val="28"/>
          <w:highlight w:val="none"/>
        </w:rPr>
      </w:pPr>
      <w:r>
        <w:rPr>
          <w:rFonts w:hint="eastAsia" w:ascii="仿宋" w:hAnsi="仿宋" w:eastAsia="仿宋"/>
          <w:color w:val="auto"/>
          <w:kern w:val="0"/>
          <w:sz w:val="30"/>
          <w:szCs w:val="30"/>
          <w:highlight w:val="none"/>
        </w:rPr>
        <w:t xml:space="preserve"> </w:t>
      </w:r>
    </w:p>
    <w:p w14:paraId="653AD7E1">
      <w:pPr>
        <w:spacing w:line="560" w:lineRule="exact"/>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w:t>
      </w:r>
    </w:p>
    <w:p w14:paraId="5B5B688C">
      <w:pPr>
        <w:spacing w:line="560" w:lineRule="exact"/>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 xml:space="preserve"> </w:t>
      </w:r>
    </w:p>
    <w:p w14:paraId="64528A04">
      <w:pPr>
        <w:spacing w:line="560" w:lineRule="exact"/>
        <w:jc w:val="center"/>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 xml:space="preserve"> </w:t>
      </w:r>
    </w:p>
    <w:p w14:paraId="34C1191E">
      <w:pPr>
        <w:spacing w:line="560" w:lineRule="exact"/>
        <w:ind w:firstLine="964" w:firstLineChars="4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甲  方：（根据实际情况填写）</w:t>
      </w:r>
    </w:p>
    <w:p w14:paraId="620B81ED">
      <w:pPr>
        <w:spacing w:line="560" w:lineRule="exact"/>
        <w:ind w:firstLine="964" w:firstLineChars="4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 xml:space="preserve"> </w:t>
      </w:r>
    </w:p>
    <w:p w14:paraId="63349490">
      <w:pPr>
        <w:spacing w:line="560" w:lineRule="exact"/>
        <w:ind w:firstLine="964" w:firstLineChars="4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乙  方：</w:t>
      </w:r>
      <w:bookmarkStart w:id="0" w:name="_GoBack"/>
      <w:bookmarkEnd w:id="0"/>
      <w:r>
        <w:rPr>
          <w:rFonts w:hint="eastAsia" w:ascii="仿宋" w:hAnsi="仿宋" w:eastAsia="仿宋"/>
          <w:b/>
          <w:bCs/>
          <w:color w:val="auto"/>
          <w:kern w:val="0"/>
          <w:sz w:val="24"/>
          <w:highlight w:val="none"/>
          <w:lang w:eastAsia="zh-CN"/>
        </w:rPr>
        <w:t>（</w:t>
      </w:r>
      <w:r>
        <w:rPr>
          <w:rFonts w:hint="eastAsia" w:ascii="仿宋" w:hAnsi="仿宋" w:eastAsia="仿宋"/>
          <w:b/>
          <w:bCs/>
          <w:color w:val="auto"/>
          <w:kern w:val="0"/>
          <w:sz w:val="24"/>
          <w:highlight w:val="none"/>
        </w:rPr>
        <w:t>根据实际情况填写</w:t>
      </w:r>
      <w:r>
        <w:rPr>
          <w:rFonts w:hint="eastAsia" w:ascii="仿宋" w:hAnsi="仿宋" w:eastAsia="仿宋"/>
          <w:b/>
          <w:bCs/>
          <w:color w:val="auto"/>
          <w:kern w:val="0"/>
          <w:sz w:val="24"/>
          <w:highlight w:val="none"/>
          <w:lang w:eastAsia="zh-CN"/>
        </w:rPr>
        <w:t>）</w:t>
      </w:r>
    </w:p>
    <w:p w14:paraId="1686B6B1">
      <w:pPr>
        <w:spacing w:line="560" w:lineRule="exact"/>
        <w:rPr>
          <w:rFonts w:hint="eastAsia" w:ascii="仿宋" w:hAnsi="仿宋" w:eastAsia="仿宋"/>
          <w:color w:val="auto"/>
          <w:kern w:val="0"/>
          <w:sz w:val="24"/>
          <w:highlight w:val="none"/>
        </w:rPr>
      </w:pPr>
      <w:r>
        <w:rPr>
          <w:rFonts w:ascii="仿宋" w:hAnsi="仿宋" w:eastAsia="仿宋"/>
          <w:color w:val="auto"/>
          <w:kern w:val="0"/>
          <w:sz w:val="24"/>
          <w:highlight w:val="none"/>
        </w:rPr>
        <w:t xml:space="preserve"> </w:t>
      </w:r>
    </w:p>
    <w:p w14:paraId="7F181586">
      <w:pPr>
        <w:spacing w:line="560" w:lineRule="exact"/>
        <w:rPr>
          <w:rFonts w:ascii="仿宋" w:hAnsi="仿宋" w:eastAsia="仿宋"/>
          <w:b/>
          <w:bCs/>
          <w:color w:val="auto"/>
          <w:kern w:val="0"/>
          <w:sz w:val="32"/>
          <w:szCs w:val="32"/>
          <w:highlight w:val="none"/>
        </w:rPr>
      </w:pPr>
      <w:r>
        <w:rPr>
          <w:rFonts w:hint="eastAsia" w:ascii="仿宋" w:hAnsi="仿宋" w:eastAsia="仿宋"/>
          <w:color w:val="auto"/>
          <w:kern w:val="0"/>
          <w:sz w:val="24"/>
          <w:highlight w:val="none"/>
        </w:rPr>
        <w:t xml:space="preserve">                         二〇二</w:t>
      </w:r>
      <w:r>
        <w:rPr>
          <w:rFonts w:hint="eastAsia" w:ascii="仿宋" w:hAnsi="仿宋" w:eastAsia="仿宋"/>
          <w:color w:val="auto"/>
          <w:kern w:val="0"/>
          <w:sz w:val="24"/>
          <w:highlight w:val="none"/>
          <w:lang w:eastAsia="zh-CN"/>
        </w:rPr>
        <w:t>四</w:t>
      </w:r>
      <w:r>
        <w:rPr>
          <w:rFonts w:hint="eastAsia" w:ascii="仿宋" w:hAnsi="仿宋" w:eastAsia="仿宋"/>
          <w:color w:val="auto"/>
          <w:kern w:val="0"/>
          <w:sz w:val="24"/>
          <w:highlight w:val="none"/>
        </w:rPr>
        <w:t xml:space="preserve">年 </w:t>
      </w:r>
      <w:r>
        <w:rPr>
          <w:rFonts w:ascii="仿宋" w:hAnsi="仿宋" w:eastAsia="仿宋"/>
          <w:color w:val="auto"/>
          <w:kern w:val="0"/>
          <w:sz w:val="24"/>
          <w:highlight w:val="none"/>
        </w:rPr>
        <w:t xml:space="preserve">  </w:t>
      </w:r>
      <w:r>
        <w:rPr>
          <w:rFonts w:hint="eastAsia" w:ascii="仿宋" w:hAnsi="仿宋" w:eastAsia="仿宋"/>
          <w:color w:val="auto"/>
          <w:kern w:val="0"/>
          <w:sz w:val="24"/>
          <w:highlight w:val="none"/>
        </w:rPr>
        <w:t>月</w:t>
      </w:r>
    </w:p>
    <w:p w14:paraId="5E909AB0">
      <w:pPr>
        <w:spacing w:line="560" w:lineRule="exact"/>
        <w:jc w:val="center"/>
        <w:rPr>
          <w:rFonts w:hint="eastAsia" w:ascii="仿宋" w:hAnsi="仿宋" w:eastAsia="仿宋"/>
          <w:b/>
          <w:bCs/>
          <w:color w:val="auto"/>
          <w:kern w:val="0"/>
          <w:sz w:val="32"/>
          <w:szCs w:val="32"/>
          <w:highlight w:val="none"/>
        </w:rPr>
      </w:pPr>
      <w:r>
        <w:rPr>
          <w:rFonts w:ascii="仿宋" w:hAnsi="仿宋" w:eastAsia="仿宋"/>
          <w:b/>
          <w:bCs/>
          <w:color w:val="auto"/>
          <w:kern w:val="0"/>
          <w:sz w:val="32"/>
          <w:szCs w:val="32"/>
          <w:highlight w:val="none"/>
        </w:rPr>
        <w:br w:type="page"/>
      </w:r>
      <w:r>
        <w:rPr>
          <w:rFonts w:hint="eastAsia" w:ascii="仿宋" w:hAnsi="仿宋" w:eastAsia="仿宋"/>
          <w:b/>
          <w:bCs/>
          <w:color w:val="auto"/>
          <w:kern w:val="0"/>
          <w:sz w:val="32"/>
          <w:szCs w:val="32"/>
          <w:highlight w:val="none"/>
        </w:rPr>
        <w:t>供 货 合 同</w:t>
      </w:r>
    </w:p>
    <w:p w14:paraId="5ED792C4">
      <w:pPr>
        <w:spacing w:line="560" w:lineRule="exact"/>
        <w:ind w:firstLine="480" w:firstLineChars="200"/>
        <w:jc w:val="left"/>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w:t>
      </w:r>
    </w:p>
    <w:p w14:paraId="00B275F2">
      <w:pPr>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lang w:val="en-US" w:eastAsia="zh-CN"/>
        </w:rPr>
        <w:t xml:space="preserve">                  （项目名称）</w:t>
      </w:r>
      <w:r>
        <w:rPr>
          <w:rFonts w:hint="eastAsia" w:ascii="仿宋" w:hAnsi="仿宋" w:eastAsia="仿宋" w:cs="仿宋"/>
          <w:color w:val="auto"/>
          <w:kern w:val="0"/>
          <w:sz w:val="24"/>
          <w:szCs w:val="24"/>
          <w:highlight w:val="none"/>
        </w:rPr>
        <w:t>，在财政部</w:t>
      </w:r>
      <w:r>
        <w:rPr>
          <w:rFonts w:hint="eastAsia" w:ascii="仿宋" w:hAnsi="仿宋" w:eastAsia="仿宋" w:cs="仿宋"/>
          <w:color w:val="auto"/>
          <w:kern w:val="0"/>
          <w:sz w:val="24"/>
          <w:szCs w:val="24"/>
          <w:highlight w:val="none"/>
          <w:lang w:eastAsia="zh-CN"/>
        </w:rPr>
        <w:t>门</w:t>
      </w:r>
      <w:r>
        <w:rPr>
          <w:rFonts w:hint="eastAsia" w:ascii="仿宋" w:hAnsi="仿宋" w:eastAsia="仿宋" w:cs="仿宋"/>
          <w:color w:val="auto"/>
          <w:kern w:val="0"/>
          <w:sz w:val="24"/>
          <w:szCs w:val="24"/>
          <w:highlight w:val="none"/>
        </w:rPr>
        <w:t>监督下</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依法通过</w:t>
      </w:r>
      <w:r>
        <w:rPr>
          <w:rFonts w:hint="eastAsia" w:ascii="仿宋" w:hAnsi="仿宋" w:eastAsia="仿宋" w:cs="仿宋"/>
          <w:color w:val="auto"/>
          <w:kern w:val="0"/>
          <w:sz w:val="24"/>
          <w:szCs w:val="24"/>
          <w:highlight w:val="none"/>
        </w:rPr>
        <w:t>公开招标，选定</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为本项目的中标单位。</w:t>
      </w:r>
      <w:r>
        <w:rPr>
          <w:rFonts w:hint="eastAsia" w:ascii="仿宋" w:hAnsi="仿宋" w:eastAsia="仿宋" w:cs="仿宋"/>
          <w:color w:val="auto"/>
          <w:sz w:val="24"/>
          <w:szCs w:val="24"/>
          <w:highlight w:val="none"/>
        </w:rPr>
        <w:t>依据《中华人民共和国民法典》、《中华人民共和国政府采购法》以及招标文件、中标供应商投标文件、中标通知书，经甲、乙双方协商，达成如下条款。</w:t>
      </w:r>
    </w:p>
    <w:p w14:paraId="2F35A59B">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一、合同内容</w:t>
      </w:r>
    </w:p>
    <w:p w14:paraId="3D49D4EE">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l</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乙方负责按合同中确定的产品品牌、规格、型号、数量、原产地及配套内容进行供货；按时运到甲方指定的交货地点，负责产品到货后安装调试工作，达到正常使用；负责为甲方培训操作、维护人员，指导操作使用维修保养，做好售后服务工作；</w:t>
      </w:r>
    </w:p>
    <w:p w14:paraId="4EBCD603">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招标文件、乙方的投标文件及评标过程中的澄清、承诺内容均作为本合同的组成部分，具有同等法律效力。</w:t>
      </w:r>
    </w:p>
    <w:p w14:paraId="46CA3085">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二、合同价款及质保期</w:t>
      </w:r>
    </w:p>
    <w:p w14:paraId="57E402C4">
      <w:pPr>
        <w:spacing w:line="560" w:lineRule="exact"/>
        <w:ind w:firstLine="480" w:firstLineChars="200"/>
        <w:rPr>
          <w:rFonts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中标产品品牌、规格、产地、数量、单价及合同总价：     单位：元</w:t>
      </w:r>
    </w:p>
    <w:tbl>
      <w:tblPr>
        <w:tblStyle w:val="5"/>
        <w:tblW w:w="917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552"/>
        <w:gridCol w:w="1559"/>
        <w:gridCol w:w="1559"/>
        <w:gridCol w:w="851"/>
        <w:gridCol w:w="992"/>
        <w:gridCol w:w="965"/>
      </w:tblGrid>
      <w:tr w14:paraId="5AB484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694" w:type="dxa"/>
            <w:tcBorders>
              <w:tl2br w:val="nil"/>
              <w:tr2bl w:val="nil"/>
            </w:tcBorders>
            <w:vAlign w:val="center"/>
          </w:tcPr>
          <w:p w14:paraId="1CC88190">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2552" w:type="dxa"/>
            <w:tcBorders>
              <w:tl2br w:val="nil"/>
              <w:tr2bl w:val="nil"/>
            </w:tcBorders>
            <w:vAlign w:val="center"/>
          </w:tcPr>
          <w:p w14:paraId="1F30C53C">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货物名称</w:t>
            </w:r>
          </w:p>
        </w:tc>
        <w:tc>
          <w:tcPr>
            <w:tcW w:w="1559" w:type="dxa"/>
            <w:tcBorders>
              <w:tl2br w:val="nil"/>
              <w:tr2bl w:val="nil"/>
            </w:tcBorders>
            <w:vAlign w:val="center"/>
          </w:tcPr>
          <w:p w14:paraId="64879A02">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原产地及厂商名称（品牌）</w:t>
            </w:r>
          </w:p>
        </w:tc>
        <w:tc>
          <w:tcPr>
            <w:tcW w:w="1559" w:type="dxa"/>
            <w:tcBorders>
              <w:tl2br w:val="nil"/>
              <w:tr2bl w:val="nil"/>
            </w:tcBorders>
            <w:vAlign w:val="center"/>
          </w:tcPr>
          <w:p w14:paraId="7DF5D346">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规格型号</w:t>
            </w:r>
          </w:p>
        </w:tc>
        <w:tc>
          <w:tcPr>
            <w:tcW w:w="851" w:type="dxa"/>
            <w:tcBorders>
              <w:tl2br w:val="nil"/>
              <w:tr2bl w:val="nil"/>
            </w:tcBorders>
            <w:vAlign w:val="center"/>
          </w:tcPr>
          <w:p w14:paraId="13DC0B94">
            <w:pPr>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数量</w:t>
            </w:r>
          </w:p>
        </w:tc>
        <w:tc>
          <w:tcPr>
            <w:tcW w:w="992" w:type="dxa"/>
            <w:tcBorders>
              <w:tl2br w:val="nil"/>
              <w:tr2bl w:val="nil"/>
            </w:tcBorders>
            <w:vAlign w:val="center"/>
          </w:tcPr>
          <w:p w14:paraId="08964492">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单价</w:t>
            </w:r>
          </w:p>
        </w:tc>
        <w:tc>
          <w:tcPr>
            <w:tcW w:w="965" w:type="dxa"/>
            <w:tcBorders>
              <w:tl2br w:val="nil"/>
              <w:tr2bl w:val="nil"/>
            </w:tcBorders>
            <w:vAlign w:val="center"/>
          </w:tcPr>
          <w:p w14:paraId="6C5C6F21">
            <w:pPr>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质保期</w:t>
            </w:r>
          </w:p>
        </w:tc>
      </w:tr>
      <w:tr w14:paraId="03DAAF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694" w:type="dxa"/>
            <w:tcBorders>
              <w:tl2br w:val="nil"/>
              <w:tr2bl w:val="nil"/>
            </w:tcBorders>
            <w:vAlign w:val="center"/>
          </w:tcPr>
          <w:p w14:paraId="1EE93251">
            <w:pPr>
              <w:snapToGrid w:val="0"/>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2552" w:type="dxa"/>
            <w:tcBorders>
              <w:tl2br w:val="nil"/>
              <w:tr2bl w:val="nil"/>
            </w:tcBorders>
            <w:vAlign w:val="center"/>
          </w:tcPr>
          <w:p w14:paraId="02DD3E5E">
            <w:pPr>
              <w:spacing w:line="360" w:lineRule="auto"/>
              <w:rPr>
                <w:rFonts w:hint="eastAsia" w:ascii="仿宋" w:hAnsi="仿宋" w:eastAsia="仿宋" w:cs="仿宋"/>
                <w:color w:val="auto"/>
                <w:sz w:val="21"/>
                <w:szCs w:val="21"/>
                <w:highlight w:val="none"/>
              </w:rPr>
            </w:pPr>
          </w:p>
        </w:tc>
        <w:tc>
          <w:tcPr>
            <w:tcW w:w="1559" w:type="dxa"/>
            <w:tcBorders>
              <w:tl2br w:val="nil"/>
              <w:tr2bl w:val="nil"/>
            </w:tcBorders>
            <w:vAlign w:val="center"/>
          </w:tcPr>
          <w:p w14:paraId="7499BA73">
            <w:pPr>
              <w:spacing w:line="360" w:lineRule="auto"/>
              <w:jc w:val="center"/>
              <w:rPr>
                <w:rFonts w:hint="eastAsia" w:ascii="仿宋" w:hAnsi="仿宋" w:eastAsia="仿宋" w:cs="仿宋"/>
                <w:color w:val="auto"/>
                <w:sz w:val="21"/>
                <w:szCs w:val="21"/>
                <w:highlight w:val="none"/>
              </w:rPr>
            </w:pPr>
          </w:p>
        </w:tc>
        <w:tc>
          <w:tcPr>
            <w:tcW w:w="1559" w:type="dxa"/>
            <w:tcBorders>
              <w:tl2br w:val="nil"/>
              <w:tr2bl w:val="nil"/>
            </w:tcBorders>
            <w:vAlign w:val="center"/>
          </w:tcPr>
          <w:p w14:paraId="5E748052">
            <w:pPr>
              <w:spacing w:line="360" w:lineRule="auto"/>
              <w:jc w:val="center"/>
              <w:rPr>
                <w:rFonts w:hint="eastAsia" w:ascii="仿宋" w:hAnsi="仿宋" w:eastAsia="仿宋" w:cs="仿宋"/>
                <w:color w:val="auto"/>
                <w:sz w:val="21"/>
                <w:szCs w:val="21"/>
                <w:highlight w:val="none"/>
              </w:rPr>
            </w:pPr>
          </w:p>
        </w:tc>
        <w:tc>
          <w:tcPr>
            <w:tcW w:w="851" w:type="dxa"/>
            <w:tcBorders>
              <w:tl2br w:val="nil"/>
              <w:tr2bl w:val="nil"/>
            </w:tcBorders>
            <w:vAlign w:val="center"/>
          </w:tcPr>
          <w:p w14:paraId="1635CE04">
            <w:pPr>
              <w:spacing w:line="360" w:lineRule="auto"/>
              <w:jc w:val="center"/>
              <w:rPr>
                <w:rFonts w:hint="eastAsia" w:ascii="仿宋" w:hAnsi="仿宋" w:eastAsia="仿宋" w:cs="仿宋"/>
                <w:color w:val="auto"/>
                <w:sz w:val="21"/>
                <w:szCs w:val="21"/>
                <w:highlight w:val="none"/>
              </w:rPr>
            </w:pPr>
          </w:p>
        </w:tc>
        <w:tc>
          <w:tcPr>
            <w:tcW w:w="992" w:type="dxa"/>
            <w:tcBorders>
              <w:tl2br w:val="nil"/>
              <w:tr2bl w:val="nil"/>
            </w:tcBorders>
            <w:vAlign w:val="center"/>
          </w:tcPr>
          <w:p w14:paraId="39816E86">
            <w:pPr>
              <w:spacing w:line="360" w:lineRule="auto"/>
              <w:jc w:val="center"/>
              <w:rPr>
                <w:rFonts w:hint="eastAsia" w:ascii="仿宋" w:hAnsi="仿宋" w:eastAsia="仿宋" w:cs="仿宋"/>
                <w:color w:val="auto"/>
                <w:sz w:val="21"/>
                <w:szCs w:val="21"/>
                <w:highlight w:val="none"/>
              </w:rPr>
            </w:pPr>
          </w:p>
        </w:tc>
        <w:tc>
          <w:tcPr>
            <w:tcW w:w="965" w:type="dxa"/>
            <w:tcBorders>
              <w:tl2br w:val="nil"/>
              <w:tr2bl w:val="nil"/>
            </w:tcBorders>
            <w:vAlign w:val="center"/>
          </w:tcPr>
          <w:p w14:paraId="3317A39B">
            <w:pPr>
              <w:spacing w:line="360" w:lineRule="auto"/>
              <w:jc w:val="center"/>
              <w:rPr>
                <w:rFonts w:hint="eastAsia" w:ascii="仿宋" w:hAnsi="仿宋" w:eastAsia="仿宋" w:cs="仿宋"/>
                <w:color w:val="auto"/>
                <w:sz w:val="21"/>
                <w:szCs w:val="21"/>
                <w:highlight w:val="none"/>
              </w:rPr>
            </w:pPr>
          </w:p>
        </w:tc>
      </w:tr>
      <w:tr w14:paraId="190DA6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14:paraId="1F79670A">
            <w:pPr>
              <w:snapToGrid w:val="0"/>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2552" w:type="dxa"/>
            <w:tcBorders>
              <w:tl2br w:val="nil"/>
              <w:tr2bl w:val="nil"/>
            </w:tcBorders>
            <w:vAlign w:val="center"/>
          </w:tcPr>
          <w:p w14:paraId="619CE3DC">
            <w:pPr>
              <w:spacing w:line="360" w:lineRule="auto"/>
              <w:jc w:val="center"/>
              <w:rPr>
                <w:rFonts w:hint="eastAsia" w:ascii="仿宋" w:hAnsi="仿宋" w:eastAsia="仿宋" w:cs="仿宋"/>
                <w:color w:val="auto"/>
                <w:sz w:val="21"/>
                <w:szCs w:val="21"/>
                <w:highlight w:val="none"/>
              </w:rPr>
            </w:pPr>
          </w:p>
        </w:tc>
        <w:tc>
          <w:tcPr>
            <w:tcW w:w="1559" w:type="dxa"/>
            <w:tcBorders>
              <w:tl2br w:val="nil"/>
              <w:tr2bl w:val="nil"/>
            </w:tcBorders>
            <w:vAlign w:val="center"/>
          </w:tcPr>
          <w:p w14:paraId="261FF9EE">
            <w:pPr>
              <w:spacing w:line="360" w:lineRule="auto"/>
              <w:jc w:val="center"/>
              <w:rPr>
                <w:rFonts w:hint="eastAsia" w:ascii="仿宋" w:hAnsi="仿宋" w:eastAsia="仿宋" w:cs="仿宋"/>
                <w:color w:val="auto"/>
                <w:sz w:val="21"/>
                <w:szCs w:val="21"/>
                <w:highlight w:val="none"/>
              </w:rPr>
            </w:pPr>
          </w:p>
        </w:tc>
        <w:tc>
          <w:tcPr>
            <w:tcW w:w="1559" w:type="dxa"/>
            <w:tcBorders>
              <w:tl2br w:val="nil"/>
              <w:tr2bl w:val="nil"/>
            </w:tcBorders>
            <w:vAlign w:val="center"/>
          </w:tcPr>
          <w:p w14:paraId="3A337056">
            <w:pPr>
              <w:spacing w:line="360" w:lineRule="auto"/>
              <w:jc w:val="center"/>
              <w:rPr>
                <w:rFonts w:hint="eastAsia" w:ascii="仿宋" w:hAnsi="仿宋" w:eastAsia="仿宋" w:cs="仿宋"/>
                <w:color w:val="auto"/>
                <w:sz w:val="21"/>
                <w:szCs w:val="21"/>
                <w:highlight w:val="none"/>
              </w:rPr>
            </w:pPr>
          </w:p>
        </w:tc>
        <w:tc>
          <w:tcPr>
            <w:tcW w:w="851" w:type="dxa"/>
            <w:tcBorders>
              <w:tl2br w:val="nil"/>
              <w:tr2bl w:val="nil"/>
            </w:tcBorders>
            <w:vAlign w:val="center"/>
          </w:tcPr>
          <w:p w14:paraId="58E76E14">
            <w:pPr>
              <w:spacing w:line="360" w:lineRule="auto"/>
              <w:jc w:val="center"/>
              <w:rPr>
                <w:rFonts w:hint="eastAsia" w:ascii="仿宋" w:hAnsi="仿宋" w:eastAsia="仿宋" w:cs="仿宋"/>
                <w:color w:val="auto"/>
                <w:sz w:val="21"/>
                <w:szCs w:val="21"/>
                <w:highlight w:val="none"/>
              </w:rPr>
            </w:pPr>
          </w:p>
        </w:tc>
        <w:tc>
          <w:tcPr>
            <w:tcW w:w="992" w:type="dxa"/>
            <w:tcBorders>
              <w:tl2br w:val="nil"/>
              <w:tr2bl w:val="nil"/>
            </w:tcBorders>
            <w:vAlign w:val="center"/>
          </w:tcPr>
          <w:p w14:paraId="759EBA2F">
            <w:pPr>
              <w:spacing w:line="360" w:lineRule="auto"/>
              <w:jc w:val="center"/>
              <w:rPr>
                <w:rFonts w:hint="eastAsia" w:ascii="仿宋" w:hAnsi="仿宋" w:eastAsia="仿宋" w:cs="仿宋"/>
                <w:color w:val="auto"/>
                <w:sz w:val="21"/>
                <w:szCs w:val="21"/>
                <w:highlight w:val="none"/>
              </w:rPr>
            </w:pPr>
          </w:p>
        </w:tc>
        <w:tc>
          <w:tcPr>
            <w:tcW w:w="965" w:type="dxa"/>
            <w:tcBorders>
              <w:tl2br w:val="nil"/>
              <w:tr2bl w:val="nil"/>
            </w:tcBorders>
            <w:vAlign w:val="center"/>
          </w:tcPr>
          <w:p w14:paraId="5445B549">
            <w:pPr>
              <w:spacing w:line="360" w:lineRule="auto"/>
              <w:jc w:val="center"/>
              <w:rPr>
                <w:rFonts w:hint="eastAsia" w:ascii="仿宋" w:hAnsi="仿宋" w:eastAsia="仿宋" w:cs="仿宋"/>
                <w:color w:val="auto"/>
                <w:sz w:val="21"/>
                <w:szCs w:val="21"/>
                <w:highlight w:val="none"/>
              </w:rPr>
            </w:pPr>
          </w:p>
        </w:tc>
      </w:tr>
      <w:tr w14:paraId="00CC73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14:paraId="0796E07B">
            <w:pPr>
              <w:snapToGrid w:val="0"/>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2552" w:type="dxa"/>
            <w:tcBorders>
              <w:tl2br w:val="nil"/>
              <w:tr2bl w:val="nil"/>
            </w:tcBorders>
            <w:vAlign w:val="center"/>
          </w:tcPr>
          <w:p w14:paraId="7CEE6E21">
            <w:pPr>
              <w:spacing w:line="360" w:lineRule="auto"/>
              <w:jc w:val="center"/>
              <w:rPr>
                <w:rFonts w:hint="eastAsia" w:ascii="仿宋" w:hAnsi="仿宋" w:eastAsia="仿宋" w:cs="仿宋"/>
                <w:color w:val="auto"/>
                <w:sz w:val="21"/>
                <w:szCs w:val="21"/>
                <w:highlight w:val="none"/>
              </w:rPr>
            </w:pPr>
          </w:p>
        </w:tc>
        <w:tc>
          <w:tcPr>
            <w:tcW w:w="1559" w:type="dxa"/>
            <w:tcBorders>
              <w:tl2br w:val="nil"/>
              <w:tr2bl w:val="nil"/>
            </w:tcBorders>
            <w:vAlign w:val="center"/>
          </w:tcPr>
          <w:p w14:paraId="162FCEC8">
            <w:pPr>
              <w:spacing w:line="360" w:lineRule="auto"/>
              <w:jc w:val="center"/>
              <w:rPr>
                <w:rFonts w:hint="eastAsia" w:ascii="仿宋" w:hAnsi="仿宋" w:eastAsia="仿宋" w:cs="仿宋"/>
                <w:color w:val="auto"/>
                <w:sz w:val="21"/>
                <w:szCs w:val="21"/>
                <w:highlight w:val="none"/>
              </w:rPr>
            </w:pPr>
          </w:p>
        </w:tc>
        <w:tc>
          <w:tcPr>
            <w:tcW w:w="1559" w:type="dxa"/>
            <w:tcBorders>
              <w:tl2br w:val="nil"/>
              <w:tr2bl w:val="nil"/>
            </w:tcBorders>
            <w:vAlign w:val="center"/>
          </w:tcPr>
          <w:p w14:paraId="579AB3FC">
            <w:pPr>
              <w:spacing w:line="360" w:lineRule="auto"/>
              <w:jc w:val="center"/>
              <w:rPr>
                <w:rFonts w:hint="eastAsia" w:ascii="仿宋" w:hAnsi="仿宋" w:eastAsia="仿宋" w:cs="仿宋"/>
                <w:color w:val="auto"/>
                <w:sz w:val="21"/>
                <w:szCs w:val="21"/>
                <w:highlight w:val="none"/>
              </w:rPr>
            </w:pPr>
          </w:p>
        </w:tc>
        <w:tc>
          <w:tcPr>
            <w:tcW w:w="851" w:type="dxa"/>
            <w:tcBorders>
              <w:tl2br w:val="nil"/>
              <w:tr2bl w:val="nil"/>
            </w:tcBorders>
            <w:vAlign w:val="center"/>
          </w:tcPr>
          <w:p w14:paraId="75FB0AB5">
            <w:pPr>
              <w:spacing w:line="360" w:lineRule="auto"/>
              <w:jc w:val="center"/>
              <w:rPr>
                <w:rFonts w:hint="eastAsia" w:ascii="仿宋" w:hAnsi="仿宋" w:eastAsia="仿宋" w:cs="仿宋"/>
                <w:color w:val="auto"/>
                <w:sz w:val="21"/>
                <w:szCs w:val="21"/>
                <w:highlight w:val="none"/>
              </w:rPr>
            </w:pPr>
          </w:p>
        </w:tc>
        <w:tc>
          <w:tcPr>
            <w:tcW w:w="992" w:type="dxa"/>
            <w:tcBorders>
              <w:tl2br w:val="nil"/>
              <w:tr2bl w:val="nil"/>
            </w:tcBorders>
            <w:vAlign w:val="center"/>
          </w:tcPr>
          <w:p w14:paraId="62318123">
            <w:pPr>
              <w:spacing w:line="360" w:lineRule="auto"/>
              <w:jc w:val="center"/>
              <w:rPr>
                <w:rFonts w:hint="eastAsia" w:ascii="仿宋" w:hAnsi="仿宋" w:eastAsia="仿宋" w:cs="仿宋"/>
                <w:color w:val="auto"/>
                <w:sz w:val="21"/>
                <w:szCs w:val="21"/>
                <w:highlight w:val="none"/>
              </w:rPr>
            </w:pPr>
          </w:p>
        </w:tc>
        <w:tc>
          <w:tcPr>
            <w:tcW w:w="965" w:type="dxa"/>
            <w:tcBorders>
              <w:tl2br w:val="nil"/>
              <w:tr2bl w:val="nil"/>
            </w:tcBorders>
            <w:vAlign w:val="center"/>
          </w:tcPr>
          <w:p w14:paraId="462C679B">
            <w:pPr>
              <w:spacing w:line="360" w:lineRule="auto"/>
              <w:jc w:val="center"/>
              <w:rPr>
                <w:rFonts w:hint="eastAsia" w:ascii="仿宋" w:hAnsi="仿宋" w:eastAsia="仿宋" w:cs="仿宋"/>
                <w:color w:val="auto"/>
                <w:sz w:val="21"/>
                <w:szCs w:val="21"/>
                <w:highlight w:val="none"/>
              </w:rPr>
            </w:pPr>
          </w:p>
        </w:tc>
      </w:tr>
      <w:tr w14:paraId="1B6E87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694" w:type="dxa"/>
            <w:tcBorders>
              <w:tl2br w:val="nil"/>
              <w:tr2bl w:val="nil"/>
            </w:tcBorders>
            <w:vAlign w:val="center"/>
          </w:tcPr>
          <w:p w14:paraId="1E3B4EC1">
            <w:pPr>
              <w:snapToGrid w:val="0"/>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合计</w:t>
            </w:r>
          </w:p>
        </w:tc>
        <w:tc>
          <w:tcPr>
            <w:tcW w:w="8478" w:type="dxa"/>
            <w:gridSpan w:val="6"/>
            <w:tcBorders>
              <w:tl2br w:val="nil"/>
              <w:tr2bl w:val="nil"/>
            </w:tcBorders>
            <w:vAlign w:val="center"/>
          </w:tcPr>
          <w:p w14:paraId="1EFDB272">
            <w:pPr>
              <w:spacing w:line="360" w:lineRule="auto"/>
              <w:jc w:val="center"/>
              <w:rPr>
                <w:rFonts w:hint="eastAsia" w:ascii="仿宋" w:hAnsi="仿宋" w:eastAsia="仿宋" w:cs="仿宋"/>
                <w:color w:val="auto"/>
                <w:sz w:val="21"/>
                <w:szCs w:val="21"/>
                <w:highlight w:val="none"/>
              </w:rPr>
            </w:pPr>
          </w:p>
        </w:tc>
      </w:tr>
    </w:tbl>
    <w:p w14:paraId="6FDFED62">
      <w:pPr>
        <w:spacing w:line="360" w:lineRule="auto"/>
        <w:ind w:firstLine="480" w:firstLineChars="200"/>
        <w:rPr>
          <w:rFonts w:ascii="仿宋" w:hAnsi="仿宋" w:eastAsia="仿宋"/>
          <w:color w:val="auto"/>
          <w:kern w:val="0"/>
          <w:sz w:val="24"/>
          <w:highlight w:val="none"/>
        </w:rPr>
      </w:pPr>
    </w:p>
    <w:p w14:paraId="02D4CA50">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合同总价包括：产品供应费、运输费（含保险费）、安装调试费、检测验收费、培训费、售后服务费、税费及其它全部费用。</w:t>
      </w:r>
    </w:p>
    <w:p w14:paraId="3A9D85ED">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3</w:t>
      </w:r>
      <w:r>
        <w:rPr>
          <w:rFonts w:hint="eastAsia" w:ascii="仿宋" w:hAnsi="仿宋" w:eastAsia="仿宋"/>
          <w:color w:val="auto"/>
          <w:kern w:val="0"/>
          <w:sz w:val="24"/>
          <w:highlight w:val="none"/>
          <w:lang w:val="en-US" w:eastAsia="zh-CN"/>
        </w:rPr>
        <w:t>.本合同一旦签订生效后，</w:t>
      </w:r>
      <w:r>
        <w:rPr>
          <w:rFonts w:hint="eastAsia" w:ascii="仿宋" w:hAnsi="仿宋" w:eastAsia="仿宋"/>
          <w:color w:val="auto"/>
          <w:kern w:val="0"/>
          <w:sz w:val="24"/>
          <w:highlight w:val="none"/>
        </w:rPr>
        <w:t>货物单价</w:t>
      </w:r>
      <w:r>
        <w:rPr>
          <w:rFonts w:hint="eastAsia" w:ascii="仿宋" w:hAnsi="仿宋" w:eastAsia="仿宋"/>
          <w:color w:val="auto"/>
          <w:kern w:val="0"/>
          <w:sz w:val="24"/>
          <w:highlight w:val="none"/>
          <w:lang w:val="en-US" w:eastAsia="zh-CN"/>
        </w:rPr>
        <w:t>在合同履行期限内，该货物单价</w:t>
      </w:r>
      <w:r>
        <w:rPr>
          <w:rFonts w:hint="eastAsia" w:ascii="仿宋" w:hAnsi="仿宋" w:eastAsia="仿宋"/>
          <w:color w:val="auto"/>
          <w:kern w:val="0"/>
          <w:sz w:val="24"/>
          <w:highlight w:val="none"/>
        </w:rPr>
        <w:t>不受市场价格变化因素的影响。在项目实施中产生的其它费用，均由乙方</w:t>
      </w:r>
      <w:r>
        <w:rPr>
          <w:rFonts w:hint="eastAsia" w:ascii="仿宋" w:hAnsi="仿宋" w:eastAsia="仿宋"/>
          <w:color w:val="auto"/>
          <w:kern w:val="0"/>
          <w:sz w:val="24"/>
          <w:highlight w:val="none"/>
          <w:lang w:val="en-US" w:eastAsia="zh-CN"/>
        </w:rPr>
        <w:t>承担</w:t>
      </w:r>
      <w:r>
        <w:rPr>
          <w:rFonts w:hint="eastAsia" w:ascii="仿宋" w:hAnsi="仿宋" w:eastAsia="仿宋"/>
          <w:color w:val="auto"/>
          <w:kern w:val="0"/>
          <w:sz w:val="24"/>
          <w:highlight w:val="none"/>
        </w:rPr>
        <w:t>，甲方不再支付任何费用。</w:t>
      </w:r>
    </w:p>
    <w:p w14:paraId="30E061AE">
      <w:pPr>
        <w:spacing w:after="120" w:line="360" w:lineRule="auto"/>
        <w:ind w:firstLine="480" w:firstLineChars="200"/>
        <w:rPr>
          <w:rFonts w:hint="eastAsia" w:ascii="仿宋" w:hAnsi="仿宋" w:eastAsia="仿宋"/>
          <w:color w:val="auto"/>
          <w:kern w:val="0"/>
          <w:sz w:val="24"/>
          <w:highlight w:val="none"/>
          <w:u w:val="single"/>
        </w:rPr>
      </w:pPr>
      <w:r>
        <w:rPr>
          <w:rFonts w:hint="eastAsia" w:ascii="仿宋" w:hAnsi="仿宋" w:eastAsia="仿宋"/>
          <w:color w:val="auto"/>
          <w:kern w:val="0"/>
          <w:sz w:val="24"/>
          <w:highlight w:val="none"/>
        </w:rPr>
        <w:t>4</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乙方开户行：</w:t>
      </w:r>
    </w:p>
    <w:p w14:paraId="0E2EE700">
      <w:pPr>
        <w:spacing w:after="120"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乙方公司名称及账号：</w:t>
      </w:r>
    </w:p>
    <w:p w14:paraId="4729B8A4">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三、款项结算</w:t>
      </w:r>
    </w:p>
    <w:p w14:paraId="42AF74E5">
      <w:pPr>
        <w:kinsoku w:val="0"/>
        <w:spacing w:line="360" w:lineRule="auto"/>
        <w:ind w:left="0" w:leftChars="0" w:firstLine="480" w:firstLineChars="200"/>
        <w:rPr>
          <w:rFonts w:hint="eastAsia" w:ascii="仿宋" w:hAnsi="仿宋" w:eastAsia="仿宋"/>
          <w:color w:val="auto"/>
          <w:kern w:val="0"/>
          <w:sz w:val="24"/>
          <w:highlight w:val="none"/>
          <w:lang w:val="en-US" w:eastAsia="zh-CN"/>
        </w:rPr>
      </w:pPr>
      <w:r>
        <w:rPr>
          <w:rFonts w:hint="eastAsia" w:ascii="仿宋" w:hAnsi="仿宋" w:eastAsia="仿宋"/>
          <w:color w:val="auto"/>
          <w:kern w:val="0"/>
          <w:sz w:val="24"/>
          <w:highlight w:val="none"/>
        </w:rPr>
        <w:t>1.合同签订后</w:t>
      </w:r>
      <w:r>
        <w:rPr>
          <w:rFonts w:hint="eastAsia" w:ascii="仿宋" w:hAnsi="仿宋" w:eastAsia="仿宋"/>
          <w:color w:val="auto"/>
          <w:kern w:val="0"/>
          <w:sz w:val="24"/>
          <w:highlight w:val="none"/>
          <w:lang w:eastAsia="zh-CN"/>
        </w:rPr>
        <w:t>，</w:t>
      </w:r>
      <w:r>
        <w:rPr>
          <w:rFonts w:hint="eastAsia" w:ascii="仿宋" w:hAnsi="仿宋" w:eastAsia="仿宋"/>
          <w:color w:val="auto"/>
          <w:kern w:val="0"/>
          <w:sz w:val="24"/>
          <w:highlight w:val="none"/>
          <w:lang w:val="en-US" w:eastAsia="zh-CN"/>
        </w:rPr>
        <w:t>自符合合同约定的</w:t>
      </w:r>
      <w:r>
        <w:rPr>
          <w:rFonts w:hint="eastAsia" w:ascii="仿宋" w:hAnsi="仿宋" w:eastAsia="仿宋"/>
          <w:color w:val="auto"/>
          <w:kern w:val="0"/>
          <w:sz w:val="24"/>
          <w:highlight w:val="none"/>
        </w:rPr>
        <w:t>付款条件起30日内</w:t>
      </w:r>
      <w:r>
        <w:rPr>
          <w:rFonts w:hint="eastAsia" w:ascii="仿宋" w:hAnsi="仿宋" w:eastAsia="仿宋"/>
          <w:color w:val="auto"/>
          <w:kern w:val="0"/>
          <w:sz w:val="24"/>
          <w:highlight w:val="none"/>
          <w:lang w:eastAsia="zh-CN"/>
        </w:rPr>
        <w:t>，</w:t>
      </w:r>
      <w:r>
        <w:rPr>
          <w:rFonts w:hint="eastAsia" w:ascii="仿宋" w:hAnsi="仿宋" w:eastAsia="仿宋"/>
          <w:color w:val="auto"/>
          <w:kern w:val="0"/>
          <w:sz w:val="24"/>
          <w:highlight w:val="none"/>
        </w:rPr>
        <w:t>甲方向乙方支付合同总金额40.00%</w:t>
      </w:r>
      <w:r>
        <w:rPr>
          <w:rFonts w:hint="eastAsia" w:ascii="仿宋" w:hAnsi="仿宋" w:eastAsia="仿宋"/>
          <w:color w:val="auto"/>
          <w:kern w:val="0"/>
          <w:sz w:val="24"/>
          <w:highlight w:val="none"/>
          <w:lang w:val="en-US" w:eastAsia="zh-CN"/>
        </w:rPr>
        <w:t>的款项作为预付款，大写：</w:t>
      </w:r>
      <w:r>
        <w:rPr>
          <w:rFonts w:hint="eastAsia" w:ascii="仿宋" w:hAnsi="仿宋" w:eastAsia="仿宋" w:cs="Times New Roman"/>
          <w:color w:val="auto"/>
          <w:kern w:val="0"/>
          <w:sz w:val="24"/>
          <w:szCs w:val="24"/>
          <w:highlight w:val="none"/>
          <w:u w:val="single"/>
          <w:lang w:val="en-US" w:eastAsia="zh-CN"/>
        </w:rPr>
        <w:t xml:space="preserve">      </w:t>
      </w:r>
      <w:r>
        <w:rPr>
          <w:rFonts w:hint="eastAsia" w:ascii="仿宋" w:hAnsi="仿宋" w:eastAsia="仿宋" w:cs="Times New Roman"/>
          <w:color w:val="auto"/>
          <w:kern w:val="0"/>
          <w:sz w:val="24"/>
          <w:szCs w:val="24"/>
          <w:highlight w:val="none"/>
          <w:u w:val="none"/>
          <w:lang w:val="en-US" w:eastAsia="zh-CN"/>
        </w:rPr>
        <w:t xml:space="preserve"> 元</w:t>
      </w:r>
      <w:r>
        <w:rPr>
          <w:rFonts w:hint="eastAsia" w:ascii="仿宋" w:hAnsi="仿宋" w:eastAsia="仿宋"/>
          <w:color w:val="auto"/>
          <w:kern w:val="0"/>
          <w:sz w:val="24"/>
          <w:highlight w:val="none"/>
          <w:lang w:val="en-US" w:eastAsia="zh-CN"/>
        </w:rPr>
        <w:t>（小写：</w:t>
      </w:r>
      <w:r>
        <w:rPr>
          <w:rFonts w:hint="eastAsia" w:ascii="仿宋" w:hAnsi="仿宋" w:eastAsia="仿宋"/>
          <w:color w:val="auto"/>
          <w:kern w:val="0"/>
          <w:sz w:val="24"/>
          <w:highlight w:val="none"/>
          <w:u w:val="single"/>
          <w:lang w:val="en-US" w:eastAsia="zh-CN"/>
        </w:rPr>
        <w:t xml:space="preserve"> </w:t>
      </w:r>
      <w:r>
        <w:rPr>
          <w:rFonts w:hint="eastAsia" w:ascii="仿宋" w:hAnsi="仿宋" w:eastAsia="仿宋" w:cs="Times New Roman"/>
          <w:color w:val="auto"/>
          <w:kern w:val="0"/>
          <w:sz w:val="24"/>
          <w:szCs w:val="24"/>
          <w:highlight w:val="none"/>
          <w:u w:val="single"/>
          <w:lang w:val="en-US" w:eastAsia="zh-CN"/>
        </w:rPr>
        <w:t xml:space="preserve">      </w:t>
      </w:r>
      <w:r>
        <w:rPr>
          <w:rFonts w:hint="eastAsia" w:ascii="仿宋" w:hAnsi="仿宋" w:eastAsia="仿宋"/>
          <w:color w:val="auto"/>
          <w:kern w:val="0"/>
          <w:sz w:val="24"/>
          <w:highlight w:val="none"/>
          <w:lang w:val="en-US" w:eastAsia="zh-CN"/>
        </w:rPr>
        <w:t>元）。</w:t>
      </w:r>
    </w:p>
    <w:p w14:paraId="0923079A">
      <w:pPr>
        <w:kinsoku w:val="0"/>
        <w:spacing w:line="360" w:lineRule="auto"/>
        <w:ind w:firstLine="480" w:firstLineChars="200"/>
        <w:rPr>
          <w:rFonts w:hint="eastAsia" w:ascii="仿宋" w:hAnsi="仿宋" w:eastAsia="仿宋"/>
          <w:color w:val="auto"/>
          <w:kern w:val="0"/>
          <w:sz w:val="24"/>
          <w:highlight w:val="none"/>
          <w:lang w:val="en-US" w:eastAsia="zh-CN"/>
        </w:rPr>
      </w:pPr>
      <w:r>
        <w:rPr>
          <w:rFonts w:hint="eastAsia" w:ascii="仿宋" w:hAnsi="仿宋" w:eastAsia="仿宋"/>
          <w:color w:val="auto"/>
          <w:kern w:val="0"/>
          <w:sz w:val="24"/>
          <w:highlight w:val="none"/>
        </w:rPr>
        <w:t>2.货物安装调试完成并</w:t>
      </w:r>
      <w:r>
        <w:rPr>
          <w:rFonts w:hint="eastAsia" w:ascii="仿宋" w:hAnsi="仿宋" w:eastAsia="仿宋"/>
          <w:color w:val="auto"/>
          <w:kern w:val="0"/>
          <w:sz w:val="24"/>
          <w:highlight w:val="none"/>
          <w:lang w:val="en-US" w:eastAsia="zh-CN"/>
        </w:rPr>
        <w:t>经甲方</w:t>
      </w:r>
      <w:r>
        <w:rPr>
          <w:rFonts w:hint="eastAsia" w:ascii="仿宋" w:hAnsi="仿宋" w:eastAsia="仿宋"/>
          <w:color w:val="auto"/>
          <w:kern w:val="0"/>
          <w:sz w:val="24"/>
          <w:highlight w:val="none"/>
        </w:rPr>
        <w:t>验收合格</w:t>
      </w:r>
      <w:r>
        <w:rPr>
          <w:rFonts w:hint="eastAsia" w:ascii="仿宋" w:hAnsi="仿宋" w:eastAsia="仿宋"/>
          <w:color w:val="auto"/>
          <w:kern w:val="0"/>
          <w:sz w:val="24"/>
          <w:highlight w:val="none"/>
          <w:lang w:val="en-US" w:eastAsia="zh-CN"/>
        </w:rPr>
        <w:t>后</w:t>
      </w:r>
      <w:r>
        <w:rPr>
          <w:rFonts w:hint="eastAsia" w:ascii="仿宋" w:hAnsi="仿宋" w:eastAsia="仿宋"/>
          <w:color w:val="auto"/>
          <w:kern w:val="0"/>
          <w:sz w:val="24"/>
          <w:highlight w:val="none"/>
        </w:rPr>
        <w:t>，</w:t>
      </w:r>
      <w:r>
        <w:rPr>
          <w:rFonts w:hint="eastAsia" w:ascii="仿宋" w:hAnsi="仿宋" w:eastAsia="仿宋"/>
          <w:color w:val="auto"/>
          <w:kern w:val="0"/>
          <w:sz w:val="24"/>
          <w:highlight w:val="none"/>
          <w:lang w:val="en-US" w:eastAsia="zh-CN"/>
        </w:rPr>
        <w:t>自符合合同约定</w:t>
      </w:r>
      <w:r>
        <w:rPr>
          <w:rFonts w:hint="eastAsia" w:ascii="仿宋" w:hAnsi="仿宋" w:eastAsia="仿宋"/>
          <w:color w:val="auto"/>
          <w:kern w:val="0"/>
          <w:sz w:val="24"/>
          <w:highlight w:val="none"/>
        </w:rPr>
        <w:t>付款条件起</w:t>
      </w:r>
      <w:r>
        <w:rPr>
          <w:rFonts w:hint="eastAsia" w:ascii="仿宋" w:hAnsi="仿宋" w:eastAsia="仿宋"/>
          <w:color w:val="auto"/>
          <w:kern w:val="0"/>
          <w:sz w:val="24"/>
          <w:highlight w:val="none"/>
          <w:lang w:val="en-US" w:eastAsia="zh-CN"/>
        </w:rPr>
        <w:t>90</w:t>
      </w:r>
      <w:r>
        <w:rPr>
          <w:rFonts w:hint="eastAsia" w:ascii="仿宋" w:hAnsi="仿宋" w:eastAsia="仿宋"/>
          <w:color w:val="auto"/>
          <w:kern w:val="0"/>
          <w:sz w:val="24"/>
          <w:highlight w:val="none"/>
        </w:rPr>
        <w:t>日内，支付合同</w:t>
      </w:r>
      <w:r>
        <w:rPr>
          <w:rFonts w:hint="eastAsia" w:ascii="仿宋" w:hAnsi="仿宋" w:eastAsia="仿宋"/>
          <w:color w:val="auto"/>
          <w:kern w:val="0"/>
          <w:sz w:val="24"/>
          <w:highlight w:val="none"/>
          <w:lang w:val="en-US" w:eastAsia="zh-CN"/>
        </w:rPr>
        <w:t>剩余价款，即合同</w:t>
      </w:r>
      <w:r>
        <w:rPr>
          <w:rFonts w:hint="eastAsia" w:ascii="仿宋" w:hAnsi="仿宋" w:eastAsia="仿宋"/>
          <w:color w:val="auto"/>
          <w:kern w:val="0"/>
          <w:sz w:val="24"/>
          <w:highlight w:val="none"/>
        </w:rPr>
        <w:t>总金额的60.00%</w:t>
      </w:r>
      <w:r>
        <w:rPr>
          <w:rFonts w:hint="eastAsia" w:ascii="仿宋" w:hAnsi="仿宋" w:eastAsia="仿宋"/>
          <w:color w:val="auto"/>
          <w:kern w:val="0"/>
          <w:sz w:val="24"/>
          <w:highlight w:val="none"/>
          <w:lang w:eastAsia="zh-CN"/>
        </w:rPr>
        <w:t>，</w:t>
      </w:r>
      <w:r>
        <w:rPr>
          <w:rFonts w:hint="eastAsia" w:ascii="仿宋" w:hAnsi="仿宋" w:eastAsia="仿宋"/>
          <w:color w:val="auto"/>
          <w:kern w:val="0"/>
          <w:sz w:val="24"/>
          <w:highlight w:val="none"/>
          <w:lang w:val="en-US" w:eastAsia="zh-CN"/>
        </w:rPr>
        <w:t>大写：</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元</w:t>
      </w:r>
      <w:r>
        <w:rPr>
          <w:rFonts w:hint="eastAsia" w:ascii="仿宋" w:hAnsi="仿宋" w:eastAsia="仿宋"/>
          <w:color w:val="auto"/>
          <w:kern w:val="0"/>
          <w:sz w:val="24"/>
          <w:highlight w:val="none"/>
          <w:lang w:val="en-US" w:eastAsia="zh-CN"/>
        </w:rPr>
        <w:t xml:space="preserve">（小写：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olor w:val="auto"/>
          <w:kern w:val="0"/>
          <w:sz w:val="24"/>
          <w:highlight w:val="none"/>
          <w:lang w:val="en-US" w:eastAsia="zh-CN"/>
        </w:rPr>
        <w:t>元）；其中合同价款的20.</w:t>
      </w:r>
      <w:r>
        <w:rPr>
          <w:rFonts w:hint="eastAsia" w:ascii="仿宋" w:hAnsi="仿宋" w:eastAsia="仿宋"/>
          <w:color w:val="auto"/>
          <w:kern w:val="0"/>
          <w:sz w:val="24"/>
          <w:highlight w:val="none"/>
        </w:rPr>
        <w:t>00%</w:t>
      </w:r>
      <w:r>
        <w:rPr>
          <w:rFonts w:hint="eastAsia" w:ascii="仿宋" w:hAnsi="仿宋" w:eastAsia="仿宋"/>
          <w:color w:val="auto"/>
          <w:kern w:val="0"/>
          <w:sz w:val="24"/>
          <w:highlight w:val="none"/>
          <w:lang w:val="en-US" w:eastAsia="zh-CN"/>
        </w:rPr>
        <w:t>市级配套资金由甲方、相关市级应急管理部门、乙方三方签订合同约定支付。</w:t>
      </w:r>
    </w:p>
    <w:p w14:paraId="6EB3CE8E">
      <w:pPr>
        <w:kinsoku w:val="0"/>
        <w:spacing w:line="360" w:lineRule="auto"/>
        <w:ind w:firstLine="480" w:firstLineChars="200"/>
        <w:rPr>
          <w:rFonts w:hint="eastAsia" w:ascii="仿宋" w:hAnsi="仿宋" w:eastAsia="仿宋"/>
          <w:color w:val="auto"/>
          <w:kern w:val="0"/>
          <w:sz w:val="24"/>
          <w:highlight w:val="none"/>
          <w:lang w:eastAsia="zh-CN"/>
        </w:rPr>
      </w:pPr>
      <w:r>
        <w:rPr>
          <w:rFonts w:hint="eastAsia" w:ascii="仿宋" w:hAnsi="仿宋" w:eastAsia="仿宋"/>
          <w:color w:val="auto"/>
          <w:kern w:val="0"/>
          <w:sz w:val="24"/>
          <w:highlight w:val="none"/>
          <w:lang w:eastAsia="zh-CN"/>
        </w:rPr>
        <w:t>3.乙方应于甲方每次付款前向甲方开具等额发票，其中80%由乙方开具给甲方，剩余20%由乙方开具给相关市级应急管理部门。因乙方迟延开票，甲方有权拒不付款且不承担任何责任。</w:t>
      </w:r>
    </w:p>
    <w:p w14:paraId="138C3059">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lang w:eastAsia="zh-CN"/>
        </w:rPr>
        <w:t>四、</w:t>
      </w:r>
      <w:r>
        <w:rPr>
          <w:rFonts w:hint="eastAsia" w:ascii="仿宋" w:hAnsi="仿宋" w:eastAsia="仿宋"/>
          <w:b/>
          <w:bCs/>
          <w:color w:val="auto"/>
          <w:kern w:val="0"/>
          <w:sz w:val="24"/>
          <w:highlight w:val="none"/>
        </w:rPr>
        <w:t>履约保证金</w:t>
      </w:r>
    </w:p>
    <w:p w14:paraId="26A0F47B">
      <w:pPr>
        <w:pStyle w:val="7"/>
        <w:spacing w:line="360" w:lineRule="auto"/>
        <w:ind w:firstLine="480" w:firstLineChars="200"/>
        <w:jc w:val="both"/>
        <w:rPr>
          <w:rFonts w:hint="eastAsia" w:ascii="仿宋" w:hAnsi="仿宋" w:eastAsia="仿宋"/>
          <w:color w:val="auto"/>
          <w:sz w:val="24"/>
          <w:highlight w:val="none"/>
          <w:lang w:val="en-US" w:eastAsia="zh-CN"/>
        </w:rPr>
      </w:pPr>
      <w:r>
        <w:rPr>
          <w:rFonts w:hint="eastAsia" w:ascii="仿宋" w:hAnsi="仿宋" w:eastAsia="仿宋"/>
          <w:color w:val="auto"/>
          <w:kern w:val="0"/>
          <w:sz w:val="24"/>
          <w:highlight w:val="none"/>
        </w:rPr>
        <w:t>乙方在与甲方签订合同前，</w:t>
      </w:r>
      <w:r>
        <w:rPr>
          <w:rFonts w:hint="eastAsia" w:ascii="仿宋" w:hAnsi="仿宋" w:eastAsia="仿宋"/>
          <w:color w:val="auto"/>
          <w:kern w:val="0"/>
          <w:sz w:val="24"/>
          <w:highlight w:val="none"/>
          <w:lang w:val="en-US" w:eastAsia="zh-CN"/>
        </w:rPr>
        <w:t>乙方向甲方</w:t>
      </w:r>
      <w:r>
        <w:rPr>
          <w:rFonts w:hint="eastAsia" w:ascii="仿宋" w:hAnsi="仿宋" w:eastAsia="仿宋"/>
          <w:color w:val="auto"/>
          <w:kern w:val="0"/>
          <w:sz w:val="24"/>
          <w:highlight w:val="none"/>
        </w:rPr>
        <w:t>须缴纳履约保证金</w:t>
      </w:r>
      <w:r>
        <w:rPr>
          <w:rFonts w:hint="eastAsia" w:ascii="仿宋" w:hAnsi="仿宋" w:eastAsia="仿宋"/>
          <w:color w:val="auto"/>
          <w:kern w:val="0"/>
          <w:sz w:val="24"/>
          <w:highlight w:val="none"/>
          <w:lang w:eastAsia="zh-CN"/>
        </w:rPr>
        <w:t>，</w:t>
      </w:r>
      <w:r>
        <w:rPr>
          <w:rFonts w:hint="eastAsia" w:ascii="仿宋" w:hAnsi="仿宋" w:eastAsia="仿宋"/>
          <w:color w:val="auto"/>
          <w:kern w:val="0"/>
          <w:sz w:val="24"/>
          <w:highlight w:val="none"/>
        </w:rPr>
        <w:t>履约保证金的金额为供货合同</w:t>
      </w:r>
      <w:r>
        <w:rPr>
          <w:rFonts w:hint="eastAsia" w:ascii="仿宋" w:hAnsi="仿宋" w:eastAsia="仿宋"/>
          <w:color w:val="auto"/>
          <w:kern w:val="0"/>
          <w:sz w:val="24"/>
          <w:highlight w:val="none"/>
          <w:lang w:val="en-US" w:eastAsia="zh-CN"/>
        </w:rPr>
        <w:t>价款</w:t>
      </w:r>
      <w:r>
        <w:rPr>
          <w:rFonts w:hint="eastAsia" w:ascii="仿宋" w:hAnsi="仿宋" w:eastAsia="仿宋"/>
          <w:color w:val="auto"/>
          <w:kern w:val="0"/>
          <w:sz w:val="24"/>
          <w:highlight w:val="none"/>
        </w:rPr>
        <w:t>的</w:t>
      </w:r>
      <w:r>
        <w:rPr>
          <w:rFonts w:hint="eastAsia" w:ascii="仿宋" w:hAnsi="仿宋" w:eastAsia="仿宋"/>
          <w:color w:val="auto"/>
          <w:kern w:val="0"/>
          <w:sz w:val="24"/>
          <w:highlight w:val="none"/>
          <w:lang w:val="en-US" w:eastAsia="zh-CN"/>
        </w:rPr>
        <w:t>10</w:t>
      </w:r>
      <w:r>
        <w:rPr>
          <w:rFonts w:hint="eastAsia" w:ascii="仿宋" w:hAnsi="仿宋" w:eastAsia="仿宋"/>
          <w:color w:val="auto"/>
          <w:kern w:val="0"/>
          <w:sz w:val="24"/>
          <w:highlight w:val="none"/>
        </w:rPr>
        <w:t>%</w:t>
      </w:r>
      <w:r>
        <w:rPr>
          <w:rFonts w:hint="eastAsia" w:ascii="仿宋" w:hAnsi="仿宋" w:eastAsia="仿宋"/>
          <w:color w:val="auto"/>
          <w:sz w:val="24"/>
          <w:highlight w:val="none"/>
          <w:lang w:eastAsia="zh-CN"/>
        </w:rPr>
        <w:t>。</w:t>
      </w:r>
    </w:p>
    <w:p w14:paraId="6175C6AF">
      <w:pPr>
        <w:pStyle w:val="7"/>
        <w:spacing w:line="360" w:lineRule="auto"/>
        <w:ind w:firstLine="480" w:firstLineChars="200"/>
        <w:jc w:val="both"/>
        <w:rPr>
          <w:rFonts w:hint="eastAsia" w:ascii="仿宋" w:hAnsi="仿宋" w:eastAsia="仿宋"/>
          <w:color w:val="auto"/>
          <w:kern w:val="0"/>
          <w:sz w:val="24"/>
          <w:highlight w:val="none"/>
          <w:lang w:eastAsia="zh-CN"/>
        </w:rPr>
      </w:pPr>
      <w:r>
        <w:rPr>
          <w:rFonts w:hint="eastAsia" w:ascii="仿宋" w:hAnsi="仿宋" w:eastAsia="仿宋"/>
          <w:color w:val="auto"/>
          <w:sz w:val="24"/>
          <w:highlight w:val="none"/>
          <w:lang w:eastAsia="zh-CN"/>
        </w:rPr>
        <w:t>缴纳形式：合同签订前乙方提供基本户的开户行保函或转账形式缴纳。</w:t>
      </w:r>
    </w:p>
    <w:p w14:paraId="42E573F6">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lang w:eastAsia="zh-CN"/>
        </w:rPr>
        <w:t>五</w:t>
      </w:r>
      <w:r>
        <w:rPr>
          <w:rFonts w:hint="eastAsia" w:ascii="仿宋" w:hAnsi="仿宋" w:eastAsia="仿宋"/>
          <w:b/>
          <w:bCs/>
          <w:color w:val="auto"/>
          <w:kern w:val="0"/>
          <w:sz w:val="24"/>
          <w:highlight w:val="none"/>
        </w:rPr>
        <w:t>、双方的权利和义务</w:t>
      </w:r>
    </w:p>
    <w:p w14:paraId="5B91F605">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甲方责任</w:t>
      </w:r>
    </w:p>
    <w:p w14:paraId="480C3A61">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425883C1">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乙方责任</w:t>
      </w:r>
    </w:p>
    <w:p w14:paraId="70676DBB">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和外观照片。提供零配件供应周期、工时费等服务标准。</w:t>
      </w:r>
    </w:p>
    <w:p w14:paraId="5A422AEC">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lang w:eastAsia="zh-CN"/>
        </w:rPr>
        <w:t>六</w:t>
      </w:r>
      <w:r>
        <w:rPr>
          <w:rFonts w:hint="eastAsia" w:ascii="仿宋" w:hAnsi="仿宋" w:eastAsia="仿宋"/>
          <w:b/>
          <w:bCs/>
          <w:color w:val="auto"/>
          <w:kern w:val="0"/>
          <w:sz w:val="24"/>
          <w:highlight w:val="none"/>
        </w:rPr>
        <w:t>、交货条件：</w:t>
      </w:r>
    </w:p>
    <w:p w14:paraId="5D94F5A1">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 xml:space="preserve">交货地点:甲方指定地点。  </w:t>
      </w:r>
    </w:p>
    <w:p w14:paraId="29676EEE">
      <w:pPr>
        <w:spacing w:line="360" w:lineRule="auto"/>
        <w:ind w:firstLine="360" w:firstLineChars="150"/>
        <w:rPr>
          <w:rFonts w:hint="eastAsia" w:ascii="仿宋" w:hAnsi="仿宋" w:eastAsia="仿宋"/>
          <w:color w:val="auto"/>
          <w:kern w:val="0"/>
          <w:sz w:val="24"/>
          <w:highlight w:val="none"/>
        </w:rPr>
      </w:pPr>
      <w:r>
        <w:rPr>
          <w:rFonts w:hint="eastAsia" w:ascii="仿宋" w:hAnsi="仿宋" w:eastAsia="仿宋"/>
          <w:color w:val="auto"/>
          <w:kern w:val="0"/>
          <w:sz w:val="24"/>
          <w:highlight w:val="none"/>
        </w:rPr>
        <w:t>（1）乙方必须派</w:t>
      </w:r>
      <w:r>
        <w:rPr>
          <w:rFonts w:hint="eastAsia" w:ascii="仿宋" w:hAnsi="仿宋" w:eastAsia="仿宋"/>
          <w:color w:val="auto"/>
          <w:kern w:val="0"/>
          <w:sz w:val="24"/>
          <w:highlight w:val="none"/>
          <w:lang w:val="en-US" w:eastAsia="zh-CN"/>
        </w:rPr>
        <w:t>专</w:t>
      </w:r>
      <w:r>
        <w:rPr>
          <w:rFonts w:hint="eastAsia" w:ascii="仿宋" w:hAnsi="仿宋" w:eastAsia="仿宋"/>
          <w:color w:val="auto"/>
          <w:kern w:val="0"/>
          <w:sz w:val="24"/>
          <w:highlight w:val="none"/>
        </w:rPr>
        <w:t>人送货</w:t>
      </w:r>
      <w:r>
        <w:rPr>
          <w:rFonts w:hint="eastAsia" w:ascii="仿宋" w:hAnsi="仿宋" w:eastAsia="仿宋"/>
          <w:color w:val="auto"/>
          <w:kern w:val="0"/>
          <w:sz w:val="24"/>
          <w:highlight w:val="none"/>
          <w:lang w:eastAsia="zh-CN"/>
        </w:rPr>
        <w:t>，</w:t>
      </w:r>
      <w:r>
        <w:rPr>
          <w:rFonts w:hint="eastAsia" w:ascii="仿宋" w:hAnsi="仿宋" w:eastAsia="仿宋"/>
          <w:color w:val="auto"/>
          <w:kern w:val="0"/>
          <w:sz w:val="24"/>
          <w:highlight w:val="none"/>
          <w:lang w:val="en-US" w:eastAsia="zh-CN"/>
        </w:rPr>
        <w:t>配合</w:t>
      </w:r>
      <w:r>
        <w:rPr>
          <w:rFonts w:hint="eastAsia" w:ascii="仿宋" w:hAnsi="仿宋" w:eastAsia="仿宋"/>
          <w:color w:val="auto"/>
          <w:kern w:val="0"/>
          <w:sz w:val="24"/>
          <w:highlight w:val="none"/>
        </w:rPr>
        <w:t>清点、移交、</w:t>
      </w:r>
      <w:r>
        <w:rPr>
          <w:rFonts w:hint="eastAsia" w:ascii="仿宋" w:hAnsi="仿宋" w:eastAsia="仿宋"/>
          <w:color w:val="auto"/>
          <w:kern w:val="0"/>
          <w:sz w:val="24"/>
          <w:highlight w:val="none"/>
          <w:lang w:val="en-US" w:eastAsia="zh-CN"/>
        </w:rPr>
        <w:t>进行调试、</w:t>
      </w:r>
      <w:r>
        <w:rPr>
          <w:rFonts w:hint="eastAsia" w:ascii="仿宋" w:hAnsi="仿宋" w:eastAsia="仿宋"/>
          <w:color w:val="auto"/>
          <w:kern w:val="0"/>
          <w:sz w:val="24"/>
          <w:highlight w:val="none"/>
        </w:rPr>
        <w:t>培训。</w:t>
      </w:r>
      <w:r>
        <w:rPr>
          <w:rFonts w:hint="eastAsia" w:ascii="仿宋" w:hAnsi="仿宋" w:eastAsia="仿宋"/>
          <w:color w:val="auto"/>
          <w:kern w:val="0"/>
          <w:sz w:val="24"/>
          <w:highlight w:val="none"/>
          <w:lang w:val="en-US" w:eastAsia="zh-CN"/>
        </w:rPr>
        <w:t>不能以</w:t>
      </w:r>
      <w:r>
        <w:rPr>
          <w:rFonts w:hint="eastAsia" w:ascii="仿宋" w:hAnsi="仿宋" w:eastAsia="仿宋"/>
          <w:color w:val="auto"/>
          <w:kern w:val="0"/>
          <w:sz w:val="24"/>
          <w:highlight w:val="none"/>
        </w:rPr>
        <w:t>任何物流、邮寄供货。</w:t>
      </w:r>
    </w:p>
    <w:p w14:paraId="64EAE860">
      <w:pPr>
        <w:spacing w:line="360" w:lineRule="auto"/>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（2）本合同所有产品单件必须标明厂商、商标、型号、生产时间并附有效期内的检测报告并盖章。</w:t>
      </w:r>
    </w:p>
    <w:p w14:paraId="35EC438F">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lang w:eastAsia="zh-CN"/>
        </w:rPr>
        <w:t>交货时间</w:t>
      </w:r>
      <w:r>
        <w:rPr>
          <w:rFonts w:hint="eastAsia" w:ascii="仿宋" w:hAnsi="仿宋" w:eastAsia="仿宋"/>
          <w:color w:val="auto"/>
          <w:kern w:val="0"/>
          <w:sz w:val="24"/>
          <w:highlight w:val="none"/>
        </w:rPr>
        <w:t>：合同签订后</w:t>
      </w:r>
      <w:r>
        <w:rPr>
          <w:rFonts w:hint="eastAsia" w:ascii="仿宋" w:hAnsi="仿宋" w:eastAsia="仿宋"/>
          <w:color w:val="auto"/>
          <w:kern w:val="0"/>
          <w:sz w:val="24"/>
          <w:highlight w:val="none"/>
          <w:lang w:val="en-US" w:eastAsia="zh-CN"/>
        </w:rPr>
        <w:t>80</w:t>
      </w:r>
      <w:r>
        <w:rPr>
          <w:rFonts w:hint="eastAsia" w:ascii="仿宋" w:hAnsi="仿宋" w:eastAsia="仿宋"/>
          <w:color w:val="auto"/>
          <w:kern w:val="0"/>
          <w:sz w:val="24"/>
          <w:highlight w:val="none"/>
        </w:rPr>
        <w:t>个日历日内完成。</w:t>
      </w:r>
    </w:p>
    <w:p w14:paraId="14D7D17F">
      <w:pPr>
        <w:spacing w:line="360" w:lineRule="auto"/>
        <w:ind w:firstLine="482" w:firstLineChars="200"/>
        <w:rPr>
          <w:rFonts w:hint="default" w:ascii="仿宋" w:hAnsi="仿宋" w:eastAsia="仿宋"/>
          <w:b/>
          <w:bCs/>
          <w:color w:val="auto"/>
          <w:kern w:val="0"/>
          <w:sz w:val="24"/>
          <w:highlight w:val="none"/>
          <w:lang w:val="en-US" w:eastAsia="zh-CN"/>
        </w:rPr>
      </w:pPr>
      <w:r>
        <w:rPr>
          <w:rFonts w:hint="eastAsia" w:ascii="仿宋" w:hAnsi="仿宋" w:eastAsia="仿宋"/>
          <w:b/>
          <w:bCs/>
          <w:color w:val="auto"/>
          <w:kern w:val="0"/>
          <w:sz w:val="24"/>
          <w:highlight w:val="none"/>
          <w:lang w:eastAsia="zh-CN"/>
        </w:rPr>
        <w:t>七</w:t>
      </w:r>
      <w:r>
        <w:rPr>
          <w:rFonts w:hint="eastAsia" w:ascii="仿宋" w:hAnsi="仿宋" w:eastAsia="仿宋"/>
          <w:b/>
          <w:bCs/>
          <w:color w:val="auto"/>
          <w:kern w:val="0"/>
          <w:sz w:val="24"/>
          <w:highlight w:val="none"/>
        </w:rPr>
        <w:t>、运输</w:t>
      </w:r>
      <w:r>
        <w:rPr>
          <w:rFonts w:hint="eastAsia" w:ascii="仿宋" w:hAnsi="仿宋" w:eastAsia="仿宋"/>
          <w:b/>
          <w:bCs/>
          <w:color w:val="auto"/>
          <w:kern w:val="0"/>
          <w:sz w:val="24"/>
          <w:highlight w:val="none"/>
          <w:lang w:val="en-US" w:eastAsia="zh-CN"/>
        </w:rPr>
        <w:t>及风险</w:t>
      </w:r>
    </w:p>
    <w:p w14:paraId="149F89CE">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运输由乙方负责，运杂费已包含在合同总价内，包括从产品供应地点所含的运输费、装卸费、仓储费、保险费等。</w:t>
      </w:r>
    </w:p>
    <w:p w14:paraId="54A3C355">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乙方保证产品安全、按期运输到达甲方指定交货地点，在到达甲方地点并经甲方验收（安装）合格前发生的不可预见的风险均由乙方承担。</w:t>
      </w:r>
    </w:p>
    <w:p w14:paraId="3968ADD8">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lang w:eastAsia="zh-CN"/>
        </w:rPr>
        <w:t>八</w:t>
      </w:r>
      <w:r>
        <w:rPr>
          <w:rFonts w:hint="eastAsia" w:ascii="仿宋" w:hAnsi="仿宋" w:eastAsia="仿宋"/>
          <w:b/>
          <w:bCs/>
          <w:color w:val="auto"/>
          <w:kern w:val="0"/>
          <w:sz w:val="24"/>
          <w:highlight w:val="none"/>
        </w:rPr>
        <w:t>、乙方质量保证</w:t>
      </w:r>
    </w:p>
    <w:p w14:paraId="479056E4">
      <w:pPr>
        <w:spacing w:line="360" w:lineRule="auto"/>
        <w:ind w:firstLine="480" w:firstLineChars="20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保修期（质保期）：乙方按照招标文件中各标段技术参数中的要求执行（与本合同第二款中质保期相符），自产品经甲方验收合格后之次日算起，确因质量问题不能使用的，应当免费换新。</w:t>
      </w:r>
    </w:p>
    <w:p w14:paraId="23CFD3C4">
      <w:pPr>
        <w:spacing w:line="360" w:lineRule="auto"/>
        <w:ind w:firstLine="48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提供每周7*24小时的技术咨询服务。乙方接到甲方维修要求后，应保证2小时内给予明确答复，并在36小时内解决甲方提出的维修要求。</w:t>
      </w:r>
    </w:p>
    <w:p w14:paraId="7637C2D2">
      <w:pPr>
        <w:spacing w:line="360" w:lineRule="auto"/>
        <w:jc w:val="left"/>
        <w:textAlignment w:val="top"/>
        <w:rPr>
          <w:rFonts w:hint="eastAsia" w:ascii="仿宋" w:hAnsi="仿宋" w:eastAsia="仿宋"/>
          <w:b/>
          <w:bCs/>
          <w:color w:val="auto"/>
          <w:kern w:val="0"/>
          <w:sz w:val="24"/>
          <w:highlight w:val="none"/>
        </w:rPr>
      </w:pPr>
      <w:r>
        <w:rPr>
          <w:rFonts w:hint="eastAsia" w:ascii="仿宋" w:hAnsi="仿宋" w:eastAsia="仿宋"/>
          <w:color w:val="auto"/>
          <w:kern w:val="0"/>
          <w:sz w:val="24"/>
          <w:highlight w:val="none"/>
        </w:rPr>
        <w:t xml:space="preserve">    3</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保修期（质保期），免费维修。保修期（质保期）外优惠供应配件，只收工本费。在保修期（质保期）内，如有制造质量问题或技术缺陷造成设备故障或损坏，乙方在24小时内无法修复或需要返厂进行维修的，乙方必须予以免费整体更换相应设备，以保证甲方最终用户单位工作正常开展；在甲方最终用户单位使用的</w:t>
      </w:r>
      <w:r>
        <w:rPr>
          <w:rFonts w:hint="eastAsia" w:ascii="仿宋" w:hAnsi="仿宋" w:eastAsia="仿宋"/>
          <w:color w:val="auto"/>
          <w:kern w:val="0"/>
          <w:sz w:val="24"/>
          <w:highlight w:val="none"/>
          <w:lang w:val="en-US" w:eastAsia="zh-CN"/>
        </w:rPr>
        <w:t>前</w:t>
      </w:r>
      <w:r>
        <w:rPr>
          <w:rFonts w:hint="eastAsia" w:ascii="仿宋" w:hAnsi="仿宋" w:eastAsia="仿宋"/>
          <w:color w:val="auto"/>
          <w:kern w:val="0"/>
          <w:sz w:val="24"/>
          <w:highlight w:val="none"/>
        </w:rPr>
        <w:t>三个月，同一设备出现第二次质量问题，乙方必须在甲方指定期限内予以免费整体更换该设备。</w:t>
      </w:r>
    </w:p>
    <w:p w14:paraId="5DBF0CD8">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lang w:eastAsia="zh-CN"/>
        </w:rPr>
        <w:t>九</w:t>
      </w:r>
      <w:r>
        <w:rPr>
          <w:rFonts w:hint="eastAsia" w:ascii="仿宋" w:hAnsi="仿宋" w:eastAsia="仿宋"/>
          <w:b/>
          <w:bCs/>
          <w:color w:val="auto"/>
          <w:kern w:val="0"/>
          <w:sz w:val="24"/>
          <w:highlight w:val="none"/>
        </w:rPr>
        <w:t>、乙方售后服务</w:t>
      </w:r>
    </w:p>
    <w:p w14:paraId="72BF558D">
      <w:pPr>
        <w:spacing w:line="360" w:lineRule="auto"/>
        <w:ind w:firstLine="480" w:firstLineChars="20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1.培训：为甲方提供涉及产品的使用范围、主要性能、技术指标、使用方法、注意事项和维护保养、贮存方法等方面的培训，并由乙方专业人员向客户提供技术支持。</w:t>
      </w:r>
    </w:p>
    <w:p w14:paraId="5F648A1D">
      <w:pPr>
        <w:spacing w:line="360" w:lineRule="auto"/>
        <w:ind w:firstLine="480" w:firstLineChars="20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2. 售后服务工作程序</w:t>
      </w:r>
    </w:p>
    <w:p w14:paraId="54684A19">
      <w:pPr>
        <w:spacing w:line="360" w:lineRule="auto"/>
        <w:ind w:firstLine="720" w:firstLineChars="30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售后服务电话：</w:t>
      </w:r>
    </w:p>
    <w:p w14:paraId="21BE52F7">
      <w:pPr>
        <w:spacing w:line="360" w:lineRule="auto"/>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（1）受理甲方售后要求，详细</w:t>
      </w:r>
      <w:r>
        <w:rPr>
          <w:rFonts w:hint="eastAsia" w:ascii="仿宋" w:hAnsi="仿宋" w:eastAsia="仿宋"/>
          <w:color w:val="auto"/>
          <w:kern w:val="0"/>
          <w:sz w:val="24"/>
          <w:highlight w:val="none"/>
          <w:lang w:val="en-US" w:eastAsia="zh-CN"/>
        </w:rPr>
        <w:t>查明</w:t>
      </w:r>
      <w:r>
        <w:rPr>
          <w:rFonts w:hint="eastAsia" w:ascii="仿宋" w:hAnsi="仿宋" w:eastAsia="仿宋"/>
          <w:color w:val="auto"/>
          <w:kern w:val="0"/>
          <w:sz w:val="24"/>
          <w:highlight w:val="none"/>
        </w:rPr>
        <w:t>问题所在，并给予明确答复，做电话记录。</w:t>
      </w:r>
    </w:p>
    <w:p w14:paraId="13A63D56">
      <w:pPr>
        <w:spacing w:line="360" w:lineRule="auto"/>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（2）在接到电话24小时内，安排</w:t>
      </w:r>
      <w:r>
        <w:rPr>
          <w:rFonts w:hint="eastAsia" w:ascii="仿宋" w:hAnsi="仿宋" w:eastAsia="仿宋"/>
          <w:color w:val="auto"/>
          <w:kern w:val="0"/>
          <w:sz w:val="24"/>
          <w:highlight w:val="none"/>
          <w:lang w:val="en-US" w:eastAsia="zh-CN"/>
        </w:rPr>
        <w:t>专业</w:t>
      </w:r>
      <w:r>
        <w:rPr>
          <w:rFonts w:hint="eastAsia" w:ascii="仿宋" w:hAnsi="仿宋" w:eastAsia="仿宋"/>
          <w:color w:val="auto"/>
          <w:kern w:val="0"/>
          <w:sz w:val="24"/>
          <w:highlight w:val="none"/>
        </w:rPr>
        <w:t>人员，制定服务计划。</w:t>
      </w:r>
    </w:p>
    <w:p w14:paraId="5A8C681F">
      <w:pPr>
        <w:spacing w:line="360" w:lineRule="auto"/>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（3）在接到电话36小时内赶到甲方</w:t>
      </w:r>
      <w:r>
        <w:rPr>
          <w:rFonts w:hint="eastAsia" w:ascii="仿宋" w:hAnsi="仿宋" w:eastAsia="仿宋"/>
          <w:color w:val="auto"/>
          <w:kern w:val="0"/>
          <w:sz w:val="24"/>
          <w:highlight w:val="none"/>
          <w:lang w:val="en-US" w:eastAsia="zh-CN"/>
        </w:rPr>
        <w:t>反馈的售后</w:t>
      </w:r>
      <w:r>
        <w:rPr>
          <w:rFonts w:hint="eastAsia" w:ascii="仿宋" w:hAnsi="仿宋" w:eastAsia="仿宋"/>
          <w:color w:val="auto"/>
          <w:kern w:val="0"/>
          <w:sz w:val="24"/>
          <w:highlight w:val="none"/>
        </w:rPr>
        <w:t>位置，</w:t>
      </w:r>
      <w:r>
        <w:rPr>
          <w:rFonts w:hint="eastAsia" w:ascii="仿宋" w:hAnsi="仿宋" w:eastAsia="仿宋"/>
          <w:color w:val="auto"/>
          <w:kern w:val="0"/>
          <w:sz w:val="24"/>
          <w:highlight w:val="none"/>
          <w:lang w:val="en-US" w:eastAsia="zh-CN"/>
        </w:rPr>
        <w:t>消除故障</w:t>
      </w:r>
      <w:r>
        <w:rPr>
          <w:rFonts w:hint="eastAsia" w:ascii="仿宋" w:hAnsi="仿宋" w:eastAsia="仿宋"/>
          <w:color w:val="auto"/>
          <w:kern w:val="0"/>
          <w:sz w:val="24"/>
          <w:highlight w:val="none"/>
        </w:rPr>
        <w:t>。</w:t>
      </w:r>
    </w:p>
    <w:p w14:paraId="418B496B">
      <w:pPr>
        <w:spacing w:line="360" w:lineRule="auto"/>
        <w:ind w:firstLine="480" w:firstLineChars="20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3.保修期（质保期）内主要提供定期的客户查询，询问器材的使用情况、完好情况。一般每1－2个月一次。确有质量问题的，按第八条2款进行服务，</w:t>
      </w:r>
      <w:r>
        <w:rPr>
          <w:rFonts w:hint="eastAsia" w:ascii="仿宋" w:hAnsi="仿宋" w:eastAsia="仿宋"/>
          <w:color w:val="auto"/>
          <w:kern w:val="0"/>
          <w:sz w:val="24"/>
          <w:highlight w:val="none"/>
          <w:lang w:val="en-US" w:eastAsia="zh-CN"/>
        </w:rPr>
        <w:t>且</w:t>
      </w:r>
      <w:r>
        <w:rPr>
          <w:rFonts w:hint="eastAsia" w:ascii="仿宋" w:hAnsi="仿宋" w:eastAsia="仿宋"/>
          <w:color w:val="auto"/>
          <w:kern w:val="0"/>
          <w:sz w:val="24"/>
          <w:highlight w:val="none"/>
        </w:rPr>
        <w:t>免费。</w:t>
      </w:r>
    </w:p>
    <w:p w14:paraId="75DDD3F3">
      <w:pPr>
        <w:spacing w:line="360" w:lineRule="auto"/>
        <w:ind w:firstLine="480" w:firstLineChars="200"/>
        <w:jc w:val="left"/>
        <w:textAlignment w:val="top"/>
        <w:rPr>
          <w:rFonts w:hint="eastAsia" w:ascii="仿宋" w:hAnsi="仿宋" w:eastAsia="仿宋"/>
          <w:color w:val="auto"/>
          <w:kern w:val="0"/>
          <w:sz w:val="24"/>
          <w:highlight w:val="none"/>
        </w:rPr>
      </w:pPr>
      <w:r>
        <w:rPr>
          <w:rFonts w:hint="eastAsia" w:ascii="仿宋" w:hAnsi="仿宋" w:eastAsia="仿宋"/>
          <w:color w:val="auto"/>
          <w:kern w:val="0"/>
          <w:sz w:val="24"/>
          <w:highlight w:val="none"/>
        </w:rPr>
        <w:t>4.保修期（质保期）外乙方应继续按第八条规定提供服务，安排销售人员对甲方进行走访，维修只收工本费。对临界使用寿命的或严重毁损的器材提醒及时报废。</w:t>
      </w:r>
    </w:p>
    <w:p w14:paraId="1C733626">
      <w:pPr>
        <w:spacing w:after="120"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5.乙方未能按照本条协议约定履行其售后服务义务及第七条质量保证义务的，应当向甲方支付违约金5000元/次，同时甲方有权聘请第三方进行维修，产生的费用：质保期内由乙方承担；质保期外除工本费以外的费用由乙方承担。第三方的维修行为不排除乙方之后的质保、维修责任。</w:t>
      </w:r>
    </w:p>
    <w:p w14:paraId="228141B2">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lang w:eastAsia="zh-CN"/>
        </w:rPr>
        <w:t>十</w:t>
      </w:r>
      <w:r>
        <w:rPr>
          <w:rFonts w:hint="eastAsia" w:ascii="仿宋" w:hAnsi="仿宋" w:eastAsia="仿宋"/>
          <w:b/>
          <w:bCs/>
          <w:color w:val="auto"/>
          <w:kern w:val="0"/>
          <w:sz w:val="24"/>
          <w:highlight w:val="none"/>
        </w:rPr>
        <w:t>、乙方提供技术与服务</w:t>
      </w:r>
    </w:p>
    <w:p w14:paraId="651A0734">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随同货物提供相应的中文技术文件（包括产品合格证、装箱清单、操作手册、使用说明、检测报告、维护手册、服务指南等资料）；</w:t>
      </w:r>
    </w:p>
    <w:p w14:paraId="1872DDE1">
      <w:pPr>
        <w:spacing w:line="360" w:lineRule="auto"/>
        <w:ind w:firstLine="48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 xml:space="preserve">现场安装、调试、试运行技术保障服务； </w:t>
      </w:r>
    </w:p>
    <w:p w14:paraId="0C7E2813">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十</w:t>
      </w:r>
      <w:r>
        <w:rPr>
          <w:rFonts w:hint="eastAsia" w:ascii="仿宋" w:hAnsi="仿宋" w:eastAsia="仿宋"/>
          <w:b/>
          <w:bCs/>
          <w:color w:val="auto"/>
          <w:kern w:val="0"/>
          <w:sz w:val="24"/>
          <w:highlight w:val="none"/>
          <w:lang w:eastAsia="zh-CN"/>
        </w:rPr>
        <w:t>一</w:t>
      </w:r>
      <w:r>
        <w:rPr>
          <w:rFonts w:hint="eastAsia" w:ascii="仿宋" w:hAnsi="仿宋" w:eastAsia="仿宋"/>
          <w:b/>
          <w:bCs/>
          <w:color w:val="auto"/>
          <w:kern w:val="0"/>
          <w:sz w:val="24"/>
          <w:highlight w:val="none"/>
        </w:rPr>
        <w:t>、违约责任</w:t>
      </w:r>
    </w:p>
    <w:p w14:paraId="791975F0">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按《中华人民共和国民法典》中的相关条款执行。</w:t>
      </w:r>
    </w:p>
    <w:p w14:paraId="09E95B12">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r>
        <w:rPr>
          <w:rFonts w:hint="eastAsia" w:ascii="仿宋" w:hAnsi="仿宋" w:eastAsia="仿宋"/>
          <w:color w:val="auto"/>
          <w:kern w:val="0"/>
          <w:sz w:val="24"/>
          <w:highlight w:val="none"/>
          <w:lang w:val="en-US" w:eastAsia="zh-CN"/>
        </w:rPr>
        <w:t>损失</w:t>
      </w:r>
      <w:r>
        <w:rPr>
          <w:rFonts w:hint="eastAsia" w:ascii="仿宋" w:hAnsi="仿宋" w:eastAsia="仿宋"/>
          <w:color w:val="auto"/>
          <w:kern w:val="0"/>
          <w:sz w:val="24"/>
          <w:highlight w:val="none"/>
        </w:rPr>
        <w:t>；</w:t>
      </w:r>
    </w:p>
    <w:p w14:paraId="3C6F54EE">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3</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交货期每逾期一天，乙方应向甲方支付合同总价款的5‰违约金。逾期超过15日的，甲方</w:t>
      </w:r>
      <w:r>
        <w:rPr>
          <w:rFonts w:hint="eastAsia" w:ascii="仿宋" w:hAnsi="仿宋" w:eastAsia="仿宋"/>
          <w:color w:val="auto"/>
          <w:kern w:val="0"/>
          <w:sz w:val="24"/>
          <w:highlight w:val="none"/>
          <w:lang w:val="en-US" w:eastAsia="zh-CN"/>
        </w:rPr>
        <w:t>有权</w:t>
      </w:r>
      <w:r>
        <w:rPr>
          <w:rFonts w:hint="eastAsia" w:ascii="仿宋" w:hAnsi="仿宋" w:eastAsia="仿宋"/>
          <w:color w:val="auto"/>
          <w:kern w:val="0"/>
          <w:sz w:val="24"/>
          <w:highlight w:val="none"/>
        </w:rPr>
        <w:t>单方面解除本合同，乙方除退还甲方已支付全部费用外还应按照合同总价的20%向甲方支付违约金。违约金不足以弥补损失的，乙方应予以补足</w:t>
      </w:r>
      <w:r>
        <w:rPr>
          <w:rFonts w:hint="eastAsia" w:ascii="仿宋" w:hAnsi="仿宋" w:eastAsia="仿宋"/>
          <w:color w:val="auto"/>
          <w:kern w:val="0"/>
          <w:sz w:val="24"/>
          <w:highlight w:val="none"/>
          <w:lang w:val="en-US" w:eastAsia="zh-CN"/>
        </w:rPr>
        <w:t>损失</w:t>
      </w:r>
      <w:r>
        <w:rPr>
          <w:rFonts w:hint="eastAsia" w:ascii="仿宋" w:hAnsi="仿宋" w:eastAsia="仿宋"/>
          <w:color w:val="auto"/>
          <w:kern w:val="0"/>
          <w:sz w:val="24"/>
          <w:highlight w:val="none"/>
        </w:rPr>
        <w:t>。</w:t>
      </w:r>
    </w:p>
    <w:p w14:paraId="719A27EF">
      <w:pPr>
        <w:spacing w:line="360" w:lineRule="auto"/>
        <w:ind w:firstLine="480" w:firstLineChars="200"/>
        <w:rPr>
          <w:rFonts w:hint="default" w:ascii="仿宋" w:hAnsi="仿宋" w:eastAsia="仿宋"/>
          <w:color w:val="auto"/>
          <w:kern w:val="0"/>
          <w:sz w:val="24"/>
          <w:highlight w:val="none"/>
          <w:lang w:val="en-US" w:eastAsia="zh-CN"/>
        </w:rPr>
      </w:pPr>
      <w:r>
        <w:rPr>
          <w:rFonts w:hint="eastAsia" w:ascii="仿宋" w:hAnsi="仿宋" w:eastAsia="仿宋"/>
          <w:color w:val="auto"/>
          <w:kern w:val="0"/>
          <w:sz w:val="24"/>
          <w:highlight w:val="none"/>
          <w:lang w:val="en-US" w:eastAsia="zh-CN"/>
        </w:rPr>
        <w:t>4.乙方保证甲方的预付款为专款专用，确保合同顺利履行，如若发现乙方将预付款挪作他用，则向甲方支付</w:t>
      </w:r>
      <w:r>
        <w:rPr>
          <w:rFonts w:hint="eastAsia" w:ascii="仿宋" w:hAnsi="仿宋" w:eastAsia="仿宋"/>
          <w:color w:val="auto"/>
          <w:kern w:val="0"/>
          <w:sz w:val="24"/>
          <w:highlight w:val="none"/>
          <w:u w:val="single"/>
          <w:lang w:val="en-US" w:eastAsia="zh-CN"/>
        </w:rPr>
        <w:t xml:space="preserve"> 合同总价款20%  </w:t>
      </w:r>
      <w:r>
        <w:rPr>
          <w:rFonts w:hint="eastAsia" w:ascii="仿宋" w:hAnsi="仿宋" w:eastAsia="仿宋"/>
          <w:color w:val="auto"/>
          <w:kern w:val="0"/>
          <w:sz w:val="24"/>
          <w:highlight w:val="none"/>
          <w:lang w:val="en-US" w:eastAsia="zh-CN"/>
        </w:rPr>
        <w:t>的违约金 ，如若引起导致合同不能保质保量完成，乙方需承担给甲方造成的一切损失（包括招投标、项目损失、由此产生的律师费，保全费，诉讼费，公告费、鉴定费等）。</w:t>
      </w:r>
    </w:p>
    <w:p w14:paraId="1BFA86B4">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十</w:t>
      </w:r>
      <w:r>
        <w:rPr>
          <w:rFonts w:hint="eastAsia" w:ascii="仿宋" w:hAnsi="仿宋" w:eastAsia="仿宋"/>
          <w:b/>
          <w:bCs/>
          <w:color w:val="auto"/>
          <w:kern w:val="0"/>
          <w:sz w:val="24"/>
          <w:highlight w:val="none"/>
          <w:lang w:eastAsia="zh-CN"/>
        </w:rPr>
        <w:t>二</w:t>
      </w:r>
      <w:r>
        <w:rPr>
          <w:rFonts w:hint="eastAsia" w:ascii="仿宋" w:hAnsi="仿宋" w:eastAsia="仿宋"/>
          <w:b/>
          <w:bCs/>
          <w:color w:val="auto"/>
          <w:kern w:val="0"/>
          <w:sz w:val="24"/>
          <w:highlight w:val="none"/>
        </w:rPr>
        <w:t>、验收</w:t>
      </w:r>
    </w:p>
    <w:p w14:paraId="5F703184">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产品到达甲方指定地点后，甲方根据合同约定，对产品进行外观验收、确认产品的产地、规格、型号和数量。器材所有产品外包装箱、单个产品包装盒上必须印制或粘贴下列基本信息：产品生产厂家、生产日期、有效期、生产厂家联系人、联系电话；代理厂商联系人、联系电话、售后联系人、联系方式。</w:t>
      </w:r>
    </w:p>
    <w:p w14:paraId="4E343682">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产品安装、调试并正常运行后，由乙方进行自检合格后，准备验收文件，并书面通知甲方；</w:t>
      </w:r>
    </w:p>
    <w:p w14:paraId="485988A0">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3</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甲方确认乙方的自检内容后（必要时请有关专家）进行验收，填写项目验收单，作为对设备的最终认可；</w:t>
      </w:r>
    </w:p>
    <w:p w14:paraId="063750E7">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4</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乙方向甲方提交设备实施过程中的所有资料，以便甲方日后管理和维护。</w:t>
      </w:r>
    </w:p>
    <w:p w14:paraId="4E8550AE">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5</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验收依据：</w:t>
      </w:r>
    </w:p>
    <w:p w14:paraId="18C897A4">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5</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1招标文件、投标文件、澄清表（函）；</w:t>
      </w:r>
    </w:p>
    <w:p w14:paraId="3588F13C">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5</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2本合同及附件文本；</w:t>
      </w:r>
    </w:p>
    <w:p w14:paraId="58E93DD9">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十</w:t>
      </w:r>
      <w:r>
        <w:rPr>
          <w:rFonts w:hint="eastAsia" w:ascii="仿宋" w:hAnsi="仿宋" w:eastAsia="仿宋"/>
          <w:b/>
          <w:bCs/>
          <w:color w:val="auto"/>
          <w:kern w:val="0"/>
          <w:sz w:val="24"/>
          <w:highlight w:val="none"/>
          <w:lang w:eastAsia="zh-CN"/>
        </w:rPr>
        <w:t>三</w:t>
      </w:r>
      <w:r>
        <w:rPr>
          <w:rFonts w:hint="eastAsia" w:ascii="仿宋" w:hAnsi="仿宋" w:eastAsia="仿宋"/>
          <w:b/>
          <w:bCs/>
          <w:color w:val="auto"/>
          <w:kern w:val="0"/>
          <w:sz w:val="24"/>
          <w:highlight w:val="none"/>
        </w:rPr>
        <w:t>、合同争议解决的方式</w:t>
      </w:r>
    </w:p>
    <w:p w14:paraId="0D1EAD24">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本合同在履行过程中发生的争议，由甲、乙方当事人协商解决；也可由当地工商行政管理部门调解；协商或调解不成的按以下第2种方式解决；</w:t>
      </w:r>
    </w:p>
    <w:p w14:paraId="1C3FD92D">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提交</w:t>
      </w:r>
      <w:r>
        <w:rPr>
          <w:rFonts w:hint="eastAsia" w:ascii="仿宋" w:hAnsi="仿宋" w:eastAsia="仿宋"/>
          <w:color w:val="auto"/>
          <w:kern w:val="0"/>
          <w:sz w:val="24"/>
          <w:highlight w:val="none"/>
          <w:u w:val="single"/>
          <w:lang w:val="en-US" w:eastAsia="zh-CN"/>
        </w:rPr>
        <w:t xml:space="preserve">     </w:t>
      </w:r>
      <w:r>
        <w:rPr>
          <w:rFonts w:hint="eastAsia" w:ascii="仿宋" w:hAnsi="仿宋" w:eastAsia="仿宋"/>
          <w:color w:val="auto"/>
          <w:kern w:val="0"/>
          <w:sz w:val="24"/>
          <w:highlight w:val="none"/>
        </w:rPr>
        <w:t>仲裁委员会仲裁；</w:t>
      </w:r>
    </w:p>
    <w:p w14:paraId="51DC8591">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依法向甲方所在地人民法院起诉。</w:t>
      </w:r>
    </w:p>
    <w:p w14:paraId="182B9C83">
      <w:pPr>
        <w:spacing w:line="360" w:lineRule="auto"/>
        <w:ind w:firstLine="482" w:firstLineChars="200"/>
        <w:rPr>
          <w:rFonts w:hint="eastAsia" w:ascii="仿宋" w:hAnsi="仿宋" w:eastAsia="仿宋"/>
          <w:b/>
          <w:bCs/>
          <w:color w:val="auto"/>
          <w:kern w:val="0"/>
          <w:sz w:val="24"/>
          <w:highlight w:val="none"/>
        </w:rPr>
      </w:pPr>
      <w:r>
        <w:rPr>
          <w:rFonts w:hint="eastAsia" w:ascii="仿宋" w:hAnsi="仿宋" w:eastAsia="仿宋"/>
          <w:b/>
          <w:bCs/>
          <w:color w:val="auto"/>
          <w:kern w:val="0"/>
          <w:sz w:val="24"/>
          <w:highlight w:val="none"/>
        </w:rPr>
        <w:t>十</w:t>
      </w:r>
      <w:r>
        <w:rPr>
          <w:rFonts w:hint="eastAsia" w:ascii="仿宋" w:hAnsi="仿宋" w:eastAsia="仿宋"/>
          <w:b/>
          <w:bCs/>
          <w:color w:val="auto"/>
          <w:kern w:val="0"/>
          <w:sz w:val="24"/>
          <w:highlight w:val="none"/>
          <w:lang w:eastAsia="zh-CN"/>
        </w:rPr>
        <w:t>四</w:t>
      </w:r>
      <w:r>
        <w:rPr>
          <w:rFonts w:hint="eastAsia" w:ascii="仿宋" w:hAnsi="仿宋" w:eastAsia="仿宋"/>
          <w:b/>
          <w:bCs/>
          <w:color w:val="auto"/>
          <w:kern w:val="0"/>
          <w:sz w:val="24"/>
          <w:highlight w:val="none"/>
        </w:rPr>
        <w:t>、其他事项</w:t>
      </w:r>
    </w:p>
    <w:p w14:paraId="0DE401D5">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1</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招标文件、投标文件、澄清表（函）、合同附件均成为合同不可分割的部分。</w:t>
      </w:r>
    </w:p>
    <w:p w14:paraId="5BCB8BFD">
      <w:pPr>
        <w:spacing w:line="360" w:lineRule="auto"/>
        <w:ind w:firstLine="480" w:firstLineChars="200"/>
        <w:rPr>
          <w:rFonts w:hint="eastAsia" w:ascii="仿宋" w:hAnsi="仿宋" w:eastAsia="仿宋"/>
          <w:color w:val="auto"/>
          <w:kern w:val="0"/>
          <w:sz w:val="24"/>
          <w:highlight w:val="none"/>
        </w:rPr>
      </w:pPr>
      <w:r>
        <w:rPr>
          <w:rFonts w:hint="eastAsia" w:ascii="仿宋" w:hAnsi="仿宋" w:eastAsia="仿宋"/>
          <w:color w:val="auto"/>
          <w:kern w:val="0"/>
          <w:sz w:val="24"/>
          <w:highlight w:val="none"/>
        </w:rPr>
        <w:t>2</w:t>
      </w:r>
      <w:r>
        <w:rPr>
          <w:rFonts w:hint="eastAsia" w:ascii="仿宋" w:hAnsi="仿宋" w:eastAsia="仿宋"/>
          <w:color w:val="auto"/>
          <w:kern w:val="0"/>
          <w:sz w:val="24"/>
          <w:highlight w:val="none"/>
          <w:lang w:val="en-US" w:eastAsia="zh-CN"/>
        </w:rPr>
        <w:t>.</w:t>
      </w:r>
      <w:r>
        <w:rPr>
          <w:rFonts w:hint="eastAsia" w:ascii="仿宋" w:hAnsi="仿宋" w:eastAsia="仿宋"/>
          <w:color w:val="auto"/>
          <w:kern w:val="0"/>
          <w:sz w:val="24"/>
          <w:highlight w:val="none"/>
        </w:rPr>
        <w:t>合同未尽事宜，由甲、乙双方协商，另行签订补充合同，为本合同有效组成部分。</w:t>
      </w:r>
    </w:p>
    <w:p w14:paraId="3C16B4CB">
      <w:pPr>
        <w:spacing w:line="360" w:lineRule="auto"/>
        <w:ind w:firstLine="360" w:firstLineChars="150"/>
        <w:rPr>
          <w:rFonts w:hint="eastAsia" w:ascii="仿宋" w:hAnsi="仿宋" w:eastAsia="仿宋"/>
          <w:color w:val="auto"/>
          <w:kern w:val="0"/>
          <w:sz w:val="24"/>
          <w:highlight w:val="none"/>
        </w:rPr>
      </w:pPr>
      <w:r>
        <w:rPr>
          <w:rFonts w:hint="eastAsia" w:ascii="仿宋" w:hAnsi="仿宋" w:eastAsia="仿宋"/>
          <w:color w:val="auto"/>
          <w:kern w:val="0"/>
          <w:sz w:val="24"/>
          <w:highlight w:val="none"/>
        </w:rPr>
        <w:t>本合同一式</w:t>
      </w:r>
      <w:r>
        <w:rPr>
          <w:rFonts w:hint="eastAsia" w:ascii="仿宋" w:hAnsi="仿宋" w:eastAsia="仿宋"/>
          <w:color w:val="auto"/>
          <w:kern w:val="0"/>
          <w:sz w:val="24"/>
          <w:highlight w:val="none"/>
          <w:u w:val="single"/>
          <w:lang w:val="en-US" w:eastAsia="zh-CN"/>
        </w:rPr>
        <w:t xml:space="preserve">   </w:t>
      </w:r>
      <w:r>
        <w:rPr>
          <w:rFonts w:hint="eastAsia" w:ascii="仿宋" w:hAnsi="仿宋" w:eastAsia="仿宋"/>
          <w:color w:val="auto"/>
          <w:kern w:val="0"/>
          <w:sz w:val="24"/>
          <w:highlight w:val="none"/>
        </w:rPr>
        <w:t>份，甲方、乙方各执</w:t>
      </w:r>
      <w:r>
        <w:rPr>
          <w:rFonts w:hint="eastAsia" w:ascii="仿宋" w:hAnsi="仿宋" w:eastAsia="仿宋"/>
          <w:color w:val="auto"/>
          <w:kern w:val="0"/>
          <w:sz w:val="24"/>
          <w:highlight w:val="none"/>
          <w:u w:val="single"/>
          <w:lang w:val="en-US" w:eastAsia="zh-CN"/>
        </w:rPr>
        <w:t xml:space="preserve">   </w:t>
      </w:r>
      <w:r>
        <w:rPr>
          <w:rFonts w:hint="eastAsia" w:ascii="仿宋" w:hAnsi="仿宋" w:eastAsia="仿宋"/>
          <w:color w:val="auto"/>
          <w:kern w:val="0"/>
          <w:sz w:val="24"/>
          <w:highlight w:val="none"/>
        </w:rPr>
        <w:t>份，乙方合同签订完毕送壹份至招标代理机构备案。各方签字盖章后生效，合同执行完毕自动终止。（合同的服务承诺则长期有效）。</w:t>
      </w:r>
    </w:p>
    <w:p w14:paraId="0D1AB3EB">
      <w:pPr>
        <w:spacing w:line="360" w:lineRule="auto"/>
        <w:rPr>
          <w:rFonts w:ascii="宋体" w:hAnsi="Times New Roman"/>
          <w:color w:val="auto"/>
          <w:kern w:val="0"/>
          <w:sz w:val="24"/>
          <w:highlight w:val="none"/>
        </w:rPr>
      </w:pPr>
      <w:r>
        <w:rPr>
          <w:rFonts w:hint="eastAsia" w:ascii="宋体" w:hAnsi="Times New Roman"/>
          <w:color w:val="auto"/>
          <w:kern w:val="0"/>
          <w:sz w:val="24"/>
          <w:highlight w:val="none"/>
        </w:rPr>
        <w:t xml:space="preserve"> </w:t>
      </w:r>
    </w:p>
    <w:p w14:paraId="6079387C">
      <w:pPr>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甲      方：                         乙      方：                     </w:t>
      </w:r>
    </w:p>
    <w:p w14:paraId="3B31210A">
      <w:pPr>
        <w:spacing w:line="360" w:lineRule="auto"/>
        <w:ind w:left="5944" w:leftChars="29" w:hanging="5880" w:hangingChars="2450"/>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地      址：                         地      址：                      </w:t>
      </w:r>
    </w:p>
    <w:p w14:paraId="63BE123C">
      <w:pPr>
        <w:spacing w:line="360" w:lineRule="auto"/>
        <w:ind w:firstLine="1440" w:firstLineChars="600"/>
        <w:rPr>
          <w:rFonts w:hint="eastAsia" w:ascii="仿宋" w:hAnsi="仿宋" w:eastAsia="仿宋"/>
          <w:color w:val="auto"/>
          <w:kern w:val="0"/>
          <w:sz w:val="24"/>
          <w:highlight w:val="none"/>
        </w:rPr>
      </w:pPr>
      <w:r>
        <w:rPr>
          <w:rFonts w:hint="eastAsia" w:ascii="仿宋" w:hAnsi="仿宋" w:eastAsia="仿宋"/>
          <w:color w:val="auto"/>
          <w:kern w:val="0"/>
          <w:sz w:val="24"/>
          <w:highlight w:val="none"/>
        </w:rPr>
        <w:t xml:space="preserve"> </w:t>
      </w:r>
    </w:p>
    <w:p w14:paraId="0DDE2793">
      <w:pPr>
        <w:spacing w:line="360" w:lineRule="auto"/>
        <w:rPr>
          <w:rFonts w:hint="eastAsia" w:ascii="仿宋" w:hAnsi="仿宋" w:eastAsia="仿宋"/>
          <w:color w:val="auto"/>
          <w:kern w:val="0"/>
          <w:sz w:val="24"/>
          <w:highlight w:val="none"/>
        </w:rPr>
      </w:pPr>
      <w:r>
        <w:rPr>
          <w:rFonts w:hint="eastAsia" w:ascii="仿宋" w:hAnsi="仿宋" w:eastAsia="仿宋"/>
          <w:color w:val="auto"/>
          <w:kern w:val="0"/>
          <w:sz w:val="24"/>
          <w:highlight w:val="none"/>
        </w:rPr>
        <w:t>法定代表人：                           法定代表人：</w:t>
      </w:r>
    </w:p>
    <w:p w14:paraId="50A2D79B">
      <w:pPr>
        <w:spacing w:line="360" w:lineRule="auto"/>
        <w:rPr>
          <w:rFonts w:hint="eastAsia" w:ascii="仿宋" w:hAnsi="仿宋" w:eastAsia="仿宋"/>
          <w:color w:val="auto"/>
          <w:kern w:val="0"/>
          <w:sz w:val="24"/>
          <w:highlight w:val="none"/>
        </w:rPr>
      </w:pPr>
      <w:r>
        <w:rPr>
          <w:rFonts w:hint="eastAsia" w:ascii="仿宋" w:hAnsi="仿宋" w:eastAsia="仿宋"/>
          <w:color w:val="auto"/>
          <w:kern w:val="0"/>
          <w:sz w:val="24"/>
          <w:highlight w:val="none"/>
        </w:rPr>
        <w:t>委托代理人：                           委托代理人：</w:t>
      </w:r>
    </w:p>
    <w:p w14:paraId="174B39F6">
      <w:pPr>
        <w:spacing w:line="360" w:lineRule="auto"/>
        <w:rPr>
          <w:rFonts w:hint="eastAsia" w:ascii="仿宋" w:hAnsi="仿宋" w:eastAsia="仿宋"/>
          <w:color w:val="auto"/>
          <w:spacing w:val="-10"/>
          <w:kern w:val="0"/>
          <w:sz w:val="24"/>
          <w:highlight w:val="none"/>
        </w:rPr>
      </w:pPr>
      <w:r>
        <w:rPr>
          <w:rFonts w:hint="eastAsia" w:ascii="仿宋" w:hAnsi="仿宋" w:eastAsia="仿宋"/>
          <w:color w:val="auto"/>
          <w:spacing w:val="-10"/>
          <w:kern w:val="0"/>
          <w:sz w:val="24"/>
          <w:highlight w:val="none"/>
        </w:rPr>
        <w:t>联 系 电 话</w:t>
      </w:r>
      <w:r>
        <w:rPr>
          <w:rFonts w:hint="eastAsia" w:ascii="仿宋" w:hAnsi="仿宋" w:eastAsia="仿宋"/>
          <w:color w:val="auto"/>
          <w:kern w:val="0"/>
          <w:sz w:val="24"/>
          <w:highlight w:val="none"/>
        </w:rPr>
        <w:t xml:space="preserve">：                           </w:t>
      </w:r>
      <w:r>
        <w:rPr>
          <w:rFonts w:hint="eastAsia" w:ascii="仿宋" w:hAnsi="仿宋" w:eastAsia="仿宋"/>
          <w:color w:val="auto"/>
          <w:spacing w:val="-10"/>
          <w:kern w:val="0"/>
          <w:sz w:val="24"/>
          <w:highlight w:val="none"/>
        </w:rPr>
        <w:t>联 系 电 话</w:t>
      </w:r>
      <w:r>
        <w:rPr>
          <w:rFonts w:hint="eastAsia" w:ascii="仿宋" w:hAnsi="仿宋" w:eastAsia="仿宋"/>
          <w:color w:val="auto"/>
          <w:kern w:val="0"/>
          <w:sz w:val="24"/>
          <w:highlight w:val="none"/>
        </w:rPr>
        <w:t xml:space="preserve">：                    </w:t>
      </w:r>
    </w:p>
    <w:p w14:paraId="3C77DB3F">
      <w:pPr>
        <w:spacing w:line="360" w:lineRule="auto"/>
        <w:rPr>
          <w:rFonts w:hint="eastAsia" w:ascii="仿宋" w:hAnsi="仿宋" w:eastAsia="仿宋"/>
          <w:color w:val="auto"/>
          <w:spacing w:val="-10"/>
          <w:kern w:val="0"/>
          <w:sz w:val="24"/>
          <w:highlight w:val="none"/>
        </w:rPr>
      </w:pPr>
      <w:r>
        <w:rPr>
          <w:rFonts w:hint="eastAsia" w:ascii="仿宋" w:hAnsi="仿宋" w:eastAsia="仿宋"/>
          <w:color w:val="auto"/>
          <w:spacing w:val="-10"/>
          <w:kern w:val="0"/>
          <w:sz w:val="24"/>
          <w:highlight w:val="none"/>
        </w:rPr>
        <w:t>签 订 日 期：                                 签 订 日 期：</w:t>
      </w:r>
    </w:p>
    <w:p w14:paraId="629CE70E">
      <w:pPr>
        <w:spacing w:line="360" w:lineRule="auto"/>
        <w:rPr>
          <w:rFonts w:hint="eastAsia" w:ascii="宋体" w:hAnsi="宋体"/>
          <w:b/>
          <w:bCs/>
          <w:color w:val="auto"/>
          <w:kern w:val="0"/>
          <w:sz w:val="24"/>
          <w:highlight w:val="none"/>
        </w:rPr>
      </w:pPr>
      <w:r>
        <w:rPr>
          <w:rFonts w:hint="eastAsia" w:ascii="宋体" w:hAnsi="宋体"/>
          <w:color w:val="auto"/>
          <w:kern w:val="0"/>
          <w:sz w:val="24"/>
          <w:highlight w:val="none"/>
        </w:rPr>
        <w:t xml:space="preserve"> </w:t>
      </w:r>
      <w:r>
        <w:rPr>
          <w:rFonts w:hint="eastAsia" w:ascii="宋体" w:hAnsi="宋体"/>
          <w:b/>
          <w:bCs/>
          <w:color w:val="auto"/>
          <w:kern w:val="0"/>
          <w:sz w:val="24"/>
          <w:highlight w:val="none"/>
        </w:rPr>
        <w:t xml:space="preserve"> </w:t>
      </w:r>
    </w:p>
    <w:p w14:paraId="4439B3AA">
      <w:pPr>
        <w:spacing w:line="240" w:lineRule="auto"/>
        <w:rPr>
          <w:rFonts w:hint="eastAsia" w:ascii="宋体" w:hAnsi="宋体"/>
          <w:b/>
          <w:bCs/>
          <w:color w:val="auto"/>
          <w:kern w:val="0"/>
          <w:sz w:val="24"/>
          <w:highlight w:val="none"/>
        </w:rPr>
      </w:pPr>
      <w:r>
        <w:rPr>
          <w:rFonts w:hint="eastAsia" w:ascii="宋体" w:hAnsi="宋体"/>
          <w:b/>
          <w:bCs/>
          <w:color w:val="auto"/>
          <w:kern w:val="0"/>
          <w:sz w:val="24"/>
          <w:highlight w:val="none"/>
        </w:rPr>
        <w:br w:type="page"/>
      </w:r>
    </w:p>
    <w:p w14:paraId="0DAA8F6C">
      <w:pPr>
        <w:spacing w:after="120"/>
        <w:rPr>
          <w:rFonts w:ascii="仿宋" w:hAnsi="仿宋" w:eastAsia="仿宋"/>
          <w:color w:val="auto"/>
          <w:spacing w:val="-10"/>
          <w:kern w:val="0"/>
          <w:sz w:val="24"/>
          <w:highlight w:val="none"/>
        </w:rPr>
      </w:pPr>
      <w:r>
        <w:rPr>
          <w:rFonts w:hint="eastAsia" w:ascii="仿宋" w:hAnsi="仿宋" w:eastAsia="仿宋"/>
          <w:color w:val="auto"/>
          <w:spacing w:val="-10"/>
          <w:highlight w:val="none"/>
        </w:rPr>
        <w:t>附件1：</w:t>
      </w:r>
    </w:p>
    <w:p w14:paraId="7B20C45A">
      <w:pPr>
        <w:spacing w:after="120"/>
        <w:ind w:firstLine="440" w:firstLineChars="200"/>
        <w:rPr>
          <w:rFonts w:hint="eastAsia" w:ascii="仿宋" w:hAnsi="仿宋" w:eastAsia="仿宋"/>
          <w:color w:val="auto"/>
          <w:spacing w:val="-10"/>
          <w:highlight w:val="none"/>
        </w:rPr>
      </w:pPr>
      <w:r>
        <w:rPr>
          <w:rFonts w:hint="eastAsia" w:ascii="仿宋" w:hAnsi="仿宋" w:eastAsia="仿宋"/>
          <w:color w:val="auto"/>
          <w:highlight w:val="none"/>
        </w:rPr>
        <w:t>提供产品详细的中文技术规格书和外观照片。提供零配件供应周期、工时费等服务标准。</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123"/>
        <w:gridCol w:w="1786"/>
        <w:gridCol w:w="3616"/>
        <w:gridCol w:w="1307"/>
      </w:tblGrid>
      <w:tr w14:paraId="43A47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1EF8252B">
            <w:pPr>
              <w:adjustRightInd w:val="0"/>
              <w:snapToGrid w:val="0"/>
              <w:spacing w:line="360" w:lineRule="auto"/>
              <w:ind w:right="23"/>
              <w:jc w:val="center"/>
              <w:rPr>
                <w:rFonts w:hint="eastAsia" w:ascii="仿宋" w:hAnsi="仿宋" w:eastAsia="仿宋"/>
                <w:b/>
                <w:bCs/>
                <w:color w:val="auto"/>
                <w:highlight w:val="none"/>
              </w:rPr>
            </w:pPr>
            <w:r>
              <w:rPr>
                <w:rFonts w:hint="eastAsia" w:ascii="仿宋" w:hAnsi="仿宋" w:eastAsia="仿宋"/>
                <w:b/>
                <w:bCs/>
                <w:color w:val="auto"/>
                <w:highlight w:val="none"/>
              </w:rPr>
              <w:t>序号</w:t>
            </w:r>
          </w:p>
        </w:tc>
        <w:tc>
          <w:tcPr>
            <w:tcW w:w="515" w:type="pct"/>
            <w:tcBorders>
              <w:top w:val="single" w:color="auto" w:sz="4" w:space="0"/>
              <w:left w:val="nil"/>
              <w:bottom w:val="single" w:color="auto" w:sz="4" w:space="0"/>
              <w:right w:val="single" w:color="auto" w:sz="4" w:space="0"/>
            </w:tcBorders>
            <w:noWrap/>
            <w:vAlign w:val="center"/>
          </w:tcPr>
          <w:p w14:paraId="57C9425C">
            <w:pPr>
              <w:adjustRightInd w:val="0"/>
              <w:snapToGrid w:val="0"/>
              <w:spacing w:line="360" w:lineRule="auto"/>
              <w:ind w:right="23"/>
              <w:jc w:val="center"/>
              <w:rPr>
                <w:rFonts w:hint="eastAsia" w:ascii="仿宋" w:hAnsi="仿宋" w:eastAsia="仿宋"/>
                <w:b/>
                <w:bCs/>
                <w:color w:val="auto"/>
                <w:highlight w:val="none"/>
              </w:rPr>
            </w:pPr>
            <w:r>
              <w:rPr>
                <w:rFonts w:hint="eastAsia" w:ascii="仿宋" w:hAnsi="仿宋" w:eastAsia="仿宋"/>
                <w:b/>
                <w:bCs/>
                <w:color w:val="auto"/>
                <w:highlight w:val="none"/>
              </w:rPr>
              <w:t>产品名称</w:t>
            </w:r>
          </w:p>
        </w:tc>
        <w:tc>
          <w:tcPr>
            <w:tcW w:w="857" w:type="pct"/>
            <w:tcBorders>
              <w:top w:val="single" w:color="auto" w:sz="4" w:space="0"/>
              <w:left w:val="nil"/>
              <w:bottom w:val="single" w:color="auto" w:sz="4" w:space="0"/>
              <w:right w:val="single" w:color="auto" w:sz="4" w:space="0"/>
            </w:tcBorders>
            <w:noWrap/>
            <w:vAlign w:val="center"/>
          </w:tcPr>
          <w:p w14:paraId="0412BAB5">
            <w:pPr>
              <w:adjustRightInd w:val="0"/>
              <w:snapToGrid w:val="0"/>
              <w:spacing w:line="360" w:lineRule="auto"/>
              <w:ind w:right="23"/>
              <w:jc w:val="center"/>
              <w:rPr>
                <w:rFonts w:hint="eastAsia" w:ascii="仿宋" w:hAnsi="仿宋" w:eastAsia="仿宋"/>
                <w:b/>
                <w:bCs/>
                <w:color w:val="auto"/>
                <w:highlight w:val="none"/>
              </w:rPr>
            </w:pPr>
            <w:r>
              <w:rPr>
                <w:rFonts w:hint="eastAsia" w:ascii="仿宋" w:hAnsi="仿宋" w:eastAsia="仿宋"/>
                <w:b/>
                <w:bCs/>
                <w:color w:val="auto"/>
                <w:highlight w:val="none"/>
              </w:rPr>
              <w:t>品牌、规格型号</w:t>
            </w:r>
          </w:p>
        </w:tc>
        <w:tc>
          <w:tcPr>
            <w:tcW w:w="2352" w:type="pct"/>
            <w:tcBorders>
              <w:top w:val="single" w:color="auto" w:sz="4" w:space="0"/>
              <w:left w:val="nil"/>
              <w:bottom w:val="single" w:color="auto" w:sz="4" w:space="0"/>
              <w:right w:val="single" w:color="auto" w:sz="4" w:space="0"/>
            </w:tcBorders>
            <w:noWrap/>
            <w:vAlign w:val="center"/>
          </w:tcPr>
          <w:p w14:paraId="6A7B0659">
            <w:pPr>
              <w:adjustRightInd w:val="0"/>
              <w:snapToGrid w:val="0"/>
              <w:spacing w:line="360" w:lineRule="auto"/>
              <w:ind w:right="23"/>
              <w:jc w:val="center"/>
              <w:rPr>
                <w:rFonts w:hint="eastAsia" w:ascii="仿宋" w:hAnsi="仿宋" w:eastAsia="仿宋"/>
                <w:b/>
                <w:bCs/>
                <w:color w:val="auto"/>
                <w:highlight w:val="none"/>
              </w:rPr>
            </w:pPr>
            <w:r>
              <w:rPr>
                <w:rFonts w:hint="eastAsia" w:ascii="仿宋" w:hAnsi="仿宋" w:eastAsia="仿宋"/>
                <w:b/>
                <w:bCs/>
                <w:color w:val="auto"/>
                <w:highlight w:val="none"/>
              </w:rPr>
              <w:t>规格及技术参数</w:t>
            </w:r>
          </w:p>
        </w:tc>
        <w:tc>
          <w:tcPr>
            <w:tcW w:w="996" w:type="pct"/>
            <w:tcBorders>
              <w:top w:val="single" w:color="auto" w:sz="4" w:space="0"/>
              <w:left w:val="nil"/>
              <w:bottom w:val="single" w:color="auto" w:sz="4" w:space="0"/>
              <w:right w:val="single" w:color="auto" w:sz="4" w:space="0"/>
            </w:tcBorders>
            <w:noWrap/>
            <w:vAlign w:val="center"/>
          </w:tcPr>
          <w:p w14:paraId="48182B97">
            <w:pPr>
              <w:adjustRightInd w:val="0"/>
              <w:snapToGrid w:val="0"/>
              <w:spacing w:line="360" w:lineRule="auto"/>
              <w:ind w:right="23"/>
              <w:jc w:val="center"/>
              <w:rPr>
                <w:rFonts w:hint="eastAsia" w:ascii="仿宋" w:hAnsi="仿宋" w:eastAsia="仿宋"/>
                <w:b/>
                <w:bCs/>
                <w:color w:val="auto"/>
                <w:highlight w:val="none"/>
              </w:rPr>
            </w:pPr>
            <w:r>
              <w:rPr>
                <w:rFonts w:hint="eastAsia" w:ascii="仿宋" w:hAnsi="仿宋" w:eastAsia="仿宋"/>
                <w:b/>
                <w:bCs/>
                <w:color w:val="auto"/>
                <w:highlight w:val="none"/>
              </w:rPr>
              <w:t>产品图片</w:t>
            </w:r>
          </w:p>
        </w:tc>
      </w:tr>
      <w:tr w14:paraId="19C1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331800C8">
            <w:pPr>
              <w:adjustRightInd w:val="0"/>
              <w:snapToGrid w:val="0"/>
              <w:spacing w:line="360" w:lineRule="auto"/>
              <w:ind w:right="23"/>
              <w:rPr>
                <w:rFonts w:hint="eastAsia" w:ascii="仿宋" w:hAnsi="仿宋" w:eastAsia="仿宋"/>
                <w:b/>
                <w:bCs/>
                <w:color w:val="auto"/>
                <w:highlight w:val="none"/>
              </w:rPr>
            </w:pPr>
            <w:r>
              <w:rPr>
                <w:rFonts w:hint="eastAsia" w:ascii="仿宋" w:hAnsi="仿宋" w:eastAsia="仿宋"/>
                <w:b/>
                <w:bCs/>
                <w:color w:val="auto"/>
                <w:highlight w:val="none"/>
              </w:rPr>
              <w:t>1</w:t>
            </w:r>
          </w:p>
        </w:tc>
        <w:tc>
          <w:tcPr>
            <w:tcW w:w="515" w:type="pct"/>
            <w:tcBorders>
              <w:top w:val="single" w:color="auto" w:sz="4" w:space="0"/>
              <w:left w:val="nil"/>
              <w:bottom w:val="single" w:color="auto" w:sz="4" w:space="0"/>
              <w:right w:val="single" w:color="auto" w:sz="4" w:space="0"/>
            </w:tcBorders>
            <w:noWrap/>
            <w:vAlign w:val="center"/>
          </w:tcPr>
          <w:p w14:paraId="0E4A7A30">
            <w:pPr>
              <w:adjustRightInd w:val="0"/>
              <w:snapToGrid w:val="0"/>
              <w:spacing w:line="360" w:lineRule="auto"/>
              <w:ind w:right="23"/>
              <w:rPr>
                <w:rFonts w:hint="eastAsia" w:ascii="仿宋" w:hAnsi="仿宋" w:eastAsia="仿宋"/>
                <w:b/>
                <w:bCs/>
                <w:color w:val="auto"/>
                <w:highlight w:val="none"/>
              </w:rPr>
            </w:pPr>
          </w:p>
        </w:tc>
        <w:tc>
          <w:tcPr>
            <w:tcW w:w="857" w:type="pct"/>
            <w:tcBorders>
              <w:top w:val="single" w:color="auto" w:sz="4" w:space="0"/>
              <w:left w:val="nil"/>
              <w:bottom w:val="single" w:color="auto" w:sz="4" w:space="0"/>
              <w:right w:val="single" w:color="auto" w:sz="4" w:space="0"/>
            </w:tcBorders>
            <w:noWrap/>
            <w:vAlign w:val="center"/>
          </w:tcPr>
          <w:p w14:paraId="7DC4C9FB">
            <w:pPr>
              <w:adjustRightInd w:val="0"/>
              <w:snapToGrid w:val="0"/>
              <w:spacing w:line="360" w:lineRule="auto"/>
              <w:ind w:right="23"/>
              <w:rPr>
                <w:rFonts w:hint="eastAsia" w:ascii="仿宋" w:hAnsi="仿宋" w:eastAsia="仿宋"/>
                <w:color w:val="auto"/>
                <w:sz w:val="18"/>
                <w:szCs w:val="18"/>
                <w:highlight w:val="none"/>
              </w:rPr>
            </w:pPr>
          </w:p>
        </w:tc>
        <w:tc>
          <w:tcPr>
            <w:tcW w:w="2352" w:type="pct"/>
            <w:tcBorders>
              <w:top w:val="single" w:color="auto" w:sz="4" w:space="0"/>
              <w:left w:val="nil"/>
              <w:bottom w:val="single" w:color="auto" w:sz="4" w:space="0"/>
              <w:right w:val="single" w:color="auto" w:sz="4" w:space="0"/>
            </w:tcBorders>
            <w:noWrap/>
            <w:vAlign w:val="center"/>
          </w:tcPr>
          <w:p w14:paraId="3751957A">
            <w:pPr>
              <w:adjustRightInd w:val="0"/>
              <w:snapToGrid w:val="0"/>
              <w:spacing w:line="360" w:lineRule="auto"/>
              <w:ind w:right="23"/>
              <w:rPr>
                <w:rFonts w:hint="eastAsia" w:ascii="仿宋" w:hAnsi="仿宋" w:eastAsia="仿宋"/>
                <w:b/>
                <w:bCs/>
                <w:color w:val="auto"/>
                <w:sz w:val="18"/>
                <w:szCs w:val="18"/>
                <w:highlight w:val="none"/>
              </w:rPr>
            </w:pPr>
          </w:p>
        </w:tc>
        <w:tc>
          <w:tcPr>
            <w:tcW w:w="996" w:type="pct"/>
            <w:tcBorders>
              <w:top w:val="single" w:color="auto" w:sz="4" w:space="0"/>
              <w:left w:val="nil"/>
              <w:bottom w:val="single" w:color="auto" w:sz="4" w:space="0"/>
              <w:right w:val="single" w:color="auto" w:sz="4" w:space="0"/>
            </w:tcBorders>
            <w:noWrap/>
            <w:vAlign w:val="center"/>
          </w:tcPr>
          <w:p w14:paraId="012CB86E">
            <w:pPr>
              <w:spacing w:after="120" w:line="360" w:lineRule="auto"/>
              <w:rPr>
                <w:rFonts w:hint="eastAsia" w:ascii="仿宋" w:hAnsi="仿宋" w:eastAsia="仿宋"/>
                <w:color w:val="auto"/>
                <w:sz w:val="24"/>
                <w:highlight w:val="none"/>
              </w:rPr>
            </w:pPr>
          </w:p>
        </w:tc>
      </w:tr>
      <w:tr w14:paraId="2DBF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05FFC01E">
            <w:pPr>
              <w:adjustRightInd w:val="0"/>
              <w:snapToGrid w:val="0"/>
              <w:spacing w:line="360" w:lineRule="auto"/>
              <w:ind w:right="23"/>
              <w:rPr>
                <w:rFonts w:hint="eastAsia" w:ascii="仿宋" w:hAnsi="仿宋" w:eastAsia="仿宋"/>
                <w:b/>
                <w:bCs/>
                <w:color w:val="auto"/>
                <w:highlight w:val="none"/>
              </w:rPr>
            </w:pPr>
          </w:p>
        </w:tc>
        <w:tc>
          <w:tcPr>
            <w:tcW w:w="515" w:type="pct"/>
            <w:tcBorders>
              <w:top w:val="single" w:color="auto" w:sz="4" w:space="0"/>
              <w:left w:val="nil"/>
              <w:bottom w:val="single" w:color="auto" w:sz="4" w:space="0"/>
              <w:right w:val="single" w:color="auto" w:sz="4" w:space="0"/>
            </w:tcBorders>
            <w:noWrap/>
            <w:vAlign w:val="center"/>
          </w:tcPr>
          <w:p w14:paraId="3B43330A">
            <w:pPr>
              <w:adjustRightInd w:val="0"/>
              <w:snapToGrid w:val="0"/>
              <w:spacing w:line="360" w:lineRule="auto"/>
              <w:ind w:right="23"/>
              <w:rPr>
                <w:rFonts w:hint="eastAsia" w:ascii="仿宋" w:hAnsi="仿宋" w:eastAsia="仿宋"/>
                <w:color w:val="auto"/>
                <w:highlight w:val="none"/>
              </w:rPr>
            </w:pPr>
          </w:p>
        </w:tc>
        <w:tc>
          <w:tcPr>
            <w:tcW w:w="857" w:type="pct"/>
            <w:tcBorders>
              <w:top w:val="single" w:color="auto" w:sz="4" w:space="0"/>
              <w:left w:val="nil"/>
              <w:bottom w:val="single" w:color="auto" w:sz="4" w:space="0"/>
              <w:right w:val="single" w:color="auto" w:sz="4" w:space="0"/>
            </w:tcBorders>
            <w:noWrap/>
            <w:vAlign w:val="center"/>
          </w:tcPr>
          <w:p w14:paraId="7EFE3B48">
            <w:pPr>
              <w:adjustRightInd w:val="0"/>
              <w:snapToGrid w:val="0"/>
              <w:spacing w:line="360" w:lineRule="auto"/>
              <w:ind w:right="23"/>
              <w:rPr>
                <w:rFonts w:hint="eastAsia" w:ascii="仿宋" w:hAnsi="仿宋" w:eastAsia="仿宋"/>
                <w:color w:val="auto"/>
                <w:sz w:val="18"/>
                <w:szCs w:val="18"/>
                <w:highlight w:val="none"/>
              </w:rPr>
            </w:pPr>
          </w:p>
        </w:tc>
        <w:tc>
          <w:tcPr>
            <w:tcW w:w="2352" w:type="pct"/>
            <w:tcBorders>
              <w:top w:val="single" w:color="auto" w:sz="4" w:space="0"/>
              <w:left w:val="nil"/>
              <w:bottom w:val="single" w:color="auto" w:sz="4" w:space="0"/>
              <w:right w:val="single" w:color="auto" w:sz="4" w:space="0"/>
            </w:tcBorders>
            <w:noWrap/>
            <w:vAlign w:val="center"/>
          </w:tcPr>
          <w:p w14:paraId="016DDC0A">
            <w:pPr>
              <w:adjustRightInd w:val="0"/>
              <w:snapToGrid w:val="0"/>
              <w:spacing w:line="360" w:lineRule="auto"/>
              <w:ind w:right="23"/>
              <w:rPr>
                <w:rFonts w:hint="eastAsia" w:ascii="仿宋" w:hAnsi="仿宋" w:eastAsia="仿宋"/>
                <w:color w:val="auto"/>
                <w:sz w:val="18"/>
                <w:szCs w:val="18"/>
                <w:highlight w:val="none"/>
              </w:rPr>
            </w:pPr>
          </w:p>
        </w:tc>
        <w:tc>
          <w:tcPr>
            <w:tcW w:w="996" w:type="pct"/>
            <w:tcBorders>
              <w:top w:val="single" w:color="auto" w:sz="4" w:space="0"/>
              <w:left w:val="nil"/>
              <w:bottom w:val="single" w:color="auto" w:sz="4" w:space="0"/>
              <w:right w:val="single" w:color="auto" w:sz="4" w:space="0"/>
            </w:tcBorders>
            <w:noWrap/>
            <w:vAlign w:val="center"/>
          </w:tcPr>
          <w:p w14:paraId="4C7A8D47">
            <w:pPr>
              <w:spacing w:after="120" w:line="360" w:lineRule="auto"/>
              <w:rPr>
                <w:rFonts w:hint="eastAsia" w:ascii="仿宋" w:hAnsi="仿宋" w:eastAsia="仿宋"/>
                <w:color w:val="auto"/>
                <w:sz w:val="24"/>
                <w:highlight w:val="none"/>
              </w:rPr>
            </w:pPr>
          </w:p>
        </w:tc>
      </w:tr>
      <w:tr w14:paraId="71BD3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5D9330A1">
            <w:pPr>
              <w:adjustRightInd w:val="0"/>
              <w:snapToGrid w:val="0"/>
              <w:spacing w:line="360" w:lineRule="auto"/>
              <w:ind w:right="23"/>
              <w:rPr>
                <w:rFonts w:hint="eastAsia" w:ascii="仿宋" w:hAnsi="仿宋" w:eastAsia="仿宋"/>
                <w:b/>
                <w:bCs/>
                <w:color w:val="auto"/>
                <w:highlight w:val="none"/>
              </w:rPr>
            </w:pPr>
          </w:p>
        </w:tc>
        <w:tc>
          <w:tcPr>
            <w:tcW w:w="515" w:type="pct"/>
            <w:tcBorders>
              <w:top w:val="single" w:color="auto" w:sz="4" w:space="0"/>
              <w:left w:val="nil"/>
              <w:bottom w:val="single" w:color="auto" w:sz="4" w:space="0"/>
              <w:right w:val="single" w:color="auto" w:sz="4" w:space="0"/>
            </w:tcBorders>
            <w:noWrap/>
            <w:vAlign w:val="center"/>
          </w:tcPr>
          <w:p w14:paraId="7F04A585">
            <w:pPr>
              <w:adjustRightInd w:val="0"/>
              <w:snapToGrid w:val="0"/>
              <w:spacing w:line="360" w:lineRule="auto"/>
              <w:ind w:right="23"/>
              <w:rPr>
                <w:rFonts w:hint="eastAsia" w:ascii="仿宋" w:hAnsi="仿宋" w:eastAsia="仿宋"/>
                <w:color w:val="auto"/>
                <w:highlight w:val="none"/>
              </w:rPr>
            </w:pPr>
          </w:p>
        </w:tc>
        <w:tc>
          <w:tcPr>
            <w:tcW w:w="857" w:type="pct"/>
            <w:tcBorders>
              <w:top w:val="single" w:color="auto" w:sz="4" w:space="0"/>
              <w:left w:val="nil"/>
              <w:bottom w:val="single" w:color="auto" w:sz="4" w:space="0"/>
              <w:right w:val="single" w:color="auto" w:sz="4" w:space="0"/>
            </w:tcBorders>
            <w:noWrap/>
            <w:vAlign w:val="center"/>
          </w:tcPr>
          <w:p w14:paraId="4BCB6131">
            <w:pPr>
              <w:adjustRightInd w:val="0"/>
              <w:snapToGrid w:val="0"/>
              <w:spacing w:line="360" w:lineRule="auto"/>
              <w:ind w:right="23"/>
              <w:rPr>
                <w:rFonts w:hint="eastAsia" w:ascii="仿宋" w:hAnsi="仿宋" w:eastAsia="仿宋"/>
                <w:color w:val="auto"/>
                <w:sz w:val="18"/>
                <w:szCs w:val="18"/>
                <w:highlight w:val="none"/>
              </w:rPr>
            </w:pPr>
          </w:p>
        </w:tc>
        <w:tc>
          <w:tcPr>
            <w:tcW w:w="2352" w:type="pct"/>
            <w:tcBorders>
              <w:top w:val="single" w:color="auto" w:sz="4" w:space="0"/>
              <w:left w:val="nil"/>
              <w:bottom w:val="single" w:color="auto" w:sz="4" w:space="0"/>
              <w:right w:val="single" w:color="auto" w:sz="4" w:space="0"/>
            </w:tcBorders>
            <w:noWrap/>
            <w:vAlign w:val="center"/>
          </w:tcPr>
          <w:p w14:paraId="65DF4096">
            <w:pPr>
              <w:adjustRightInd w:val="0"/>
              <w:snapToGrid w:val="0"/>
              <w:spacing w:line="360" w:lineRule="auto"/>
              <w:ind w:right="23"/>
              <w:rPr>
                <w:rFonts w:hint="eastAsia" w:ascii="仿宋" w:hAnsi="仿宋" w:eastAsia="仿宋"/>
                <w:color w:val="auto"/>
                <w:sz w:val="18"/>
                <w:szCs w:val="18"/>
                <w:highlight w:val="none"/>
              </w:rPr>
            </w:pPr>
          </w:p>
        </w:tc>
        <w:tc>
          <w:tcPr>
            <w:tcW w:w="996" w:type="pct"/>
            <w:tcBorders>
              <w:top w:val="single" w:color="auto" w:sz="4" w:space="0"/>
              <w:left w:val="nil"/>
              <w:bottom w:val="single" w:color="auto" w:sz="4" w:space="0"/>
              <w:right w:val="single" w:color="auto" w:sz="4" w:space="0"/>
            </w:tcBorders>
            <w:noWrap/>
            <w:vAlign w:val="center"/>
          </w:tcPr>
          <w:p w14:paraId="5F72DED6">
            <w:pPr>
              <w:spacing w:after="120" w:line="360" w:lineRule="auto"/>
              <w:rPr>
                <w:rFonts w:hint="eastAsia" w:ascii="仿宋" w:hAnsi="仿宋" w:eastAsia="仿宋"/>
                <w:color w:val="auto"/>
                <w:sz w:val="24"/>
                <w:highlight w:val="none"/>
              </w:rPr>
            </w:pPr>
          </w:p>
        </w:tc>
      </w:tr>
      <w:tr w14:paraId="3BCC8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77" w:type="pct"/>
            <w:tcBorders>
              <w:top w:val="single" w:color="auto" w:sz="4" w:space="0"/>
              <w:left w:val="single" w:color="auto" w:sz="4" w:space="0"/>
              <w:bottom w:val="single" w:color="auto" w:sz="4" w:space="0"/>
              <w:right w:val="single" w:color="auto" w:sz="4" w:space="0"/>
            </w:tcBorders>
            <w:noWrap/>
            <w:vAlign w:val="center"/>
          </w:tcPr>
          <w:p w14:paraId="3A69A9CF">
            <w:pPr>
              <w:adjustRightInd w:val="0"/>
              <w:snapToGrid w:val="0"/>
              <w:spacing w:line="360" w:lineRule="auto"/>
              <w:ind w:right="23"/>
              <w:rPr>
                <w:rFonts w:hint="eastAsia" w:ascii="仿宋" w:hAnsi="仿宋" w:eastAsia="仿宋"/>
                <w:b/>
                <w:bCs/>
                <w:color w:val="auto"/>
                <w:highlight w:val="none"/>
              </w:rPr>
            </w:pPr>
          </w:p>
        </w:tc>
        <w:tc>
          <w:tcPr>
            <w:tcW w:w="515" w:type="pct"/>
            <w:tcBorders>
              <w:top w:val="single" w:color="auto" w:sz="4" w:space="0"/>
              <w:left w:val="nil"/>
              <w:bottom w:val="single" w:color="auto" w:sz="4" w:space="0"/>
              <w:right w:val="single" w:color="auto" w:sz="4" w:space="0"/>
            </w:tcBorders>
            <w:noWrap/>
            <w:vAlign w:val="center"/>
          </w:tcPr>
          <w:p w14:paraId="58AD13C1">
            <w:pPr>
              <w:adjustRightInd w:val="0"/>
              <w:snapToGrid w:val="0"/>
              <w:spacing w:line="360" w:lineRule="auto"/>
              <w:ind w:right="23"/>
              <w:rPr>
                <w:rFonts w:hint="eastAsia" w:ascii="仿宋" w:hAnsi="仿宋" w:eastAsia="仿宋"/>
                <w:color w:val="auto"/>
                <w:highlight w:val="none"/>
              </w:rPr>
            </w:pPr>
          </w:p>
        </w:tc>
        <w:tc>
          <w:tcPr>
            <w:tcW w:w="857" w:type="pct"/>
            <w:tcBorders>
              <w:top w:val="single" w:color="auto" w:sz="4" w:space="0"/>
              <w:left w:val="nil"/>
              <w:bottom w:val="single" w:color="auto" w:sz="4" w:space="0"/>
              <w:right w:val="single" w:color="auto" w:sz="4" w:space="0"/>
            </w:tcBorders>
            <w:noWrap/>
            <w:vAlign w:val="center"/>
          </w:tcPr>
          <w:p w14:paraId="22A4C912">
            <w:pPr>
              <w:adjustRightInd w:val="0"/>
              <w:snapToGrid w:val="0"/>
              <w:spacing w:line="360" w:lineRule="auto"/>
              <w:ind w:right="23"/>
              <w:rPr>
                <w:rFonts w:hint="eastAsia" w:ascii="仿宋" w:hAnsi="仿宋" w:eastAsia="仿宋"/>
                <w:color w:val="auto"/>
                <w:sz w:val="18"/>
                <w:szCs w:val="18"/>
                <w:highlight w:val="none"/>
              </w:rPr>
            </w:pPr>
          </w:p>
        </w:tc>
        <w:tc>
          <w:tcPr>
            <w:tcW w:w="2352" w:type="pct"/>
            <w:tcBorders>
              <w:top w:val="single" w:color="auto" w:sz="4" w:space="0"/>
              <w:left w:val="nil"/>
              <w:bottom w:val="single" w:color="auto" w:sz="4" w:space="0"/>
              <w:right w:val="single" w:color="auto" w:sz="4" w:space="0"/>
            </w:tcBorders>
            <w:noWrap/>
            <w:vAlign w:val="center"/>
          </w:tcPr>
          <w:p w14:paraId="5BD0F808">
            <w:pPr>
              <w:adjustRightInd w:val="0"/>
              <w:snapToGrid w:val="0"/>
              <w:spacing w:line="360" w:lineRule="auto"/>
              <w:ind w:right="23"/>
              <w:rPr>
                <w:rFonts w:hint="eastAsia" w:ascii="仿宋" w:hAnsi="仿宋" w:eastAsia="仿宋"/>
                <w:color w:val="auto"/>
                <w:sz w:val="18"/>
                <w:szCs w:val="18"/>
                <w:highlight w:val="none"/>
              </w:rPr>
            </w:pPr>
          </w:p>
        </w:tc>
        <w:tc>
          <w:tcPr>
            <w:tcW w:w="996" w:type="pct"/>
            <w:tcBorders>
              <w:top w:val="single" w:color="auto" w:sz="4" w:space="0"/>
              <w:left w:val="nil"/>
              <w:bottom w:val="single" w:color="auto" w:sz="4" w:space="0"/>
              <w:right w:val="single" w:color="auto" w:sz="4" w:space="0"/>
            </w:tcBorders>
            <w:noWrap/>
            <w:vAlign w:val="center"/>
          </w:tcPr>
          <w:p w14:paraId="499AB64E">
            <w:pPr>
              <w:spacing w:after="120" w:line="360" w:lineRule="auto"/>
              <w:rPr>
                <w:rFonts w:hint="eastAsia" w:ascii="仿宋" w:hAnsi="仿宋" w:eastAsia="仿宋"/>
                <w:color w:val="auto"/>
                <w:sz w:val="24"/>
                <w:highlight w:val="none"/>
              </w:rPr>
            </w:pPr>
          </w:p>
        </w:tc>
      </w:tr>
    </w:tbl>
    <w:p w14:paraId="29B2724D">
      <w:pPr>
        <w:spacing w:after="120"/>
        <w:rPr>
          <w:rFonts w:hint="eastAsia" w:ascii="仿宋" w:hAnsi="仿宋" w:eastAsia="仿宋"/>
          <w:color w:val="auto"/>
          <w:spacing w:val="-10"/>
          <w:highlight w:val="none"/>
        </w:rPr>
      </w:pPr>
      <w:r>
        <w:rPr>
          <w:rFonts w:hint="eastAsia" w:ascii="仿宋" w:hAnsi="仿宋" w:eastAsia="仿宋"/>
          <w:color w:val="auto"/>
          <w:spacing w:val="-10"/>
          <w:highlight w:val="none"/>
        </w:rPr>
        <w:t xml:space="preserve"> </w:t>
      </w:r>
    </w:p>
    <w:p w14:paraId="6ED582DC">
      <w:pPr>
        <w:spacing w:after="120"/>
        <w:jc w:val="center"/>
        <w:rPr>
          <w:rFonts w:hint="eastAsia" w:ascii="仿宋" w:hAnsi="仿宋" w:eastAsia="仿宋"/>
          <w:b/>
          <w:bCs/>
          <w:color w:val="auto"/>
          <w:highlight w:val="none"/>
        </w:rPr>
      </w:pPr>
      <w:r>
        <w:rPr>
          <w:rFonts w:hint="eastAsia" w:ascii="仿宋" w:hAnsi="仿宋" w:eastAsia="仿宋"/>
          <w:b/>
          <w:bCs/>
          <w:color w:val="auto"/>
          <w:highlight w:val="none"/>
        </w:rPr>
        <w:t>产品零配件供应周期、工时费等服务标准</w:t>
      </w:r>
    </w:p>
    <w:tbl>
      <w:tblPr>
        <w:tblStyle w:val="5"/>
        <w:tblW w:w="4999"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7"/>
        <w:gridCol w:w="3317"/>
        <w:gridCol w:w="4170"/>
      </w:tblGrid>
      <w:tr w14:paraId="3712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34527DB2">
            <w:pPr>
              <w:spacing w:after="120"/>
              <w:rPr>
                <w:rFonts w:hint="eastAsia" w:ascii="仿宋" w:hAnsi="仿宋" w:eastAsia="仿宋"/>
                <w:b/>
                <w:bCs/>
                <w:color w:val="auto"/>
                <w:sz w:val="18"/>
                <w:szCs w:val="18"/>
                <w:highlight w:val="none"/>
              </w:rPr>
            </w:pPr>
            <w:r>
              <w:rPr>
                <w:rFonts w:hint="eastAsia" w:ascii="仿宋" w:hAnsi="仿宋" w:eastAsia="仿宋"/>
                <w:color w:val="auto"/>
                <w:spacing w:val="-10"/>
                <w:highlight w:val="none"/>
              </w:rPr>
              <w:t xml:space="preserve"> </w:t>
            </w:r>
            <w:r>
              <w:rPr>
                <w:rFonts w:hint="eastAsia" w:ascii="仿宋" w:hAnsi="仿宋" w:eastAsia="仿宋"/>
                <w:b/>
                <w:bCs/>
                <w:color w:val="auto"/>
                <w:sz w:val="18"/>
                <w:szCs w:val="18"/>
                <w:highlight w:val="none"/>
              </w:rPr>
              <w:t>序号</w:t>
            </w:r>
          </w:p>
        </w:tc>
        <w:tc>
          <w:tcPr>
            <w:tcW w:w="1948" w:type="pct"/>
            <w:tcBorders>
              <w:top w:val="single" w:color="auto" w:sz="4" w:space="0"/>
              <w:left w:val="nil"/>
              <w:bottom w:val="single" w:color="auto" w:sz="4" w:space="0"/>
              <w:right w:val="single" w:color="auto" w:sz="4" w:space="0"/>
            </w:tcBorders>
            <w:noWrap/>
            <w:vAlign w:val="center"/>
          </w:tcPr>
          <w:p w14:paraId="33E9B18B">
            <w:pPr>
              <w:adjustRightInd w:val="0"/>
              <w:snapToGrid w:val="0"/>
              <w:ind w:right="23"/>
              <w:jc w:val="center"/>
              <w:rPr>
                <w:rFonts w:hint="eastAsia" w:ascii="仿宋" w:hAnsi="仿宋" w:eastAsia="仿宋"/>
                <w:b/>
                <w:bCs/>
                <w:color w:val="auto"/>
                <w:sz w:val="18"/>
                <w:szCs w:val="18"/>
                <w:highlight w:val="none"/>
              </w:rPr>
            </w:pPr>
            <w:r>
              <w:rPr>
                <w:rFonts w:hint="eastAsia" w:ascii="仿宋" w:hAnsi="仿宋" w:eastAsia="仿宋"/>
                <w:b/>
                <w:bCs/>
                <w:color w:val="auto"/>
                <w:sz w:val="18"/>
                <w:szCs w:val="18"/>
                <w:highlight w:val="none"/>
              </w:rPr>
              <w:t>名称</w:t>
            </w:r>
          </w:p>
        </w:tc>
        <w:tc>
          <w:tcPr>
            <w:tcW w:w="2447" w:type="pct"/>
            <w:tcBorders>
              <w:top w:val="single" w:color="auto" w:sz="4" w:space="0"/>
              <w:left w:val="nil"/>
              <w:bottom w:val="single" w:color="auto" w:sz="4" w:space="0"/>
              <w:right w:val="single" w:color="auto" w:sz="4" w:space="0"/>
            </w:tcBorders>
            <w:noWrap/>
            <w:vAlign w:val="center"/>
          </w:tcPr>
          <w:p w14:paraId="4F95A186">
            <w:pPr>
              <w:adjustRightInd w:val="0"/>
              <w:snapToGrid w:val="0"/>
              <w:ind w:right="23"/>
              <w:jc w:val="center"/>
              <w:rPr>
                <w:rFonts w:hint="eastAsia" w:ascii="仿宋" w:hAnsi="仿宋" w:eastAsia="仿宋"/>
                <w:b/>
                <w:bCs/>
                <w:color w:val="auto"/>
                <w:sz w:val="18"/>
                <w:szCs w:val="18"/>
                <w:highlight w:val="none"/>
              </w:rPr>
            </w:pPr>
            <w:r>
              <w:rPr>
                <w:rFonts w:hint="eastAsia" w:ascii="仿宋" w:hAnsi="仿宋" w:eastAsia="仿宋"/>
                <w:b/>
                <w:bCs/>
                <w:color w:val="auto"/>
                <w:sz w:val="18"/>
                <w:szCs w:val="18"/>
                <w:highlight w:val="none"/>
              </w:rPr>
              <w:t>型号</w:t>
            </w:r>
          </w:p>
        </w:tc>
      </w:tr>
      <w:tr w14:paraId="6D8D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14305947">
            <w:pPr>
              <w:adjustRightInd w:val="0"/>
              <w:snapToGrid w:val="0"/>
              <w:ind w:right="23"/>
              <w:jc w:val="center"/>
              <w:rPr>
                <w:rFonts w:hint="eastAsia" w:ascii="仿宋" w:hAnsi="仿宋" w:eastAsia="仿宋"/>
                <w:color w:val="auto"/>
                <w:sz w:val="18"/>
                <w:szCs w:val="18"/>
                <w:highlight w:val="none"/>
              </w:rPr>
            </w:pPr>
            <w:r>
              <w:rPr>
                <w:rFonts w:hint="eastAsia" w:ascii="仿宋" w:hAnsi="仿宋" w:eastAsia="仿宋"/>
                <w:color w:val="auto"/>
                <w:sz w:val="18"/>
                <w:szCs w:val="18"/>
                <w:highlight w:val="none"/>
              </w:rPr>
              <w:t>1</w:t>
            </w:r>
          </w:p>
        </w:tc>
        <w:tc>
          <w:tcPr>
            <w:tcW w:w="1948" w:type="pct"/>
            <w:tcBorders>
              <w:top w:val="single" w:color="auto" w:sz="4" w:space="0"/>
              <w:left w:val="nil"/>
              <w:bottom w:val="single" w:color="auto" w:sz="4" w:space="0"/>
              <w:right w:val="single" w:color="auto" w:sz="4" w:space="0"/>
            </w:tcBorders>
            <w:noWrap/>
            <w:vAlign w:val="center"/>
          </w:tcPr>
          <w:p w14:paraId="02FF601F">
            <w:pPr>
              <w:adjustRightInd w:val="0"/>
              <w:snapToGrid w:val="0"/>
              <w:ind w:right="23"/>
              <w:jc w:val="center"/>
              <w:rPr>
                <w:rFonts w:hint="eastAsia" w:ascii="仿宋" w:hAnsi="仿宋" w:eastAsia="仿宋"/>
                <w:color w:val="auto"/>
                <w:sz w:val="18"/>
                <w:szCs w:val="18"/>
                <w:highlight w:val="none"/>
              </w:rPr>
            </w:pPr>
          </w:p>
        </w:tc>
        <w:tc>
          <w:tcPr>
            <w:tcW w:w="2447" w:type="pct"/>
            <w:tcBorders>
              <w:top w:val="single" w:color="auto" w:sz="4" w:space="0"/>
              <w:left w:val="nil"/>
              <w:bottom w:val="single" w:color="auto" w:sz="4" w:space="0"/>
              <w:right w:val="single" w:color="auto" w:sz="4" w:space="0"/>
            </w:tcBorders>
            <w:noWrap/>
            <w:vAlign w:val="center"/>
          </w:tcPr>
          <w:p w14:paraId="1F435551">
            <w:pPr>
              <w:adjustRightInd w:val="0"/>
              <w:snapToGrid w:val="0"/>
              <w:ind w:right="23"/>
              <w:jc w:val="center"/>
              <w:rPr>
                <w:rFonts w:hint="eastAsia" w:ascii="仿宋" w:hAnsi="仿宋" w:eastAsia="仿宋"/>
                <w:color w:val="auto"/>
                <w:sz w:val="18"/>
                <w:szCs w:val="18"/>
                <w:highlight w:val="none"/>
              </w:rPr>
            </w:pPr>
          </w:p>
        </w:tc>
      </w:tr>
      <w:tr w14:paraId="1EC04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7876DD37">
            <w:pPr>
              <w:adjustRightInd w:val="0"/>
              <w:snapToGrid w:val="0"/>
              <w:ind w:right="23"/>
              <w:jc w:val="center"/>
              <w:rPr>
                <w:rFonts w:hint="eastAsia" w:ascii="仿宋" w:hAnsi="仿宋" w:eastAsia="仿宋"/>
                <w:color w:val="auto"/>
                <w:sz w:val="18"/>
                <w:szCs w:val="18"/>
                <w:highlight w:val="none"/>
              </w:rPr>
            </w:pPr>
          </w:p>
        </w:tc>
        <w:tc>
          <w:tcPr>
            <w:tcW w:w="1948" w:type="pct"/>
            <w:tcBorders>
              <w:top w:val="single" w:color="auto" w:sz="4" w:space="0"/>
              <w:left w:val="nil"/>
              <w:bottom w:val="single" w:color="auto" w:sz="4" w:space="0"/>
              <w:right w:val="single" w:color="auto" w:sz="4" w:space="0"/>
            </w:tcBorders>
            <w:noWrap/>
            <w:vAlign w:val="center"/>
          </w:tcPr>
          <w:p w14:paraId="70DFB5FF">
            <w:pPr>
              <w:adjustRightInd w:val="0"/>
              <w:snapToGrid w:val="0"/>
              <w:ind w:right="23"/>
              <w:jc w:val="center"/>
              <w:rPr>
                <w:rFonts w:hint="eastAsia" w:ascii="仿宋" w:hAnsi="仿宋" w:eastAsia="仿宋"/>
                <w:color w:val="auto"/>
                <w:sz w:val="18"/>
                <w:szCs w:val="18"/>
                <w:highlight w:val="none"/>
              </w:rPr>
            </w:pPr>
          </w:p>
        </w:tc>
        <w:tc>
          <w:tcPr>
            <w:tcW w:w="2447" w:type="pct"/>
            <w:tcBorders>
              <w:top w:val="single" w:color="auto" w:sz="4" w:space="0"/>
              <w:left w:val="nil"/>
              <w:bottom w:val="single" w:color="auto" w:sz="4" w:space="0"/>
              <w:right w:val="single" w:color="auto" w:sz="4" w:space="0"/>
            </w:tcBorders>
            <w:noWrap/>
            <w:vAlign w:val="center"/>
          </w:tcPr>
          <w:p w14:paraId="3BF62960">
            <w:pPr>
              <w:adjustRightInd w:val="0"/>
              <w:snapToGrid w:val="0"/>
              <w:ind w:right="23"/>
              <w:jc w:val="center"/>
              <w:rPr>
                <w:rFonts w:hint="eastAsia" w:ascii="仿宋" w:hAnsi="仿宋" w:eastAsia="仿宋"/>
                <w:color w:val="auto"/>
                <w:sz w:val="18"/>
                <w:szCs w:val="18"/>
                <w:highlight w:val="none"/>
              </w:rPr>
            </w:pPr>
          </w:p>
        </w:tc>
      </w:tr>
      <w:tr w14:paraId="481C0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78A24CD1">
            <w:pPr>
              <w:adjustRightInd w:val="0"/>
              <w:snapToGrid w:val="0"/>
              <w:ind w:right="23"/>
              <w:jc w:val="center"/>
              <w:rPr>
                <w:rFonts w:hint="eastAsia" w:ascii="仿宋" w:hAnsi="仿宋" w:eastAsia="仿宋"/>
                <w:color w:val="auto"/>
                <w:sz w:val="18"/>
                <w:szCs w:val="18"/>
                <w:highlight w:val="none"/>
              </w:rPr>
            </w:pPr>
          </w:p>
        </w:tc>
        <w:tc>
          <w:tcPr>
            <w:tcW w:w="1948" w:type="pct"/>
            <w:tcBorders>
              <w:top w:val="single" w:color="auto" w:sz="4" w:space="0"/>
              <w:left w:val="nil"/>
              <w:bottom w:val="single" w:color="auto" w:sz="4" w:space="0"/>
              <w:right w:val="single" w:color="auto" w:sz="4" w:space="0"/>
            </w:tcBorders>
            <w:noWrap/>
            <w:vAlign w:val="center"/>
          </w:tcPr>
          <w:p w14:paraId="3C5E6E47">
            <w:pPr>
              <w:adjustRightInd w:val="0"/>
              <w:snapToGrid w:val="0"/>
              <w:ind w:right="23"/>
              <w:jc w:val="center"/>
              <w:rPr>
                <w:rFonts w:hint="eastAsia" w:ascii="仿宋" w:hAnsi="仿宋" w:eastAsia="仿宋"/>
                <w:color w:val="auto"/>
                <w:sz w:val="18"/>
                <w:szCs w:val="18"/>
                <w:highlight w:val="none"/>
              </w:rPr>
            </w:pPr>
          </w:p>
        </w:tc>
        <w:tc>
          <w:tcPr>
            <w:tcW w:w="2447" w:type="pct"/>
            <w:tcBorders>
              <w:top w:val="single" w:color="auto" w:sz="4" w:space="0"/>
              <w:left w:val="nil"/>
              <w:bottom w:val="single" w:color="auto" w:sz="4" w:space="0"/>
              <w:right w:val="single" w:color="auto" w:sz="4" w:space="0"/>
            </w:tcBorders>
            <w:noWrap/>
            <w:vAlign w:val="center"/>
          </w:tcPr>
          <w:p w14:paraId="68FD22F8">
            <w:pPr>
              <w:adjustRightInd w:val="0"/>
              <w:snapToGrid w:val="0"/>
              <w:ind w:right="23"/>
              <w:jc w:val="center"/>
              <w:rPr>
                <w:rFonts w:hint="eastAsia" w:ascii="仿宋" w:hAnsi="仿宋" w:eastAsia="仿宋"/>
                <w:color w:val="auto"/>
                <w:sz w:val="18"/>
                <w:szCs w:val="18"/>
                <w:highlight w:val="none"/>
              </w:rPr>
            </w:pPr>
          </w:p>
        </w:tc>
      </w:tr>
      <w:tr w14:paraId="28326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03" w:type="pct"/>
            <w:tcBorders>
              <w:top w:val="single" w:color="auto" w:sz="4" w:space="0"/>
              <w:left w:val="single" w:color="auto" w:sz="4" w:space="0"/>
              <w:bottom w:val="single" w:color="auto" w:sz="4" w:space="0"/>
              <w:right w:val="single" w:color="auto" w:sz="4" w:space="0"/>
            </w:tcBorders>
            <w:noWrap/>
            <w:vAlign w:val="center"/>
          </w:tcPr>
          <w:p w14:paraId="18D68127">
            <w:pPr>
              <w:adjustRightInd w:val="0"/>
              <w:snapToGrid w:val="0"/>
              <w:ind w:right="23"/>
              <w:jc w:val="center"/>
              <w:rPr>
                <w:rFonts w:hint="eastAsia" w:ascii="仿宋" w:hAnsi="仿宋" w:eastAsia="仿宋"/>
                <w:color w:val="auto"/>
                <w:sz w:val="18"/>
                <w:szCs w:val="18"/>
                <w:highlight w:val="none"/>
              </w:rPr>
            </w:pPr>
          </w:p>
        </w:tc>
        <w:tc>
          <w:tcPr>
            <w:tcW w:w="1948" w:type="pct"/>
            <w:tcBorders>
              <w:top w:val="single" w:color="auto" w:sz="4" w:space="0"/>
              <w:left w:val="nil"/>
              <w:bottom w:val="single" w:color="auto" w:sz="4" w:space="0"/>
              <w:right w:val="single" w:color="auto" w:sz="4" w:space="0"/>
            </w:tcBorders>
            <w:noWrap/>
            <w:vAlign w:val="center"/>
          </w:tcPr>
          <w:p w14:paraId="5B393403">
            <w:pPr>
              <w:adjustRightInd w:val="0"/>
              <w:snapToGrid w:val="0"/>
              <w:ind w:right="23"/>
              <w:jc w:val="center"/>
              <w:rPr>
                <w:rFonts w:hint="eastAsia" w:ascii="仿宋" w:hAnsi="仿宋" w:eastAsia="仿宋"/>
                <w:color w:val="auto"/>
                <w:sz w:val="18"/>
                <w:szCs w:val="18"/>
                <w:highlight w:val="none"/>
              </w:rPr>
            </w:pPr>
          </w:p>
        </w:tc>
        <w:tc>
          <w:tcPr>
            <w:tcW w:w="2447" w:type="pct"/>
            <w:tcBorders>
              <w:top w:val="single" w:color="auto" w:sz="4" w:space="0"/>
              <w:left w:val="nil"/>
              <w:bottom w:val="single" w:color="auto" w:sz="4" w:space="0"/>
              <w:right w:val="single" w:color="auto" w:sz="4" w:space="0"/>
            </w:tcBorders>
            <w:noWrap/>
            <w:vAlign w:val="center"/>
          </w:tcPr>
          <w:p w14:paraId="1628AC9F">
            <w:pPr>
              <w:adjustRightInd w:val="0"/>
              <w:snapToGrid w:val="0"/>
              <w:ind w:right="23"/>
              <w:jc w:val="center"/>
              <w:rPr>
                <w:rFonts w:hint="eastAsia" w:ascii="仿宋" w:hAnsi="仿宋" w:eastAsia="仿宋"/>
                <w:color w:val="auto"/>
                <w:sz w:val="18"/>
                <w:szCs w:val="18"/>
                <w:highlight w:val="none"/>
              </w:rPr>
            </w:pPr>
          </w:p>
        </w:tc>
      </w:tr>
      <w:tr w14:paraId="7206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6BA51343">
            <w:pPr>
              <w:adjustRightInd w:val="0"/>
              <w:snapToGrid w:val="0"/>
              <w:ind w:right="23"/>
              <w:jc w:val="center"/>
              <w:rPr>
                <w:rFonts w:hint="eastAsia" w:ascii="仿宋" w:hAnsi="仿宋" w:eastAsia="仿宋"/>
                <w:color w:val="auto"/>
                <w:sz w:val="18"/>
                <w:szCs w:val="18"/>
                <w:highlight w:val="none"/>
              </w:rPr>
            </w:pPr>
            <w:r>
              <w:rPr>
                <w:rFonts w:hint="eastAsia" w:ascii="仿宋" w:hAnsi="仿宋" w:eastAsia="仿宋"/>
                <w:color w:val="auto"/>
                <w:sz w:val="18"/>
                <w:szCs w:val="18"/>
                <w:highlight w:val="none"/>
              </w:rPr>
              <w:t xml:space="preserve">供应周期：     </w:t>
            </w:r>
          </w:p>
        </w:tc>
      </w:tr>
      <w:tr w14:paraId="3DF5A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1E0A2DDE">
            <w:pPr>
              <w:adjustRightInd w:val="0"/>
              <w:snapToGrid w:val="0"/>
              <w:ind w:right="23"/>
              <w:rPr>
                <w:rFonts w:hint="eastAsia" w:ascii="仿宋" w:hAnsi="仿宋" w:eastAsia="仿宋"/>
                <w:color w:val="auto"/>
                <w:sz w:val="18"/>
                <w:szCs w:val="18"/>
                <w:highlight w:val="none"/>
              </w:rPr>
            </w:pPr>
            <w:r>
              <w:rPr>
                <w:rFonts w:hint="eastAsia" w:ascii="仿宋" w:hAnsi="仿宋" w:eastAsia="仿宋"/>
                <w:color w:val="auto"/>
                <w:sz w:val="18"/>
                <w:szCs w:val="18"/>
                <w:highlight w:val="none"/>
              </w:rPr>
              <w:t>工时费：无</w:t>
            </w:r>
          </w:p>
        </w:tc>
      </w:tr>
      <w:tr w14:paraId="1CA96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5000" w:type="pct"/>
            <w:gridSpan w:val="3"/>
            <w:tcBorders>
              <w:top w:val="single" w:color="auto" w:sz="4" w:space="0"/>
              <w:left w:val="single" w:color="auto" w:sz="4" w:space="0"/>
              <w:bottom w:val="single" w:color="auto" w:sz="4" w:space="0"/>
              <w:right w:val="single" w:color="auto" w:sz="4" w:space="0"/>
            </w:tcBorders>
            <w:noWrap/>
            <w:vAlign w:val="center"/>
          </w:tcPr>
          <w:p w14:paraId="6140AE39">
            <w:pPr>
              <w:adjustRightInd w:val="0"/>
              <w:snapToGrid w:val="0"/>
              <w:ind w:right="23"/>
              <w:rPr>
                <w:rFonts w:hint="eastAsia" w:ascii="仿宋" w:hAnsi="仿宋" w:eastAsia="仿宋"/>
                <w:color w:val="auto"/>
                <w:sz w:val="18"/>
                <w:szCs w:val="18"/>
                <w:highlight w:val="none"/>
              </w:rPr>
            </w:pPr>
            <w:r>
              <w:rPr>
                <w:rFonts w:hint="eastAsia" w:ascii="仿宋" w:hAnsi="仿宋" w:eastAsia="仿宋"/>
                <w:color w:val="auto"/>
                <w:sz w:val="18"/>
                <w:szCs w:val="18"/>
                <w:highlight w:val="none"/>
              </w:rPr>
              <w:t>服务标准：符合国家标准；</w:t>
            </w:r>
          </w:p>
        </w:tc>
      </w:tr>
    </w:tbl>
    <w:p w14:paraId="0CEA4642">
      <w:pPr>
        <w:spacing w:line="240" w:lineRule="auto"/>
        <w:rPr>
          <w:rFonts w:hint="eastAsia" w:ascii="宋体" w:hAnsi="Times New Roman"/>
          <w:color w:val="auto"/>
          <w:kern w:val="0"/>
          <w:sz w:val="24"/>
          <w:highlight w:val="none"/>
        </w:rPr>
      </w:pPr>
    </w:p>
    <w:p w14:paraId="3C406EF3">
      <w:pPr>
        <w:rPr>
          <w:rFonts w:hint="eastAsia"/>
          <w:color w:val="auto"/>
          <w:highlight w:val="none"/>
        </w:rPr>
      </w:pPr>
    </w:p>
    <w:p w14:paraId="1E09E8D4">
      <w:pPr>
        <w:rPr>
          <w:color w:val="auto"/>
          <w:highlight w:val="none"/>
        </w:rPr>
      </w:pPr>
    </w:p>
    <w:p w14:paraId="0EA0F7EA">
      <w:pPr>
        <w:pStyle w:val="3"/>
        <w:spacing w:before="121" w:line="240" w:lineRule="auto"/>
        <w:ind w:left="110" w:right="0"/>
        <w:jc w:val="left"/>
        <w:rPr>
          <w:rFonts w:ascii="Arial Unicode MS" w:hAnsi="Arial Unicode MS" w:eastAsia="Arial Unicode MS" w:cs="Arial Unicode MS"/>
          <w:color w:val="auto"/>
          <w:w w:val="105"/>
          <w:highlight w:val="none"/>
        </w:rPr>
      </w:pPr>
    </w:p>
    <w:p w14:paraId="05C14052"/>
    <w:sectPr>
      <w:pgSz w:w="11900" w:h="16840"/>
      <w:pgMar w:top="1440" w:right="1800" w:bottom="1440" w:left="1800" w:header="0" w:footer="5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xNTI2MjNhYmQwZDEyYWFkZDk0M2QyN2EwZTJjMDMifQ=="/>
  </w:docVars>
  <w:rsids>
    <w:rsidRoot w:val="314F56E9"/>
    <w:rsid w:val="314F5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4"/>
    <w:basedOn w:val="1"/>
    <w:next w:val="1"/>
    <w:semiHidden/>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135"/>
      <w:ind w:left="490"/>
    </w:pPr>
    <w:rPr>
      <w:rFonts w:ascii="宋体" w:hAnsi="宋体" w:eastAsia="宋体"/>
      <w:sz w:val="19"/>
      <w:szCs w:val="19"/>
    </w:rPr>
  </w:style>
  <w:style w:type="paragraph" w:styleId="4">
    <w:name w:val="Plain Text"/>
    <w:basedOn w:val="1"/>
    <w:semiHidden/>
    <w:qFormat/>
    <w:uiPriority w:val="99"/>
    <w:rPr>
      <w:rFonts w:ascii="宋体" w:hAnsi="Courier New" w:cs="Courier New"/>
      <w:szCs w:val="21"/>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2024-11-15T06:54:00Z</dcterms:created>
  <dc:creator>霏羽</dc:creator>
  <cp:lastModifiedBy>霏羽</cp:lastModifiedBy>
  <dcterms:modified xsi:type="dcterms:W3CDTF">2024-11-15T06:55:08Z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7EF5BC73782E4AF2939CB51FA5879A57_11</vt:lpwstr>
  </property>
</Properties>
</file>