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陕西省文物局革命文物主题游径规划项目</w:t>
      </w:r>
    </w:p>
    <w:p>
      <w:pPr>
        <w:pStyle w:val="null3"/>
        <w:jc w:val="center"/>
        <w:outlineLvl w:val="2"/>
      </w:pPr>
      <w:r>
        <w:rPr>
          <w:sz w:val="28"/>
          <w:b/>
        </w:rPr>
        <w:t>采购项目编号：</w:t>
      </w:r>
      <w:r>
        <w:rPr>
          <w:sz w:val="28"/>
          <w:b/>
        </w:rPr>
        <w:t>KY2024-3-270</w:t>
      </w:r>
      <w:r>
        <w:br/>
      </w:r>
      <w:r>
        <w:br/>
      </w:r>
      <w:r>
        <w:br/>
      </w:r>
    </w:p>
    <w:p>
      <w:pPr>
        <w:pStyle w:val="null3"/>
        <w:jc w:val="center"/>
        <w:outlineLvl w:val="2"/>
      </w:pPr>
      <w:r>
        <w:rPr>
          <w:sz w:val="28"/>
          <w:b/>
        </w:rPr>
        <w:t>陕西省文物局机关</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陕西省文物局机关</w:t>
      </w:r>
      <w:r>
        <w:rPr/>
        <w:t>委托，拟对</w:t>
      </w:r>
      <w:r>
        <w:rPr/>
        <w:t>陕西省文物局革命文物主题游径规划项目</w:t>
      </w:r>
      <w:r>
        <w:rPr/>
        <w:t>采用竞争性磋商采购方式进行采购，兹邀请供应商参加本项目的竞争性磋商。</w:t>
      </w:r>
    </w:p>
    <w:p>
      <w:pPr>
        <w:pStyle w:val="null3"/>
        <w:outlineLvl w:val="2"/>
      </w:pPr>
      <w:r>
        <w:rPr>
          <w:sz w:val="28"/>
          <w:b/>
        </w:rPr>
        <w:t>一、项目编号：</w:t>
      </w:r>
      <w:r>
        <w:rPr>
          <w:sz w:val="28"/>
          <w:b/>
        </w:rPr>
        <w:t>KY2024-3-270</w:t>
      </w:r>
    </w:p>
    <w:p>
      <w:pPr>
        <w:pStyle w:val="null3"/>
        <w:outlineLvl w:val="2"/>
      </w:pPr>
      <w:r>
        <w:rPr>
          <w:sz w:val="28"/>
          <w:b/>
        </w:rPr>
        <w:t>二、项目名称：</w:t>
      </w:r>
      <w:r>
        <w:rPr>
          <w:sz w:val="28"/>
          <w:b/>
        </w:rPr>
        <w:t>陕西省文物局革命文物主题游径规划项目</w:t>
      </w:r>
    </w:p>
    <w:p>
      <w:pPr>
        <w:pStyle w:val="null3"/>
        <w:outlineLvl w:val="2"/>
      </w:pPr>
      <w:r>
        <w:rPr>
          <w:sz w:val="28"/>
          <w:b/>
        </w:rPr>
        <w:t>三、磋商项目简介</w:t>
      </w:r>
    </w:p>
    <w:p>
      <w:pPr>
        <w:pStyle w:val="null3"/>
        <w:ind w:firstLine="480"/>
      </w:pPr>
      <w:r>
        <w:rPr/>
        <w:t>陕西省文物局革命文物主题游径规划项目，采购需求：“中共中央 转战陕北”革命文物主题游径专项规划、“川陕红色交通线”革命文物主题游径规划。</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采购包1（陕西省文物局革命文物主题游径规划项目）：属于专门面向中小企业采购。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8、法定代表人授权书：定代表人授权书及被授权人身份证复印件。</w:t>
      </w:r>
    </w:p>
    <w:p>
      <w:pPr>
        <w:pStyle w:val="null3"/>
      </w:pPr>
      <w:r>
        <w:rPr/>
        <w:t>9、供应商资质：供应商具备有效的文物保护工程勘察设计乙级以上（含乙级）资质。</w:t>
      </w:r>
    </w:p>
    <w:p>
      <w:pPr>
        <w:pStyle w:val="null3"/>
      </w:pPr>
      <w:r>
        <w:rPr/>
        <w:t>10、中小企业声明函：提供中小企业声明函。（本项目为专门面向中、小、微型企业采购项目）</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陕西省文物局机关</w:t>
      </w:r>
    </w:p>
    <w:p>
      <w:pPr>
        <w:pStyle w:val="null3"/>
      </w:pPr>
      <w:r>
        <w:rPr/>
        <w:t xml:space="preserve"> 地址： </w:t>
      </w:r>
      <w:r>
        <w:rPr/>
        <w:t>陕西省西安市雁塔区雁塔西路193号</w:t>
      </w:r>
    </w:p>
    <w:p>
      <w:pPr>
        <w:pStyle w:val="null3"/>
      </w:pPr>
      <w:r>
        <w:rPr/>
        <w:t xml:space="preserve"> 邮编： </w:t>
      </w:r>
      <w:r>
        <w:rPr/>
        <w:t>710000</w:t>
      </w:r>
    </w:p>
    <w:p>
      <w:pPr>
        <w:pStyle w:val="null3"/>
      </w:pPr>
      <w:r>
        <w:rPr/>
        <w:t xml:space="preserve"> 联系人： </w:t>
      </w:r>
      <w:r>
        <w:rPr/>
        <w:t>同老师</w:t>
      </w:r>
    </w:p>
    <w:p>
      <w:pPr>
        <w:pStyle w:val="null3"/>
      </w:pPr>
      <w:r>
        <w:rPr/>
        <w:t xml:space="preserve"> 联系电话： </w:t>
      </w:r>
      <w:r>
        <w:rPr/>
        <w:t>029-85360115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徐闫靖双、李瑞洁、戈迪</w:t>
      </w:r>
    </w:p>
    <w:p>
      <w:pPr>
        <w:pStyle w:val="null3"/>
      </w:pPr>
      <w:r>
        <w:rPr/>
        <w:t xml:space="preserve"> 联系电话： </w:t>
      </w:r>
      <w:r>
        <w:rPr/>
        <w:t xml:space="preserve"> 029-81206622/81206633-841</w:t>
      </w:r>
    </w:p>
    <w:p>
      <w:pPr>
        <w:pStyle w:val="null3"/>
        <w:outlineLvl w:val="3"/>
      </w:pPr>
      <w:r>
        <w:rPr>
          <w:sz w:val="24"/>
          <w:b/>
        </w:rPr>
        <w:t>采购监督机构：</w:t>
      </w:r>
      <w:r>
        <w:rPr>
          <w:sz w:val="24"/>
          <w:b/>
        </w:rPr>
        <w:t>陕西省财政厅政府采购管理处</w:t>
      </w:r>
    </w:p>
    <w:p>
      <w:pPr>
        <w:pStyle w:val="null3"/>
        <w:ind w:firstLine="480"/>
      </w:pPr>
      <w:r>
        <w:rPr/>
        <w:t>联系人：</w:t>
      </w:r>
      <w:r>
        <w:rPr/>
        <w:t>柴老师、张老师</w:t>
      </w:r>
    </w:p>
    <w:p>
      <w:pPr>
        <w:pStyle w:val="null3"/>
        <w:ind w:firstLine="480"/>
      </w:pPr>
      <w:r>
        <w:rPr/>
        <w:t>联系电话：</w:t>
      </w:r>
      <w:r>
        <w:rPr/>
        <w:t>029-87611715、029-68936154</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银行账号：86113010750181501003760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陕西省文物局机关</w:t>
      </w:r>
      <w:r>
        <w:rPr/>
        <w:t>和</w:t>
      </w:r>
      <w:r>
        <w:rPr/>
        <w:t>陕西开源招标有限公司</w:t>
      </w:r>
      <w:r>
        <w:rPr/>
        <w:t>享有。对磋商文件中供应商参加本次政府采购活动应当具备的条件，磋商项目技术、服务、商务及其他要求，评审细则及标准由</w:t>
      </w:r>
      <w:r>
        <w:rPr/>
        <w:t>陕西省文物局机关</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陕西省文物局机关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按磋商文件、响应文件及合同约定执行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联系人：徐闫靖双、李瑞洁、戈迪</w:t>
      </w:r>
    </w:p>
    <w:p>
      <w:pPr>
        <w:pStyle w:val="null3"/>
      </w:pPr>
      <w:r>
        <w:rPr/>
        <w:t>联系电话：029-81206622/81206633-841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陕西省文物局革命文物主题游径规划项目，采购需求：“中共中央 转战陕北”革命文物主题游径专项规划、“川陕红色交通线”革命文物主题游径规划。</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主题游径规划</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标的名称：主题游径规划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arial" w:hAnsi="arial" w:cs="arial" w:eastAsia="arial"/>
                <w:sz w:val="21"/>
                <w:color w:val="000000"/>
              </w:rPr>
              <w:t>一、项目基本情况</w:t>
            </w:r>
          </w:p>
          <w:p>
            <w:pPr>
              <w:pStyle w:val="null3"/>
            </w:pPr>
            <w:r>
              <w:rPr>
                <w:rFonts w:ascii="arial" w:hAnsi="arial" w:cs="arial" w:eastAsia="arial"/>
                <w:sz w:val="21"/>
                <w:color w:val="000000"/>
              </w:rPr>
              <w:t>1.项目名称：“中共中央 转战陕北”“川陕红色交通线”革命文物主题游径规划（含绩效目标审核）</w:t>
            </w:r>
          </w:p>
          <w:p>
            <w:pPr>
              <w:pStyle w:val="null3"/>
            </w:pPr>
            <w:r>
              <w:rPr>
                <w:rFonts w:ascii="arial" w:hAnsi="arial" w:cs="arial" w:eastAsia="arial"/>
                <w:sz w:val="21"/>
                <w:color w:val="000000"/>
              </w:rPr>
              <w:t>2.采购需求：“中共中央 转战陕北”革命文物主题游径专项规划，1项；“川陕红色交通线”革命文物主题游径规划项目，1项。</w:t>
            </w:r>
          </w:p>
          <w:p>
            <w:pPr>
              <w:pStyle w:val="null3"/>
            </w:pPr>
            <w:r>
              <w:rPr>
                <w:rFonts w:ascii="arial" w:hAnsi="arial" w:cs="arial" w:eastAsia="arial"/>
                <w:sz w:val="21"/>
                <w:color w:val="000000"/>
              </w:rPr>
              <w:t>3.项目目标：完成“中共中央 转战陕北”、“川陕红色交通线”革命文物主题游径专项规划的编制。</w:t>
            </w:r>
          </w:p>
          <w:p>
            <w:pPr>
              <w:pStyle w:val="null3"/>
            </w:pPr>
            <w:r>
              <w:rPr>
                <w:rFonts w:ascii="arial" w:hAnsi="arial" w:cs="arial" w:eastAsia="arial"/>
                <w:sz w:val="21"/>
                <w:color w:val="000000"/>
              </w:rPr>
              <w:t>4.项目内容：依托梳理川陕红色交通线历史沿革、价值内涵以及主要不可移动革命文物，充分融合沿线历史文化名城名镇名村、历史文化街区、历史建筑、传统村落等相关资源，凝练“川陕红色交通线”革命主题游径，结合沿线文物保护管理现状，规划确定阶段性及区域性游径建设工作任务、分期目标和建设重点，打造区域性、复合型、专题性革命文物主题游径，以进一步保护与利用革命文物，推动革命文物与旅游深度融合发展，增益旅游历史文化底蕴，满足人民日益增长的美好生活需要，服务国家战略和经济社会发展。</w:t>
            </w:r>
          </w:p>
          <w:p>
            <w:pPr>
              <w:pStyle w:val="null3"/>
            </w:pPr>
            <w:r>
              <w:rPr>
                <w:rFonts w:ascii="arial" w:hAnsi="arial" w:cs="arial" w:eastAsia="arial"/>
                <w:sz w:val="21"/>
                <w:color w:val="000000"/>
              </w:rPr>
              <w:t>5.依托中共中央转战陕北、川陕片区革命史实，通过编制规划，梳理资源，串联融合周边相关资源，凝练提出游径线路、规划确定阶段性及区域性游径建设工作任务、分期目标和建设重点，打造区域性、复合型、专题性革命文物主题游径。</w:t>
            </w:r>
          </w:p>
          <w:p>
            <w:pPr>
              <w:pStyle w:val="null3"/>
            </w:pPr>
            <w:r>
              <w:rPr>
                <w:rFonts w:ascii="arial" w:hAnsi="arial" w:cs="arial" w:eastAsia="arial"/>
                <w:sz w:val="21"/>
                <w:color w:val="000000"/>
              </w:rPr>
              <w:t>6.成果要求：规划成果包括规划文本、规划图纸、规划附件，其中纸质版6份，电子版1份。</w:t>
            </w:r>
          </w:p>
          <w:p>
            <w:pPr>
              <w:pStyle w:val="null3"/>
            </w:pPr>
            <w:r>
              <w:rPr>
                <w:rFonts w:ascii="arial" w:hAnsi="arial" w:cs="arial" w:eastAsia="arial"/>
                <w:sz w:val="21"/>
                <w:color w:val="000000"/>
              </w:rPr>
              <w:t>二、合作期限：</w:t>
            </w:r>
          </w:p>
          <w:p>
            <w:pPr>
              <w:pStyle w:val="null3"/>
            </w:pPr>
            <w:r>
              <w:rPr>
                <w:rFonts w:ascii="arial" w:hAnsi="arial" w:cs="arial" w:eastAsia="arial"/>
                <w:sz w:val="21"/>
                <w:color w:val="000000"/>
              </w:rPr>
              <w:t>合同签订之日起至2025年3月31日。</w:t>
            </w:r>
          </w:p>
          <w:p>
            <w:pPr>
              <w:pStyle w:val="null3"/>
            </w:pPr>
            <w:r>
              <w:rPr>
                <w:rFonts w:ascii="arial" w:hAnsi="arial" w:cs="arial" w:eastAsia="arial"/>
                <w:sz w:val="21"/>
                <w:color w:val="000000"/>
              </w:rPr>
              <w:t>三、付款方式：</w:t>
            </w:r>
          </w:p>
          <w:p>
            <w:pPr>
              <w:pStyle w:val="null3"/>
            </w:pPr>
            <w:r>
              <w:rPr>
                <w:rFonts w:ascii="arial" w:hAnsi="arial" w:cs="arial" w:eastAsia="arial"/>
                <w:sz w:val="21"/>
                <w:color w:val="000000"/>
              </w:rPr>
              <w:t>(1)合同签订后10个工作日内一次性支付全部。</w:t>
            </w:r>
          </w:p>
          <w:p>
            <w:pPr>
              <w:pStyle w:val="null3"/>
            </w:pPr>
            <w:r>
              <w:rPr>
                <w:rFonts w:ascii="arial" w:hAnsi="arial" w:cs="arial" w:eastAsia="arial"/>
                <w:sz w:val="21"/>
                <w:color w:val="000000"/>
              </w:rPr>
              <w:t>四、保密</w:t>
            </w:r>
          </w:p>
          <w:p>
            <w:pPr>
              <w:pStyle w:val="null3"/>
            </w:pPr>
            <w:r>
              <w:rPr>
                <w:rFonts w:ascii="arial" w:hAnsi="arial" w:cs="arial" w:eastAsia="arial"/>
                <w:sz w:val="21"/>
                <w:color w:val="000000"/>
              </w:rPr>
              <w:t xml:space="preserve">    双方均应保护对方的知识产权，未经对方同意，任何一方均不得对对方的资料及文件擅自修改、复制或向第三人转让或用于本合同项目外的项目。如发生以上情况，泄密方承担一切由此引起的后果并承担赔偿责任。</w:t>
            </w:r>
          </w:p>
        </w:tc>
      </w:tr>
    </w:tbl>
    <w:p>
      <w:pPr>
        <w:pStyle w:val="null3"/>
        <w:outlineLvl w:val="2"/>
      </w:pPr>
      <w:r>
        <w:rPr>
          <w:sz w:val="28"/>
          <w:b/>
        </w:rPr>
        <w:t>3.2.3人员配置要求</w:t>
      </w:r>
    </w:p>
    <w:p>
      <w:pPr>
        <w:pStyle w:val="null3"/>
      </w:pPr>
      <w:r>
        <w:rPr/>
        <w:t>采购包1：</w:t>
      </w:r>
    </w:p>
    <w:p>
      <w:pPr>
        <w:pStyle w:val="null3"/>
      </w:pPr>
      <w:r>
        <w:rPr/>
        <w:t>满足项目实施要求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合同签订之日起至2025年3月31日。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按磋商文件、响应文件及合同约定执行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sz w:val="28"/>
          <w:b/>
        </w:rPr>
        <w:t>3.4其他要求</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建议顺丰邮寄，邮件签收时间应在递交电子响应文件截止时间之前，邮寄地址：西安市雁展路1111号莱安中心T6-15层，联系人：徐闫靖双、李瑞洁，联系电话：029-81206622/81206633-841）。 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投标人资格条件证明文件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定代表人授权书及被授权人身份证复印件。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供应商资质</w:t>
            </w:r>
          </w:p>
        </w:tc>
        <w:tc>
          <w:tcPr>
            <w:tcW w:type="dxa" w:w="3322"/>
          </w:tcPr>
          <w:p>
            <w:pPr>
              <w:pStyle w:val="null3"/>
            </w:pPr>
            <w:r>
              <w:rPr/>
              <w:t>供应商具备有效的文物保护工程勘察设计乙级以上（含乙级）资质。</w:t>
            </w:r>
          </w:p>
        </w:tc>
        <w:tc>
          <w:tcPr>
            <w:tcW w:type="dxa" w:w="1661"/>
          </w:tcPr>
          <w:p>
            <w:pPr>
              <w:pStyle w:val="null3"/>
            </w:pPr>
            <w:r>
              <w:rPr/>
              <w:t>投标人资格条件证明文件</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投标人资格条件证明文件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响应文件按磋商文件要求的数量、计量单位、报价货币及签字盖章</w:t>
            </w:r>
          </w:p>
        </w:tc>
        <w:tc>
          <w:tcPr>
            <w:tcW w:type="dxa" w:w="3322"/>
          </w:tcPr>
          <w:p>
            <w:pPr>
              <w:pStyle w:val="null3"/>
            </w:pPr>
            <w:r>
              <w:rPr/>
              <w:t>响应文件按磋商文件要求的数量、计量单位、报价货币及签字盖章</w:t>
            </w:r>
          </w:p>
        </w:tc>
        <w:tc>
          <w:tcPr>
            <w:tcW w:type="dxa" w:w="1661"/>
          </w:tcPr>
          <w:p>
            <w:pPr>
              <w:pStyle w:val="null3"/>
            </w:pPr>
            <w:r>
              <w:rPr/>
              <w:t>分项报价表 标的清单 响应函</w:t>
            </w:r>
          </w:p>
        </w:tc>
      </w:tr>
      <w:tr>
        <w:tc>
          <w:tcPr>
            <w:tcW w:type="dxa" w:w="831"/>
          </w:tcPr>
          <w:p>
            <w:pPr>
              <w:pStyle w:val="null3"/>
            </w:pPr>
            <w:r>
              <w:rPr/>
              <w:t>4</w:t>
            </w:r>
          </w:p>
        </w:tc>
        <w:tc>
          <w:tcPr>
            <w:tcW w:type="dxa" w:w="2492"/>
          </w:tcPr>
          <w:p>
            <w:pPr>
              <w:pStyle w:val="null3"/>
            </w:pPr>
            <w:r>
              <w:rPr/>
              <w:t>响应文件的有效期达到磋商文件要求</w:t>
            </w:r>
          </w:p>
        </w:tc>
        <w:tc>
          <w:tcPr>
            <w:tcW w:type="dxa" w:w="3322"/>
          </w:tcPr>
          <w:p>
            <w:pPr>
              <w:pStyle w:val="null3"/>
            </w:pPr>
            <w:r>
              <w:rPr/>
              <w:t>响应文件的有效期达到磋商文件要求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符合法律、法规和磋商文件中规定的其他实质性要求</w:t>
            </w:r>
          </w:p>
        </w:tc>
        <w:tc>
          <w:tcPr>
            <w:tcW w:type="dxa" w:w="3322"/>
          </w:tcPr>
          <w:p>
            <w:pPr>
              <w:pStyle w:val="null3"/>
            </w:pPr>
            <w:r>
              <w:rPr/>
              <w:t>符合法律、法规和磋商文件中规定的其他实质性要求</w:t>
            </w:r>
          </w:p>
        </w:tc>
        <w:tc>
          <w:tcPr>
            <w:tcW w:type="dxa" w:w="1661"/>
          </w:tcPr>
          <w:p>
            <w:pPr>
              <w:pStyle w:val="null3"/>
            </w:pPr>
            <w:r>
              <w:rPr/>
              <w:t>服务内容及服务邀请应答表 投标人认为有必要说明的问题 商务应答表 标的清单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项目分析</w:t>
            </w:r>
          </w:p>
        </w:tc>
        <w:tc>
          <w:tcPr>
            <w:tcW w:type="dxa" w:w="2492"/>
          </w:tcPr>
          <w:p>
            <w:pPr>
              <w:pStyle w:val="null3"/>
            </w:pPr>
            <w:r>
              <w:rPr/>
              <w:t>对项目背景、现状、规划条件的认识和了解，对现状及规划的分析与研究，修编内容详细、清晰，得8分；修编内容有缺失、内容较清晰，得5分；修编内容缺失较多，内容不清晰，得3分；不提供，得0分。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详细评审---项目分析</w:t>
            </w:r>
          </w:p>
        </w:tc>
      </w:tr>
      <w:tr>
        <w:tc>
          <w:tcPr>
            <w:tcW w:type="dxa" w:w="831"/>
            <w:vMerge/>
          </w:tcPr>
          <w:p/>
        </w:tc>
        <w:tc>
          <w:tcPr>
            <w:tcW w:type="dxa" w:w="1661"/>
          </w:tcPr>
          <w:p>
            <w:pPr>
              <w:pStyle w:val="null3"/>
            </w:pPr>
            <w:r>
              <w:rPr/>
              <w:t>实施方案</w:t>
            </w:r>
          </w:p>
        </w:tc>
        <w:tc>
          <w:tcPr>
            <w:tcW w:type="dxa" w:w="2492"/>
          </w:tcPr>
          <w:p>
            <w:pPr>
              <w:pStyle w:val="null3"/>
            </w:pPr>
            <w:r>
              <w:rPr/>
              <w:t>对本项目的规划实施方案思路清晰，内容框架完整，实施方案合理，包括但不限于专业资料搜集与内容梳理，实地调研与考察细致程度，内容完整、方案合理，得8分；内容较完整，方案较合理，得5分；内容不完整，方案不合理，得3分；不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详细评审---实施方案</w:t>
            </w:r>
          </w:p>
        </w:tc>
      </w:tr>
      <w:tr>
        <w:tc>
          <w:tcPr>
            <w:tcW w:type="dxa" w:w="831"/>
            <w:vMerge/>
          </w:tcPr>
          <w:p/>
        </w:tc>
        <w:tc>
          <w:tcPr>
            <w:tcW w:type="dxa" w:w="1661"/>
          </w:tcPr>
          <w:p>
            <w:pPr>
              <w:pStyle w:val="null3"/>
            </w:pPr>
            <w:r>
              <w:rPr/>
              <w:t>规划方案</w:t>
            </w:r>
          </w:p>
        </w:tc>
        <w:tc>
          <w:tcPr>
            <w:tcW w:type="dxa" w:w="2492"/>
          </w:tcPr>
          <w:p>
            <w:pPr>
              <w:pStyle w:val="null3"/>
            </w:pPr>
            <w:r>
              <w:rPr/>
              <w:t>规划方案能够明确提出规划要点、具有清晰的定位理念，内容完整，得8分；内容较，方案较合理，得5分；内容不完整，得3分；不提供，得0分。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详细评审---规划方案</w:t>
            </w:r>
          </w:p>
        </w:tc>
      </w:tr>
      <w:tr>
        <w:tc>
          <w:tcPr>
            <w:tcW w:type="dxa" w:w="831"/>
            <w:vMerge/>
          </w:tcPr>
          <w:p/>
        </w:tc>
        <w:tc>
          <w:tcPr>
            <w:tcW w:type="dxa" w:w="1661"/>
          </w:tcPr>
          <w:p>
            <w:pPr>
              <w:pStyle w:val="null3"/>
            </w:pPr>
            <w:r>
              <w:rPr/>
              <w:t>合理化建议</w:t>
            </w:r>
          </w:p>
        </w:tc>
        <w:tc>
          <w:tcPr>
            <w:tcW w:type="dxa" w:w="2492"/>
          </w:tcPr>
          <w:p>
            <w:pPr>
              <w:pStyle w:val="null3"/>
            </w:pPr>
            <w:r>
              <w:rPr/>
              <w:t>投标人能够对本项目实施做出科学合理的指导，可能遇到的实际问题进行调研、分析，提出解决方案，内容完整、方案合理，得8分；内容较完整，方案较合理，得5分；内容不完整，方案不合理，得3分；不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详细评审---合理化建议</w:t>
            </w:r>
          </w:p>
        </w:tc>
      </w:tr>
      <w:tr>
        <w:tc>
          <w:tcPr>
            <w:tcW w:type="dxa" w:w="831"/>
            <w:vMerge/>
          </w:tcPr>
          <w:p/>
        </w:tc>
        <w:tc>
          <w:tcPr>
            <w:tcW w:type="dxa" w:w="1661"/>
          </w:tcPr>
          <w:p>
            <w:pPr>
              <w:pStyle w:val="null3"/>
            </w:pPr>
            <w:r>
              <w:rPr/>
              <w:t>工作进度安排</w:t>
            </w:r>
          </w:p>
        </w:tc>
        <w:tc>
          <w:tcPr>
            <w:tcW w:type="dxa" w:w="2492"/>
          </w:tcPr>
          <w:p>
            <w:pPr>
              <w:pStyle w:val="null3"/>
            </w:pPr>
            <w:r>
              <w:rPr/>
              <w:t>对投标人对本项目的工作进度安排详细、科学、合理、切实可行，得8分；内容较详细、科学、合理，得5分；内容不详细、科学、合理，得3分；不提供，得0分。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详细评审---工作进度安排</w:t>
            </w:r>
          </w:p>
        </w:tc>
      </w:tr>
      <w:tr>
        <w:tc>
          <w:tcPr>
            <w:tcW w:type="dxa" w:w="831"/>
            <w:vMerge/>
          </w:tcPr>
          <w:p/>
        </w:tc>
        <w:tc>
          <w:tcPr>
            <w:tcW w:type="dxa" w:w="1661"/>
          </w:tcPr>
          <w:p>
            <w:pPr>
              <w:pStyle w:val="null3"/>
            </w:pPr>
            <w:r>
              <w:rPr/>
              <w:t>项目把控</w:t>
            </w:r>
          </w:p>
        </w:tc>
        <w:tc>
          <w:tcPr>
            <w:tcW w:type="dxa" w:w="2492"/>
          </w:tcPr>
          <w:p>
            <w:pPr>
              <w:pStyle w:val="null3"/>
            </w:pPr>
            <w:r>
              <w:rPr/>
              <w:t>对本项目成果构成的把控与深度认识的准确性，合理，得7分；较合理，得5分；不合理，得3分；不提供，得0分。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详细评审---项目把控</w:t>
            </w:r>
          </w:p>
        </w:tc>
      </w:tr>
      <w:tr>
        <w:tc>
          <w:tcPr>
            <w:tcW w:type="dxa" w:w="831"/>
            <w:vMerge/>
          </w:tcPr>
          <w:p/>
        </w:tc>
        <w:tc>
          <w:tcPr>
            <w:tcW w:type="dxa" w:w="1661"/>
          </w:tcPr>
          <w:p>
            <w:pPr>
              <w:pStyle w:val="null3"/>
            </w:pPr>
            <w:r>
              <w:rPr/>
              <w:t>应急措施</w:t>
            </w:r>
          </w:p>
        </w:tc>
        <w:tc>
          <w:tcPr>
            <w:tcW w:type="dxa" w:w="2492"/>
          </w:tcPr>
          <w:p>
            <w:pPr>
              <w:pStyle w:val="null3"/>
            </w:pPr>
            <w:r>
              <w:rPr/>
              <w:t>针对本项目若出现缺陷和瑕疵的应急补救措施和快速响应能力，对于本项目的后续服务工作安排详尽、切实、可行，且提出合理化建议，内容详细、科学、合理、切实可行，得7分；内容较详细、科学、合理，得5分；内容不详细、科学、合理，得3分；不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详细评审---应急措施</w:t>
            </w:r>
          </w:p>
        </w:tc>
      </w:tr>
      <w:tr>
        <w:tc>
          <w:tcPr>
            <w:tcW w:type="dxa" w:w="831"/>
            <w:vMerge/>
          </w:tcPr>
          <w:p/>
        </w:tc>
        <w:tc>
          <w:tcPr>
            <w:tcW w:type="dxa" w:w="1661"/>
          </w:tcPr>
          <w:p>
            <w:pPr>
              <w:pStyle w:val="null3"/>
            </w:pPr>
            <w:r>
              <w:rPr/>
              <w:t>项目组成人员</w:t>
            </w:r>
          </w:p>
        </w:tc>
        <w:tc>
          <w:tcPr>
            <w:tcW w:type="dxa" w:w="2492"/>
          </w:tcPr>
          <w:p>
            <w:pPr>
              <w:pStyle w:val="null3"/>
            </w:pPr>
            <w:r>
              <w:rPr/>
              <w:t>1、拟派项目负责人具备高级以上（含高级）工程师职称，得3分。 2、项目组成人员，除项目负责人外，具备中级以上（含中级）工程师职称，每提供一人计1分，本项最高计8分。 3、项目组成人员，除项目负责人外，具备文物保护工程责任设计师证书或注册规划师证书，每提供一人计1分，本项最高计8分。 4、参与本项目的人员架构清晰、分工明确，人员配置齐全、人员履历贴合项目需求的得5分，人员配置不合理，分工不明确，人员履历不符合的得2分，其余不得分。</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详细评审---项目组成人员</w:t>
            </w:r>
          </w:p>
        </w:tc>
      </w:tr>
      <w:tr>
        <w:tc>
          <w:tcPr>
            <w:tcW w:type="dxa" w:w="831"/>
            <w:vMerge/>
          </w:tcPr>
          <w:p/>
        </w:tc>
        <w:tc>
          <w:tcPr>
            <w:tcW w:type="dxa" w:w="1661"/>
          </w:tcPr>
          <w:p>
            <w:pPr>
              <w:pStyle w:val="null3"/>
            </w:pPr>
            <w:r>
              <w:rPr/>
              <w:t>业绩</w:t>
            </w:r>
          </w:p>
        </w:tc>
        <w:tc>
          <w:tcPr>
            <w:tcW w:type="dxa" w:w="2492"/>
          </w:tcPr>
          <w:p>
            <w:pPr>
              <w:pStyle w:val="null3"/>
            </w:pPr>
            <w:r>
              <w:rPr/>
              <w:t>供应商提供2020年1月1日至今（以合同签订时间为准）类似项目业绩合同，每提供一个计3分，最高计12分。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标的清单</w:t>
            </w:r>
          </w:p>
          <w:p>
            <w:pPr>
              <w:pStyle w:val="null3"/>
            </w:pPr>
            <w:r>
              <w:rPr/>
              <w:t>分项报价表</w:t>
            </w:r>
          </w:p>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详见附件：服务内容及服务邀请应答表</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详见附件：投标人认为有必要说明的问题</w:t>
      </w:r>
    </w:p>
    <w:p>
      <w:pPr>
        <w:pStyle w:val="null3"/>
        <w:ind w:firstLine="960"/>
      </w:pPr>
      <w:r>
        <w:rPr/>
        <w:t>详见附件：详细评审---项目分析</w:t>
      </w:r>
    </w:p>
    <w:p>
      <w:pPr>
        <w:pStyle w:val="null3"/>
        <w:ind w:firstLine="960"/>
      </w:pPr>
      <w:r>
        <w:rPr/>
        <w:t>详见附件：详细评审---实施方案</w:t>
      </w:r>
    </w:p>
    <w:p>
      <w:pPr>
        <w:pStyle w:val="null3"/>
        <w:ind w:firstLine="960"/>
      </w:pPr>
      <w:r>
        <w:rPr/>
        <w:t>详见附件：详细评审---规划方案</w:t>
      </w:r>
    </w:p>
    <w:p>
      <w:pPr>
        <w:pStyle w:val="null3"/>
        <w:ind w:firstLine="960"/>
      </w:pPr>
      <w:r>
        <w:rPr/>
        <w:t>详见附件：详细评审---合理化建议</w:t>
      </w:r>
    </w:p>
    <w:p>
      <w:pPr>
        <w:pStyle w:val="null3"/>
        <w:ind w:firstLine="960"/>
      </w:pPr>
      <w:r>
        <w:rPr/>
        <w:t>详见附件：详细评审---工作进度安排</w:t>
      </w:r>
    </w:p>
    <w:p>
      <w:pPr>
        <w:pStyle w:val="null3"/>
        <w:ind w:firstLine="960"/>
      </w:pPr>
      <w:r>
        <w:rPr/>
        <w:t>详见附件：详细评审---项目把控</w:t>
      </w:r>
    </w:p>
    <w:p>
      <w:pPr>
        <w:pStyle w:val="null3"/>
        <w:ind w:firstLine="960"/>
      </w:pPr>
      <w:r>
        <w:rPr/>
        <w:t>详见附件：详细评审---应急措施</w:t>
      </w:r>
    </w:p>
    <w:p>
      <w:pPr>
        <w:pStyle w:val="null3"/>
        <w:ind w:firstLine="960"/>
      </w:pPr>
      <w:r>
        <w:rPr/>
        <w:t>详见附件：详细评审---项目组成人员</w:t>
      </w:r>
    </w:p>
    <w:p>
      <w:pPr>
        <w:pStyle w:val="null3"/>
        <w:ind w:firstLine="960"/>
      </w:pPr>
      <w:r>
        <w:rPr/>
        <w:t>详见附件：详细评审---业绩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