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影像科采购多功能数字DR项目(二次)</w:t>
      </w:r>
    </w:p>
    <w:p>
      <w:pPr>
        <w:pStyle w:val="null3"/>
        <w:jc w:val="center"/>
        <w:outlineLvl w:val="2"/>
      </w:pPr>
      <w:r>
        <w:rPr>
          <w:sz w:val="28"/>
          <w:b/>
        </w:rPr>
        <w:t>采购项目编号：</w:t>
      </w:r>
      <w:r>
        <w:rPr>
          <w:sz w:val="28"/>
          <w:b/>
        </w:rPr>
        <w:t>SDZC2024-299</w:t>
      </w:r>
      <w:r>
        <w:br/>
      </w:r>
      <w:r>
        <w:br/>
      </w:r>
      <w:r>
        <w:br/>
      </w:r>
    </w:p>
    <w:p>
      <w:pPr>
        <w:pStyle w:val="null3"/>
        <w:jc w:val="center"/>
        <w:outlineLvl w:val="2"/>
      </w:pPr>
      <w:r>
        <w:rPr>
          <w:sz w:val="28"/>
          <w:b/>
        </w:rPr>
        <w:t>陕西省商洛疗养院</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陕西省商洛疗养院</w:t>
      </w:r>
      <w:r>
        <w:rPr/>
        <w:t>委托，拟对</w:t>
      </w:r>
      <w:r>
        <w:rPr/>
        <w:t>影像科采购多功能数字DR项目(二次)</w:t>
      </w:r>
      <w:r>
        <w:rPr/>
        <w:t>进行国内公开招标，兹邀请符合本次招标要求的供应商参加投标。</w:t>
      </w:r>
    </w:p>
    <w:p>
      <w:pPr>
        <w:pStyle w:val="null3"/>
        <w:outlineLvl w:val="2"/>
      </w:pPr>
      <w:r>
        <w:rPr>
          <w:sz w:val="28"/>
          <w:b/>
        </w:rPr>
        <w:t>一、采购项目编号：</w:t>
      </w:r>
      <w:r>
        <w:rPr>
          <w:sz w:val="28"/>
          <w:b/>
        </w:rPr>
        <w:t>SDZC2024-299</w:t>
      </w:r>
    </w:p>
    <w:p>
      <w:pPr>
        <w:pStyle w:val="null3"/>
        <w:outlineLvl w:val="2"/>
      </w:pPr>
      <w:r>
        <w:rPr>
          <w:sz w:val="28"/>
          <w:b/>
        </w:rPr>
        <w:t>二、采购项目名称：</w:t>
      </w:r>
      <w:r>
        <w:rPr>
          <w:sz w:val="28"/>
          <w:b/>
        </w:rPr>
        <w:t>影像科采购多功能数字DR项目(二次)</w:t>
      </w:r>
    </w:p>
    <w:p>
      <w:pPr>
        <w:pStyle w:val="null3"/>
        <w:outlineLvl w:val="2"/>
      </w:pPr>
      <w:r>
        <w:rPr>
          <w:sz w:val="28"/>
          <w:b/>
        </w:rPr>
        <w:t>三、招标项目简介</w:t>
      </w:r>
    </w:p>
    <w:p>
      <w:pPr>
        <w:pStyle w:val="null3"/>
        <w:ind w:firstLine="480"/>
      </w:pPr>
      <w:r>
        <w:rPr/>
        <w:t>为满足日常工作需求，影像科采购多功能数字DR一台。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人为制造商的应提供《医疗器械生产许可证》或（医疗器械生产备案凭证）；投标人为经销商的应提供《医疗器械经营许可证》或（医疗器械经营备案凭证）和生产厂家的《医疗器械生产许可证》或（医疗器械生产备案凭证）：投标人为制造商的应提供《医疗器械生产许可证》或（医疗器械生产备案凭证）；投标人为经销商的应提供《医疗器械经营许可证》或（医疗器械经营备案凭证）和生产厂家的《医疗器械生产许可证》或（医疗器械生产备案凭证）（复印件并加盖生产厂家公章）</w:t>
      </w:r>
    </w:p>
    <w:p>
      <w:pPr>
        <w:pStyle w:val="null3"/>
      </w:pPr>
      <w:r>
        <w:rPr/>
        <w:t>9、提供所投产品的《医疗器械注册证》或（医疗器械备案凭证）：提供所投产品的《医疗器械注册证》或（医疗器械备案凭证）；</w:t>
      </w:r>
    </w:p>
    <w:p>
      <w:pPr>
        <w:pStyle w:val="null3"/>
      </w:pPr>
      <w:r>
        <w:rPr/>
        <w:t>10、投标保证金交纳凭证或担保函：投标保证金交纳凭证或担保函；（投标保证交纳金凭证为银行凭证及基本账户证明资料，担保函为财政部门认可的政府采购信用担保机构出具）</w:t>
      </w:r>
    </w:p>
    <w:p>
      <w:pPr>
        <w:pStyle w:val="null3"/>
      </w:pPr>
      <w:r>
        <w:rPr/>
        <w:t>11、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12、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陕西省商洛疗养院</w:t>
      </w:r>
    </w:p>
    <w:p>
      <w:pPr>
        <w:pStyle w:val="null3"/>
      </w:pPr>
      <w:r>
        <w:rPr/>
        <w:t xml:space="preserve"> 地址： </w:t>
      </w:r>
      <w:r>
        <w:rPr/>
        <w:t>陕西省商洛市民乐路东侧</w:t>
      </w:r>
    </w:p>
    <w:p>
      <w:pPr>
        <w:pStyle w:val="null3"/>
      </w:pPr>
      <w:r>
        <w:rPr/>
        <w:t xml:space="preserve"> 邮编： </w:t>
      </w:r>
      <w:r>
        <w:rPr/>
        <w:t>726000</w:t>
      </w:r>
    </w:p>
    <w:p>
      <w:pPr>
        <w:pStyle w:val="null3"/>
      </w:pPr>
      <w:r>
        <w:rPr/>
        <w:t xml:space="preserve"> 联系人： </w:t>
      </w:r>
      <w:r>
        <w:rPr/>
        <w:t>陕西省商洛疗养院经办</w:t>
      </w:r>
    </w:p>
    <w:p>
      <w:pPr>
        <w:pStyle w:val="null3"/>
      </w:pPr>
      <w:r>
        <w:rPr/>
        <w:t xml:space="preserve"> 联系电话： </w:t>
      </w:r>
      <w:r>
        <w:rPr/>
        <w:t>0914-2312755</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李艳洁（4号工位）、张富红</w:t>
      </w:r>
    </w:p>
    <w:p>
      <w:pPr>
        <w:pStyle w:val="null3"/>
      </w:pPr>
      <w:r>
        <w:rPr/>
        <w:t xml:space="preserve"> 联系电话： </w:t>
      </w:r>
      <w:r>
        <w:rPr/>
        <w:t>029-86673953、86518381、89299829、89293231转8004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 1151 0000 0135 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汇款账户： 1.开户行名称：陕西上德招标有限公司 2.开 户 行：西安银行股份有限公司文景路支行 3.帐 号：7070 1151 0000 0135 22 财务部联系方式：029-86673953、029-86518381、029-89299829、029-89293231 转8033 备注：投标人在汇款（招标代理服务费）时须注明项目编号+项目简称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陕西省商洛疗养院</w:t>
      </w:r>
      <w:r>
        <w:rPr/>
        <w:t>和</w:t>
      </w:r>
      <w:r>
        <w:rPr/>
        <w:t>陕西上德招标有限公司</w:t>
      </w:r>
      <w:r>
        <w:rPr/>
        <w:t>享有。对招标文件中供应商参加本次政府采购活动应当具备的条件，招标项目技术、服务、商务及其他要求，评标细则及标准由</w:t>
      </w:r>
      <w:r>
        <w:rPr/>
        <w:t>陕西省商洛疗养院</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陕西省商洛疗养院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联系人：李艳洁（4号工位）</w:t>
      </w:r>
    </w:p>
    <w:p>
      <w:pPr>
        <w:pStyle w:val="null3"/>
      </w:pPr>
      <w:r>
        <w:rPr/>
        <w:t>联系电话：029-86673953、86518381、89299829、89293231转8004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为满足日常工作需求，影像科采购多功能数字DR一台。</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多功能数字DR一台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标的名称：多功能数字DR一台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7"/>
              <w:gridCol w:w="2291"/>
            </w:tblGrid>
            <w:tr>
              <w:tc>
                <w:tcPr>
                  <w:tcW w:type="dxa" w:w="257"/>
                  <w:tcBorders>
                    <w:top w:val="singl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序号</w:t>
                  </w:r>
                </w:p>
              </w:tc>
              <w:tc>
                <w:tcPr>
                  <w:tcW w:type="dxa" w:w="2291"/>
                  <w:tcBorders>
                    <w:top w:val="singl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技术指标要求</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性能及用途：</w:t>
                  </w:r>
                  <w:r>
                    <w:rPr>
                      <w:rFonts w:ascii="宋体" w:hAnsi="宋体" w:cs="宋体" w:eastAsia="宋体"/>
                      <w:sz w:val="24"/>
                    </w:rPr>
                    <w:t>本机具备</w:t>
                  </w:r>
                  <w:r>
                    <w:rPr>
                      <w:rFonts w:ascii="宋体" w:hAnsi="宋体" w:cs="宋体" w:eastAsia="宋体"/>
                      <w:sz w:val="24"/>
                    </w:rPr>
                    <w:t>DR摄影</w:t>
                  </w:r>
                  <w:r>
                    <w:rPr>
                      <w:rFonts w:ascii="宋体" w:hAnsi="宋体" w:cs="宋体" w:eastAsia="宋体"/>
                      <w:sz w:val="24"/>
                    </w:rPr>
                    <w:t>、</w:t>
                  </w:r>
                  <w:r>
                    <w:rPr>
                      <w:rFonts w:ascii="宋体" w:hAnsi="宋体" w:cs="宋体" w:eastAsia="宋体"/>
                      <w:sz w:val="24"/>
                    </w:rPr>
                    <w:t>数字透视</w:t>
                  </w:r>
                  <w:r>
                    <w:rPr>
                      <w:rFonts w:ascii="宋体" w:hAnsi="宋体" w:cs="宋体" w:eastAsia="宋体"/>
                      <w:sz w:val="24"/>
                    </w:rPr>
                    <w:t>及可视化</w:t>
                  </w:r>
                  <w:r>
                    <w:rPr>
                      <w:rFonts w:ascii="宋体" w:hAnsi="宋体" w:cs="宋体" w:eastAsia="宋体"/>
                      <w:sz w:val="24"/>
                    </w:rPr>
                    <w:t>摄影</w:t>
                  </w:r>
                  <w:r>
                    <w:rPr>
                      <w:rFonts w:ascii="宋体" w:hAnsi="宋体" w:cs="宋体" w:eastAsia="宋体"/>
                      <w:sz w:val="24"/>
                    </w:rPr>
                    <w:t>等</w:t>
                  </w:r>
                  <w:r>
                    <w:rPr>
                      <w:rFonts w:ascii="宋体" w:hAnsi="宋体" w:cs="宋体" w:eastAsia="宋体"/>
                      <w:sz w:val="24"/>
                    </w:rPr>
                    <w:t>功能，利用它可以</w:t>
                  </w:r>
                  <w:r>
                    <w:rPr>
                      <w:rFonts w:ascii="宋体" w:hAnsi="宋体" w:cs="宋体" w:eastAsia="宋体"/>
                      <w:sz w:val="24"/>
                    </w:rPr>
                    <w:t>进行</w:t>
                  </w:r>
                  <w:r>
                    <w:rPr>
                      <w:rFonts w:ascii="宋体" w:hAnsi="宋体" w:cs="宋体" w:eastAsia="宋体"/>
                      <w:sz w:val="24"/>
                    </w:rPr>
                    <w:t>头颅、胸部、腹部和四肢等部位的</w:t>
                  </w:r>
                  <w:r>
                    <w:rPr>
                      <w:rFonts w:ascii="宋体" w:hAnsi="宋体" w:cs="宋体" w:eastAsia="宋体"/>
                      <w:sz w:val="24"/>
                    </w:rPr>
                    <w:t>DR摄影</w:t>
                  </w:r>
                  <w:r>
                    <w:rPr>
                      <w:rFonts w:ascii="宋体" w:hAnsi="宋体" w:cs="宋体" w:eastAsia="宋体"/>
                      <w:sz w:val="24"/>
                    </w:rPr>
                    <w:t>，</w:t>
                  </w:r>
                  <w:r>
                    <w:rPr>
                      <w:rFonts w:ascii="宋体" w:hAnsi="宋体" w:cs="宋体" w:eastAsia="宋体"/>
                      <w:sz w:val="24"/>
                    </w:rPr>
                    <w:t>也</w:t>
                  </w:r>
                  <w:r>
                    <w:rPr>
                      <w:rFonts w:ascii="宋体" w:hAnsi="宋体" w:cs="宋体" w:eastAsia="宋体"/>
                      <w:sz w:val="24"/>
                    </w:rPr>
                    <w:t>可以进行胸部和腹部透视、</w:t>
                  </w:r>
                  <w:r>
                    <w:rPr>
                      <w:rFonts w:ascii="宋体" w:hAnsi="宋体" w:cs="宋体" w:eastAsia="宋体"/>
                      <w:sz w:val="24"/>
                    </w:rPr>
                    <w:t>及</w:t>
                  </w:r>
                  <w:r>
                    <w:rPr>
                      <w:rFonts w:ascii="宋体" w:hAnsi="宋体" w:cs="宋体" w:eastAsia="宋体"/>
                      <w:sz w:val="24"/>
                    </w:rPr>
                    <w:t>部分</w:t>
                  </w:r>
                  <w:r>
                    <w:rPr>
                      <w:rFonts w:ascii="宋体" w:hAnsi="宋体" w:cs="宋体" w:eastAsia="宋体"/>
                      <w:sz w:val="24"/>
                    </w:rPr>
                    <w:t>造影</w:t>
                  </w:r>
                  <w:r>
                    <w:rPr>
                      <w:rFonts w:ascii="宋体" w:hAnsi="宋体" w:cs="宋体" w:eastAsia="宋体"/>
                      <w:sz w:val="24"/>
                    </w:rPr>
                    <w:t>等功能</w:t>
                  </w:r>
                  <w:r>
                    <w:rPr>
                      <w:rFonts w:ascii="宋体" w:hAnsi="宋体" w:cs="宋体" w:eastAsia="宋体"/>
                      <w:sz w:val="24"/>
                    </w:rPr>
                    <w:t>，</w:t>
                  </w:r>
                  <w:r>
                    <w:rPr>
                      <w:rFonts w:ascii="宋体" w:hAnsi="宋体" w:cs="宋体" w:eastAsia="宋体"/>
                      <w:sz w:val="24"/>
                    </w:rPr>
                    <w:t>还</w:t>
                  </w:r>
                  <w:r>
                    <w:rPr>
                      <w:rFonts w:ascii="宋体" w:hAnsi="宋体" w:cs="宋体" w:eastAsia="宋体"/>
                      <w:sz w:val="24"/>
                    </w:rPr>
                    <w:t>可用于在透视下进行骨折整复、取异物等；</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落地式双立柱机械结构，非</w:t>
                  </w:r>
                  <w:r>
                    <w:rPr>
                      <w:rFonts w:ascii="宋体" w:hAnsi="宋体" w:cs="宋体" w:eastAsia="宋体"/>
                      <w:sz w:val="24"/>
                    </w:rPr>
                    <w:t>C形臂或U形臂（需提供有效证明资料，包括但不限于检验报告、产品彩页、官网截图等）</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配置：</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遥控操作台</w:t>
                  </w:r>
                  <w:r>
                    <w:rPr>
                      <w:rFonts w:ascii="&quot;times new roman&quot;" w:hAnsi="&quot;times new roman&quot;" w:cs="&quot;times new roman&quot;" w:eastAsia="&quot;times new roman&quot;"/>
                      <w:sz w:val="21"/>
                    </w:rPr>
                    <w:t xml:space="preserve"> </w:t>
                  </w:r>
                  <w:r>
                    <w:rPr>
                      <w:rFonts w:ascii="宋体" w:hAnsi="宋体" w:cs="宋体" w:eastAsia="宋体"/>
                      <w:sz w:val="24"/>
                    </w:rPr>
                    <w:t xml:space="preserve"> </w:t>
                  </w:r>
                  <w:r>
                    <w:rPr>
                      <w:rFonts w:ascii="宋体" w:hAnsi="宋体" w:cs="宋体" w:eastAsia="宋体"/>
                      <w:sz w:val="24"/>
                    </w:rPr>
                    <w:t>1</w:t>
                  </w:r>
                  <w:r>
                    <w:rPr>
                      <w:rFonts w:ascii="宋体" w:hAnsi="宋体" w:cs="宋体" w:eastAsia="宋体"/>
                      <w:sz w:val="24"/>
                    </w:rPr>
                    <w:t>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X射线高频高压发生器 1</w:t>
                  </w:r>
                  <w:r>
                    <w:rPr>
                      <w:rFonts w:ascii="宋体" w:hAnsi="宋体" w:cs="宋体" w:eastAsia="宋体"/>
                      <w:sz w:val="24"/>
                    </w:rPr>
                    <w:t>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摄影床</w:t>
                  </w:r>
                  <w:r>
                    <w:rPr>
                      <w:rFonts w:ascii="宋体" w:hAnsi="宋体" w:cs="宋体" w:eastAsia="宋体"/>
                      <w:sz w:val="24"/>
                    </w:rPr>
                    <w:t xml:space="preserve">   </w:t>
                  </w:r>
                  <w:r>
                    <w:rPr>
                      <w:rFonts w:ascii="宋体" w:hAnsi="宋体" w:cs="宋体" w:eastAsia="宋体"/>
                      <w:sz w:val="24"/>
                    </w:rPr>
                    <w:t xml:space="preserve"> </w:t>
                  </w:r>
                  <w:r>
                    <w:rPr>
                      <w:rFonts w:ascii="宋体" w:hAnsi="宋体" w:cs="宋体" w:eastAsia="宋体"/>
                      <w:sz w:val="24"/>
                    </w:rPr>
                    <w:t>1台</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w:t>
                  </w:r>
                  <w:r>
                    <w:rPr>
                      <w:rFonts w:ascii="宋体" w:hAnsi="宋体" w:cs="宋体" w:eastAsia="宋体"/>
                      <w:sz w:val="24"/>
                    </w:rPr>
                    <w:t>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滤线</w:t>
                  </w:r>
                  <w:r>
                    <w:rPr>
                      <w:rFonts w:ascii="宋体" w:hAnsi="宋体" w:cs="宋体" w:eastAsia="宋体"/>
                      <w:sz w:val="24"/>
                    </w:rPr>
                    <w:t>栅</w:t>
                  </w:r>
                  <w:r>
                    <w:rPr>
                      <w:rFonts w:ascii="&quot;times new roman&quot;" w:hAnsi="&quot;times new roman&quot;" w:cs="&quot;times new roman&quot;" w:eastAsia="&quot;times new roman&quot;"/>
                      <w:sz w:val="21"/>
                    </w:rPr>
                    <w:t xml:space="preserve">      </w:t>
                  </w:r>
                  <w:r>
                    <w:rPr>
                      <w:rFonts w:ascii="宋体" w:hAnsi="宋体" w:cs="宋体" w:eastAsia="宋体"/>
                      <w:sz w:val="24"/>
                    </w:rPr>
                    <w:t xml:space="preserve"> </w:t>
                  </w:r>
                  <w:r>
                    <w:rPr>
                      <w:rFonts w:ascii="宋体" w:hAnsi="宋体" w:cs="宋体" w:eastAsia="宋体"/>
                      <w:sz w:val="24"/>
                    </w:rPr>
                    <w:t>2</w:t>
                  </w:r>
                  <w:r>
                    <w:rPr>
                      <w:rFonts w:ascii="宋体" w:hAnsi="宋体" w:cs="宋体" w:eastAsia="宋体"/>
                      <w:sz w:val="24"/>
                    </w:rPr>
                    <w:t>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胸片架</w:t>
                  </w:r>
                  <w:r>
                    <w:rPr>
                      <w:rFonts w:ascii="宋体" w:hAnsi="宋体" w:cs="宋体" w:eastAsia="宋体"/>
                      <w:sz w:val="24"/>
                    </w:rPr>
                    <w:t xml:space="preserve">   </w:t>
                  </w:r>
                  <w:r>
                    <w:rPr>
                      <w:rFonts w:ascii="宋体" w:hAnsi="宋体" w:cs="宋体" w:eastAsia="宋体"/>
                      <w:sz w:val="24"/>
                    </w:rPr>
                    <w:t>1套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w:t>
                  </w:r>
                  <w:r>
                    <w:rPr>
                      <w:rFonts w:ascii="宋体" w:hAnsi="宋体" w:cs="宋体" w:eastAsia="宋体"/>
                      <w:sz w:val="24"/>
                    </w:rPr>
                    <w:t>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 xml:space="preserve">X射线管   </w:t>
                  </w:r>
                  <w:r>
                    <w:rPr>
                      <w:rFonts w:ascii="&quot;times new roman&quot;" w:hAnsi="&quot;times new roman&quot;" w:cs="&quot;times new roman&quot;" w:eastAsia="&quot;times new roman&quot;"/>
                      <w:sz w:val="21"/>
                    </w:rPr>
                    <w:t xml:space="preserve">  </w:t>
                  </w:r>
                  <w:r>
                    <w:rPr>
                      <w:rFonts w:ascii="宋体" w:hAnsi="宋体" w:cs="宋体" w:eastAsia="宋体"/>
                      <w:sz w:val="24"/>
                    </w:rPr>
                    <w:t xml:space="preserve"> </w:t>
                  </w:r>
                  <w:r>
                    <w:rPr>
                      <w:rFonts w:ascii="宋体" w:hAnsi="宋体" w:cs="宋体" w:eastAsia="宋体"/>
                      <w:sz w:val="24"/>
                    </w:rPr>
                    <w:t>1</w:t>
                  </w:r>
                  <w:r>
                    <w:rPr>
                      <w:rFonts w:ascii="宋体" w:hAnsi="宋体" w:cs="宋体" w:eastAsia="宋体"/>
                      <w:sz w:val="24"/>
                    </w:rPr>
                    <w:t>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w:t>
                  </w:r>
                  <w:r>
                    <w:rPr>
                      <w:rFonts w:ascii="宋体" w:hAnsi="宋体" w:cs="宋体" w:eastAsia="宋体"/>
                      <w:sz w:val="24"/>
                    </w:rPr>
                    <w:t>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动态平板探测器</w:t>
                  </w:r>
                  <w:r>
                    <w:rPr>
                      <w:rFonts w:ascii="宋体" w:hAnsi="宋体" w:cs="宋体" w:eastAsia="宋体"/>
                      <w:sz w:val="24"/>
                    </w:rPr>
                    <w:t>（碘化铯非晶硅</w:t>
                  </w:r>
                  <w:r>
                    <w:rPr>
                      <w:rFonts w:ascii="宋体" w:hAnsi="宋体" w:cs="宋体" w:eastAsia="宋体"/>
                      <w:sz w:val="24"/>
                    </w:rPr>
                    <w:t>整版非拼接</w:t>
                  </w:r>
                  <w:r>
                    <w:rPr>
                      <w:rFonts w:ascii="宋体" w:hAnsi="宋体" w:cs="宋体" w:eastAsia="宋体"/>
                      <w:sz w:val="24"/>
                    </w:rPr>
                    <w:t>)</w:t>
                  </w:r>
                  <w:r>
                    <w:rPr>
                      <w:rFonts w:ascii="宋体" w:hAnsi="宋体" w:cs="宋体" w:eastAsia="宋体"/>
                      <w:sz w:val="24"/>
                    </w:rPr>
                    <w:t>1</w:t>
                  </w:r>
                  <w:r>
                    <w:rPr>
                      <w:rFonts w:ascii="宋体" w:hAnsi="宋体" w:cs="宋体" w:eastAsia="宋体"/>
                      <w:sz w:val="24"/>
                    </w:rPr>
                    <w:t>套</w:t>
                  </w:r>
                  <w:r>
                    <w:rPr>
                      <w:rFonts w:ascii="宋体" w:hAnsi="宋体" w:cs="宋体" w:eastAsia="宋体"/>
                      <w:sz w:val="24"/>
                    </w:rPr>
                    <w:t>17*17</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2.</w:t>
                  </w:r>
                  <w:r>
                    <w:rPr>
                      <w:rFonts w:ascii="宋体" w:hAnsi="宋体" w:cs="宋体" w:eastAsia="宋体"/>
                      <w:sz w:val="24"/>
                    </w:rPr>
                    <w:t>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采集工作站</w:t>
                  </w:r>
                  <w:r>
                    <w:rPr>
                      <w:rFonts w:ascii="宋体" w:hAnsi="宋体" w:cs="宋体" w:eastAsia="宋体"/>
                      <w:sz w:val="24"/>
                    </w:rPr>
                    <w:t xml:space="preserve">  </w:t>
                  </w:r>
                  <w:r>
                    <w:rPr>
                      <w:rFonts w:ascii="宋体" w:hAnsi="宋体" w:cs="宋体" w:eastAsia="宋体"/>
                      <w:sz w:val="24"/>
                    </w:rPr>
                    <w:t>1套</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电源条件：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3.1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电压：</w:t>
                  </w:r>
                  <w:r>
                    <w:rPr>
                      <w:rFonts w:ascii="宋体" w:hAnsi="宋体" w:cs="宋体" w:eastAsia="宋体"/>
                      <w:sz w:val="24"/>
                    </w:rPr>
                    <w:t>380V±38V</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3.2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频率：</w:t>
                  </w:r>
                  <w:r>
                    <w:rPr>
                      <w:rFonts w:ascii="宋体" w:hAnsi="宋体" w:cs="宋体" w:eastAsia="宋体"/>
                      <w:sz w:val="24"/>
                    </w:rPr>
                    <w:t>50Hz±1Hz</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3.3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容量：</w:t>
                  </w:r>
                  <w:r>
                    <w:rPr>
                      <w:rFonts w:ascii="宋体" w:hAnsi="宋体" w:cs="宋体" w:eastAsia="宋体"/>
                      <w:sz w:val="24"/>
                    </w:rPr>
                    <w:t>≥</w:t>
                  </w:r>
                  <w:r>
                    <w:rPr>
                      <w:rFonts w:ascii="宋体" w:hAnsi="宋体" w:cs="宋体" w:eastAsia="宋体"/>
                      <w:sz w:val="24"/>
                    </w:rPr>
                    <w:t>10</w:t>
                  </w:r>
                  <w:r>
                    <w:rPr>
                      <w:rFonts w:ascii="宋体" w:hAnsi="宋体" w:cs="宋体" w:eastAsia="宋体"/>
                      <w:sz w:val="24"/>
                    </w:rPr>
                    <w:t>5kVA</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3.4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内阻：</w:t>
                  </w:r>
                  <w:r>
                    <w:rPr>
                      <w:rFonts w:ascii="宋体" w:hAnsi="宋体" w:cs="宋体" w:eastAsia="宋体"/>
                      <w:sz w:val="24"/>
                    </w:rPr>
                    <w:t>≤0.1</w:t>
                  </w:r>
                  <w:r>
                    <w:rPr>
                      <w:rFonts w:ascii="宋体" w:hAnsi="宋体" w:cs="宋体" w:eastAsia="宋体"/>
                      <w:sz w:val="24"/>
                    </w:rPr>
                    <w:t>7</w:t>
                  </w:r>
                  <w:r>
                    <w:rPr>
                      <w:rFonts w:ascii="宋体" w:hAnsi="宋体" w:cs="宋体" w:eastAsia="宋体"/>
                      <w:sz w:val="24"/>
                    </w:rPr>
                    <w:t>Ω</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高压发生器</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4.1</w:t>
                  </w:r>
                  <w:r>
                    <w:rPr>
                      <w:rFonts w:ascii="宋体" w:hAnsi="宋体" w:cs="宋体" w:eastAsia="宋体"/>
                      <w:sz w:val="24"/>
                    </w:rPr>
                    <w:t>*</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最大</w:t>
                  </w:r>
                  <w:r>
                    <w:rPr>
                      <w:rFonts w:ascii="宋体" w:hAnsi="宋体" w:cs="宋体" w:eastAsia="宋体"/>
                      <w:sz w:val="24"/>
                    </w:rPr>
                    <w:t>功率</w:t>
                  </w:r>
                  <w:r>
                    <w:rPr>
                      <w:rFonts w:ascii="宋体" w:hAnsi="宋体" w:cs="宋体" w:eastAsia="宋体"/>
                      <w:sz w:val="24"/>
                    </w:rPr>
                    <w:t>≥</w:t>
                  </w:r>
                  <w:r>
                    <w:rPr>
                      <w:rFonts w:ascii="宋体" w:hAnsi="宋体" w:cs="宋体" w:eastAsia="宋体"/>
                      <w:sz w:val="24"/>
                    </w:rPr>
                    <w:t>65</w:t>
                  </w:r>
                  <w:r>
                    <w:rPr>
                      <w:rFonts w:ascii="宋体" w:hAnsi="宋体" w:cs="宋体" w:eastAsia="宋体"/>
                      <w:sz w:val="24"/>
                    </w:rPr>
                    <w:t>KW</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主</w:t>
                  </w:r>
                  <w:r>
                    <w:rPr>
                      <w:rFonts w:ascii="宋体" w:hAnsi="宋体" w:cs="宋体" w:eastAsia="宋体"/>
                      <w:sz w:val="24"/>
                    </w:rPr>
                    <w:t>逆变频率</w:t>
                  </w:r>
                  <w:r>
                    <w:rPr>
                      <w:rFonts w:ascii="宋体" w:hAnsi="宋体" w:cs="宋体" w:eastAsia="宋体"/>
                      <w:sz w:val="24"/>
                    </w:rPr>
                    <w:t>≥</w:t>
                  </w:r>
                  <w:r>
                    <w:rPr>
                      <w:rFonts w:ascii="宋体" w:hAnsi="宋体" w:cs="宋体" w:eastAsia="宋体"/>
                      <w:sz w:val="24"/>
                    </w:rPr>
                    <w:t>480</w:t>
                  </w:r>
                  <w:r>
                    <w:rPr>
                      <w:rFonts w:ascii="宋体" w:hAnsi="宋体" w:cs="宋体" w:eastAsia="宋体"/>
                      <w:sz w:val="24"/>
                    </w:rPr>
                    <w:t>KHz</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摄影</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4.3.1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管电压：</w:t>
                  </w:r>
                  <w:r>
                    <w:rPr>
                      <w:rFonts w:ascii="宋体" w:hAnsi="宋体" w:cs="宋体" w:eastAsia="宋体"/>
                      <w:sz w:val="24"/>
                    </w:rPr>
                    <w:t>40kv—150kv 分档调节</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4.3.2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管电流：</w:t>
                  </w:r>
                  <w:r>
                    <w:rPr>
                      <w:rFonts w:ascii="宋体" w:hAnsi="宋体" w:cs="宋体" w:eastAsia="宋体"/>
                      <w:sz w:val="24"/>
                    </w:rPr>
                    <w:t>≥</w:t>
                  </w:r>
                  <w:r>
                    <w:rPr>
                      <w:rFonts w:ascii="宋体" w:hAnsi="宋体" w:cs="宋体" w:eastAsia="宋体"/>
                      <w:sz w:val="24"/>
                    </w:rPr>
                    <w:t>8</w:t>
                  </w:r>
                  <w:r>
                    <w:rPr>
                      <w:rFonts w:ascii="宋体" w:hAnsi="宋体" w:cs="宋体" w:eastAsia="宋体"/>
                      <w:sz w:val="24"/>
                    </w:rPr>
                    <w:t>00mA分档调节</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4.3.</w:t>
                  </w:r>
                  <w:r>
                    <w:rPr>
                      <w:rFonts w:ascii="宋体" w:hAnsi="宋体" w:cs="宋体" w:eastAsia="宋体"/>
                      <w:sz w:val="24"/>
                    </w:rPr>
                    <w:t>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具有自动曝光控制（</w:t>
                  </w:r>
                  <w:r>
                    <w:rPr>
                      <w:rFonts w:ascii="宋体" w:hAnsi="宋体" w:cs="宋体" w:eastAsia="宋体"/>
                      <w:sz w:val="24"/>
                    </w:rPr>
                    <w:t>AEC）功能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透视</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4.4.1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管电压：</w:t>
                  </w:r>
                  <w:r>
                    <w:rPr>
                      <w:rFonts w:ascii="宋体" w:hAnsi="宋体" w:cs="宋体" w:eastAsia="宋体"/>
                      <w:sz w:val="24"/>
                    </w:rPr>
                    <w:t>40kv—125kv 连续可调</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4.4.2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连续透视管电流：</w:t>
                  </w:r>
                  <w:r>
                    <w:rPr>
                      <w:rFonts w:ascii="宋体" w:hAnsi="宋体" w:cs="宋体" w:eastAsia="宋体"/>
                      <w:sz w:val="24"/>
                    </w:rPr>
                    <w:t>最小</w:t>
                  </w:r>
                  <w:r>
                    <w:rPr>
                      <w:rFonts w:ascii="宋体" w:hAnsi="宋体" w:cs="宋体" w:eastAsia="宋体"/>
                      <w:sz w:val="24"/>
                    </w:rPr>
                    <w:t>≤</w:t>
                  </w:r>
                  <w:r>
                    <w:rPr>
                      <w:rFonts w:ascii="宋体" w:hAnsi="宋体" w:cs="宋体" w:eastAsia="宋体"/>
                      <w:sz w:val="24"/>
                    </w:rPr>
                    <w:t>0.5mA</w:t>
                  </w:r>
                  <w:r>
                    <w:rPr>
                      <w:rFonts w:ascii="宋体" w:hAnsi="宋体" w:cs="宋体" w:eastAsia="宋体"/>
                      <w:sz w:val="24"/>
                    </w:rPr>
                    <w:t>，</w:t>
                  </w:r>
                  <w:r>
                    <w:rPr>
                      <w:rFonts w:ascii="宋体" w:hAnsi="宋体" w:cs="宋体" w:eastAsia="宋体"/>
                      <w:sz w:val="24"/>
                    </w:rPr>
                    <w:t>最大</w:t>
                  </w:r>
                  <w:r>
                    <w:rPr>
                      <w:rFonts w:ascii="宋体" w:hAnsi="宋体" w:cs="宋体" w:eastAsia="宋体"/>
                      <w:sz w:val="24"/>
                    </w:rPr>
                    <w:t>≥</w:t>
                  </w:r>
                  <w:r>
                    <w:rPr>
                      <w:rFonts w:ascii="宋体" w:hAnsi="宋体" w:cs="宋体" w:eastAsia="宋体"/>
                      <w:sz w:val="24"/>
                    </w:rPr>
                    <w:t>20mA</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4.4.</w:t>
                  </w:r>
                  <w:r>
                    <w:rPr>
                      <w:rFonts w:ascii="宋体" w:hAnsi="宋体" w:cs="宋体" w:eastAsia="宋体"/>
                      <w:sz w:val="24"/>
                    </w:rPr>
                    <w:t>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脉冲</w:t>
                  </w:r>
                  <w:r>
                    <w:rPr>
                      <w:rFonts w:ascii="宋体" w:hAnsi="宋体" w:cs="宋体" w:eastAsia="宋体"/>
                      <w:sz w:val="24"/>
                    </w:rPr>
                    <w:t>透视</w:t>
                  </w:r>
                  <w:r>
                    <w:rPr>
                      <w:rFonts w:ascii="宋体" w:hAnsi="宋体" w:cs="宋体" w:eastAsia="宋体"/>
                      <w:sz w:val="24"/>
                    </w:rPr>
                    <w:t>最高</w:t>
                  </w:r>
                  <w:r>
                    <w:rPr>
                      <w:rFonts w:ascii="宋体" w:hAnsi="宋体" w:cs="宋体" w:eastAsia="宋体"/>
                      <w:sz w:val="24"/>
                    </w:rPr>
                    <w:t>管电流：</w:t>
                  </w:r>
                  <w:r>
                    <w:rPr>
                      <w:rFonts w:ascii="宋体" w:hAnsi="宋体" w:cs="宋体" w:eastAsia="宋体"/>
                      <w:sz w:val="24"/>
                    </w:rPr>
                    <w:t>≥</w:t>
                  </w:r>
                  <w:r>
                    <w:rPr>
                      <w:rFonts w:ascii="宋体" w:hAnsi="宋体" w:cs="宋体" w:eastAsia="宋体"/>
                      <w:sz w:val="24"/>
                    </w:rPr>
                    <w:t>35</w:t>
                  </w:r>
                  <w:r>
                    <w:rPr>
                      <w:rFonts w:ascii="宋体" w:hAnsi="宋体" w:cs="宋体" w:eastAsia="宋体"/>
                      <w:sz w:val="24"/>
                    </w:rPr>
                    <w:t>mA</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w:t>
                  </w:r>
                  <w:r>
                    <w:rPr>
                      <w:rFonts w:ascii="宋体" w:hAnsi="宋体" w:cs="宋体" w:eastAsia="宋体"/>
                      <w:sz w:val="24"/>
                    </w:rPr>
                    <w:t>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最小电流时间积：</w:t>
                  </w:r>
                  <w:r>
                    <w:rPr>
                      <w:rFonts w:ascii="宋体" w:hAnsi="宋体" w:cs="宋体" w:eastAsia="宋体"/>
                      <w:sz w:val="24"/>
                    </w:rPr>
                    <w:t>≤0.</w:t>
                  </w:r>
                  <w:r>
                    <w:rPr>
                      <w:rFonts w:ascii="宋体" w:hAnsi="宋体" w:cs="宋体" w:eastAsia="宋体"/>
                      <w:sz w:val="24"/>
                    </w:rPr>
                    <w:t>1</w:t>
                  </w:r>
                  <w:r>
                    <w:rPr>
                      <w:rFonts w:ascii="宋体" w:hAnsi="宋体" w:cs="宋体" w:eastAsia="宋体"/>
                      <w:sz w:val="24"/>
                    </w:rPr>
                    <w:t>mA</w:t>
                  </w:r>
                  <w:r>
                    <w:rPr>
                      <w:rFonts w:ascii="宋体" w:hAnsi="宋体" w:cs="宋体" w:eastAsia="宋体"/>
                      <w:sz w:val="24"/>
                    </w:rPr>
                    <w:t>s</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最短加载时间：</w:t>
                  </w:r>
                  <w:r>
                    <w:rPr>
                      <w:rFonts w:ascii="宋体" w:hAnsi="宋体" w:cs="宋体" w:eastAsia="宋体"/>
                      <w:sz w:val="24"/>
                    </w:rPr>
                    <w:t>≤</w:t>
                  </w:r>
                  <w:r>
                    <w:rPr>
                      <w:rFonts w:ascii="宋体" w:hAnsi="宋体" w:cs="宋体" w:eastAsia="宋体"/>
                      <w:sz w:val="24"/>
                    </w:rPr>
                    <w:t>1</w:t>
                  </w:r>
                  <w:r>
                    <w:rPr>
                      <w:rFonts w:ascii="宋体" w:hAnsi="宋体" w:cs="宋体" w:eastAsia="宋体"/>
                      <w:sz w:val="24"/>
                    </w:rPr>
                    <w:t>m</w:t>
                  </w:r>
                  <w:r>
                    <w:rPr>
                      <w:rFonts w:ascii="宋体" w:hAnsi="宋体" w:cs="宋体" w:eastAsia="宋体"/>
                      <w:sz w:val="24"/>
                    </w:rPr>
                    <w:t>s</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4.7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具备自动控制曝光时间功能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X射线球管</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球管焦点：大焦</w:t>
                  </w:r>
                  <w:r>
                    <w:rPr>
                      <w:rFonts w:ascii="宋体" w:hAnsi="宋体" w:cs="宋体" w:eastAsia="宋体"/>
                      <w:sz w:val="24"/>
                    </w:rPr>
                    <w:t>/小焦</w:t>
                  </w:r>
                  <w:r>
                    <w:rPr>
                      <w:rFonts w:ascii="&quot;times new roman&quot;" w:hAnsi="&quot;times new roman&quot;" w:cs="&quot;times new roman&quot;" w:eastAsia="&quot;times new roman&quot;"/>
                      <w:sz w:val="21"/>
                    </w:rPr>
                    <w:t xml:space="preserve">  </w:t>
                  </w:r>
                  <w:r>
                    <w:rPr>
                      <w:rFonts w:ascii="宋体" w:hAnsi="宋体" w:cs="宋体" w:eastAsia="宋体"/>
                      <w:sz w:val="24"/>
                    </w:rPr>
                    <w:t>1.2</w:t>
                  </w:r>
                  <w:r>
                    <w:rPr>
                      <w:rFonts w:ascii="宋体" w:hAnsi="宋体" w:cs="宋体" w:eastAsia="宋体"/>
                      <w:sz w:val="24"/>
                    </w:rPr>
                    <w:t>mm</w:t>
                  </w:r>
                  <w:r>
                    <w:rPr>
                      <w:rFonts w:ascii="宋体" w:hAnsi="宋体" w:cs="宋体" w:eastAsia="宋体"/>
                      <w:sz w:val="24"/>
                    </w:rPr>
                    <w:t xml:space="preserve"> </w:t>
                  </w:r>
                  <w:r>
                    <w:rPr>
                      <w:rFonts w:ascii="宋体" w:hAnsi="宋体" w:cs="宋体" w:eastAsia="宋体"/>
                      <w:sz w:val="24"/>
                    </w:rPr>
                    <w:t>/0.6</w:t>
                  </w:r>
                  <w:r>
                    <w:rPr>
                      <w:rFonts w:ascii="宋体" w:hAnsi="宋体" w:cs="宋体" w:eastAsia="宋体"/>
                      <w:sz w:val="24"/>
                    </w:rPr>
                    <w:t>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X射线管组件</w:t>
                  </w:r>
                  <w:r>
                    <w:rPr>
                      <w:rFonts w:ascii="宋体" w:hAnsi="宋体" w:cs="宋体" w:eastAsia="宋体"/>
                      <w:sz w:val="24"/>
                    </w:rPr>
                    <w:t>热容量：</w:t>
                  </w:r>
                  <w:r>
                    <w:rPr>
                      <w:rFonts w:ascii="宋体" w:hAnsi="宋体" w:cs="宋体" w:eastAsia="宋体"/>
                      <w:sz w:val="24"/>
                    </w:rPr>
                    <w:t>≥1250kH</w:t>
                  </w:r>
                  <w:r>
                    <w:rPr>
                      <w:rFonts w:ascii="宋体" w:hAnsi="宋体" w:cs="宋体" w:eastAsia="宋体"/>
                      <w:sz w:val="24"/>
                    </w:rPr>
                    <w:t>U</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5.3</w:t>
                  </w:r>
                  <w:r>
                    <w:rPr>
                      <w:rFonts w:ascii="宋体" w:hAnsi="宋体" w:cs="宋体" w:eastAsia="宋体"/>
                      <w:sz w:val="24"/>
                    </w:rPr>
                    <w:t>*</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阳极热容量：</w:t>
                  </w:r>
                  <w:r>
                    <w:rPr>
                      <w:rFonts w:ascii="宋体" w:hAnsi="宋体" w:cs="宋体" w:eastAsia="宋体"/>
                      <w:sz w:val="24"/>
                    </w:rPr>
                    <w:t>≥</w:t>
                  </w:r>
                  <w:r>
                    <w:rPr>
                      <w:rFonts w:ascii="宋体" w:hAnsi="宋体" w:cs="宋体" w:eastAsia="宋体"/>
                      <w:sz w:val="24"/>
                    </w:rPr>
                    <w:t>300</w:t>
                  </w:r>
                  <w:r>
                    <w:rPr>
                      <w:rFonts w:ascii="宋体" w:hAnsi="宋体" w:cs="宋体" w:eastAsia="宋体"/>
                      <w:sz w:val="24"/>
                    </w:rPr>
                    <w:t>kH</w:t>
                  </w:r>
                  <w:r>
                    <w:rPr>
                      <w:rFonts w:ascii="宋体" w:hAnsi="宋体" w:cs="宋体" w:eastAsia="宋体"/>
                      <w:sz w:val="24"/>
                    </w:rPr>
                    <w:t>U</w:t>
                  </w:r>
                  <w:r>
                    <w:rPr>
                      <w:rFonts w:ascii="宋体" w:hAnsi="宋体" w:cs="宋体" w:eastAsia="宋体"/>
                      <w:sz w:val="24"/>
                    </w:rPr>
                    <w:t xml:space="preserve"> </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5.4</w:t>
                  </w:r>
                  <w:r>
                    <w:rPr>
                      <w:rFonts w:ascii="宋体" w:hAnsi="宋体" w:cs="宋体" w:eastAsia="宋体"/>
                      <w:sz w:val="24"/>
                    </w:rPr>
                    <w:t>*</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旋转阳极速度</w:t>
                  </w:r>
                  <w:r>
                    <w:rPr>
                      <w:rFonts w:ascii="宋体" w:hAnsi="宋体" w:cs="宋体" w:eastAsia="宋体"/>
                      <w:sz w:val="24"/>
                    </w:rPr>
                    <w:t>：</w:t>
                  </w:r>
                  <w:r>
                    <w:rPr>
                      <w:rFonts w:ascii="宋体" w:hAnsi="宋体" w:cs="宋体" w:eastAsia="宋体"/>
                      <w:sz w:val="24"/>
                    </w:rPr>
                    <w:t>≥</w:t>
                  </w:r>
                  <w:r>
                    <w:rPr>
                      <w:rFonts w:ascii="宋体" w:hAnsi="宋体" w:cs="宋体" w:eastAsia="宋体"/>
                      <w:sz w:val="24"/>
                    </w:rPr>
                    <w:t>9600rpm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4"/>
                    </w:rPr>
                    <w:t>焦点额定功率：小焦点</w:t>
                  </w:r>
                  <w:r>
                    <w:rPr>
                      <w:rFonts w:ascii="宋体" w:hAnsi="宋体" w:cs="宋体" w:eastAsia="宋体"/>
                      <w:sz w:val="24"/>
                    </w:rPr>
                    <w:t>≥</w:t>
                  </w:r>
                  <w:r>
                    <w:rPr>
                      <w:rFonts w:ascii="宋体" w:hAnsi="宋体" w:cs="宋体" w:eastAsia="宋体"/>
                      <w:sz w:val="24"/>
                    </w:rPr>
                    <w:t>27</w:t>
                  </w:r>
                  <w:r>
                    <w:rPr>
                      <w:rFonts w:ascii="宋体" w:hAnsi="宋体" w:cs="宋体" w:eastAsia="宋体"/>
                      <w:sz w:val="24"/>
                    </w:rPr>
                    <w:t>kW；大焦点≥</w:t>
                  </w:r>
                  <w:r>
                    <w:rPr>
                      <w:rFonts w:ascii="宋体" w:hAnsi="宋体" w:cs="宋体" w:eastAsia="宋体"/>
                      <w:sz w:val="24"/>
                    </w:rPr>
                    <w:t>75</w:t>
                  </w:r>
                  <w:r>
                    <w:rPr>
                      <w:rFonts w:ascii="宋体" w:hAnsi="宋体" w:cs="宋体" w:eastAsia="宋体"/>
                      <w:sz w:val="24"/>
                    </w:rPr>
                    <w:t>kW</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阳极靶角：</w:t>
                  </w:r>
                  <w:r>
                    <w:rPr>
                      <w:rFonts w:ascii="宋体" w:hAnsi="宋体" w:cs="宋体" w:eastAsia="宋体"/>
                      <w:sz w:val="24"/>
                    </w:rPr>
                    <w:t>≥12°</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最大阳极热耗散：</w:t>
                  </w:r>
                  <w:r>
                    <w:rPr>
                      <w:rFonts w:ascii="宋体" w:hAnsi="宋体" w:cs="宋体" w:eastAsia="宋体"/>
                      <w:sz w:val="24"/>
                    </w:rPr>
                    <w:t>≥850W</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靶材：铼钨合金、钼基</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5.9</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4"/>
                    </w:rPr>
                    <w:t>组件冷却方式：自然冷却或风冷</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摄影</w:t>
                  </w:r>
                  <w:r>
                    <w:rPr>
                      <w:rFonts w:ascii="宋体" w:hAnsi="宋体" w:cs="宋体" w:eastAsia="宋体"/>
                      <w:sz w:val="24"/>
                    </w:rPr>
                    <w:t>床</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w:t>
                  </w:r>
                  <w:r>
                    <w:rPr>
                      <w:rFonts w:ascii="宋体" w:hAnsi="宋体" w:cs="宋体" w:eastAsia="宋体"/>
                      <w:sz w:val="24"/>
                    </w:rPr>
                    <w:t>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球管立柱纵向行程</w:t>
                  </w:r>
                  <w:r>
                    <w:rPr>
                      <w:rFonts w:ascii="&quot;times new roman&quot;" w:hAnsi="&quot;times new roman&quot;" w:cs="&quot;times new roman&quot;" w:eastAsia="&quot;times new roman&quot;"/>
                      <w:sz w:val="21"/>
                    </w:rPr>
                    <w:t xml:space="preserve">   </w:t>
                  </w:r>
                  <w:r>
                    <w:rPr>
                      <w:rFonts w:ascii="宋体" w:hAnsi="宋体" w:cs="宋体" w:eastAsia="宋体"/>
                      <w:sz w:val="24"/>
                    </w:rPr>
                    <w:t>≥</w:t>
                  </w:r>
                  <w:r>
                    <w:rPr>
                      <w:rFonts w:ascii="宋体" w:hAnsi="宋体" w:cs="宋体" w:eastAsia="宋体"/>
                      <w:sz w:val="24"/>
                    </w:rPr>
                    <w:t>1400mm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沿立柱上下移动行程</w:t>
                  </w:r>
                  <w:r>
                    <w:rPr>
                      <w:rFonts w:ascii="&quot;times new roman&quot;" w:hAnsi="&quot;times new roman&quot;" w:cs="&quot;times new roman&quot;" w:eastAsia="&quot;times new roman&quot;"/>
                      <w:sz w:val="21"/>
                    </w:rPr>
                    <w:t xml:space="preserve">  </w:t>
                  </w:r>
                  <w:r>
                    <w:rPr>
                      <w:rFonts w:ascii="宋体" w:hAnsi="宋体" w:cs="宋体" w:eastAsia="宋体"/>
                      <w:sz w:val="24"/>
                    </w:rPr>
                    <w:t>≥</w:t>
                  </w:r>
                  <w:r>
                    <w:rPr>
                      <w:rFonts w:ascii="宋体" w:hAnsi="宋体" w:cs="宋体" w:eastAsia="宋体"/>
                      <w:sz w:val="24"/>
                    </w:rPr>
                    <w:t>1250mm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床面移动纵向行程</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1000mm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床面移动横向行程</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250mm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片盒移动纵向行程</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500mm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w:t>
                  </w:r>
                  <w:r>
                    <w:rPr>
                      <w:rFonts w:ascii="宋体" w:hAnsi="宋体" w:cs="宋体" w:eastAsia="宋体"/>
                      <w:sz w:val="24"/>
                    </w:rPr>
                    <w:t>.6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牛头转动</w:t>
                  </w:r>
                  <w:r>
                    <w:rPr>
                      <w:rFonts w:ascii="宋体" w:hAnsi="宋体" w:cs="宋体" w:eastAsia="宋体"/>
                      <w:sz w:val="24"/>
                    </w:rPr>
                    <w:t xml:space="preserve">   </w:t>
                  </w:r>
                  <w:r>
                    <w:rPr>
                      <w:rFonts w:ascii="宋体" w:hAnsi="宋体" w:cs="宋体" w:eastAsia="宋体"/>
                      <w:sz w:val="24"/>
                    </w:rPr>
                    <w:t>±90°</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床面最低高度</w:t>
                  </w:r>
                  <w:r>
                    <w:rPr>
                      <w:rFonts w:ascii="宋体" w:hAnsi="宋体" w:cs="宋体" w:eastAsia="宋体"/>
                      <w:sz w:val="24"/>
                    </w:rPr>
                    <w:t>≤</w:t>
                  </w:r>
                  <w:r>
                    <w:rPr>
                      <w:rFonts w:ascii="宋体" w:hAnsi="宋体" w:cs="宋体" w:eastAsia="宋体"/>
                      <w:sz w:val="24"/>
                    </w:rPr>
                    <w:t>550mm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球管立柱转动范围</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w:t>
                  </w:r>
                  <w:r>
                    <w:rPr>
                      <w:rFonts w:ascii="宋体" w:hAnsi="宋体" w:cs="宋体" w:eastAsia="宋体"/>
                      <w:sz w:val="24"/>
                    </w:rPr>
                    <w:t>18</w:t>
                  </w:r>
                  <w:r>
                    <w:rPr>
                      <w:rFonts w:ascii="宋体" w:hAnsi="宋体" w:cs="宋体" w:eastAsia="宋体"/>
                      <w:sz w:val="24"/>
                    </w:rPr>
                    <w:t>0°</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6.9</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床面板承重</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200kg</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胸片架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7.1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沿立柱上下移动行程</w:t>
                  </w:r>
                  <w:r>
                    <w:rPr>
                      <w:rFonts w:ascii="宋体" w:hAnsi="宋体" w:cs="宋体" w:eastAsia="宋体"/>
                      <w:sz w:val="24"/>
                    </w:rPr>
                    <w:t>≥</w:t>
                  </w:r>
                  <w:r>
                    <w:rPr>
                      <w:rFonts w:ascii="宋体" w:hAnsi="宋体" w:cs="宋体" w:eastAsia="宋体"/>
                      <w:sz w:val="24"/>
                    </w:rPr>
                    <w:t>1500mm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7.2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胸片架上下移动控制方式为手电一体控制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7.3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具备平板探测器与球管自动跟踪功能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7.4*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片盒中心最低离地高度</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3</w:t>
                  </w:r>
                  <w:r>
                    <w:rPr>
                      <w:rFonts w:ascii="宋体" w:hAnsi="宋体" w:cs="宋体" w:eastAsia="宋体"/>
                      <w:sz w:val="24"/>
                    </w:rPr>
                    <w:t>5</w:t>
                  </w:r>
                  <w:r>
                    <w:rPr>
                      <w:rFonts w:ascii="宋体" w:hAnsi="宋体" w:cs="宋体" w:eastAsia="宋体"/>
                      <w:sz w:val="24"/>
                    </w:rPr>
                    <w:t>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滤线栅</w:t>
                  </w:r>
                  <w:r>
                    <w:rPr>
                      <w:rFonts w:ascii="宋体" w:hAnsi="宋体" w:cs="宋体" w:eastAsia="宋体"/>
                      <w:sz w:val="24"/>
                    </w:rPr>
                    <w:t xml:space="preserve"> </w:t>
                  </w:r>
                  <w:r>
                    <w:rPr>
                      <w:rFonts w:ascii="宋体" w:hAnsi="宋体" w:cs="宋体" w:eastAsia="宋体"/>
                      <w:sz w:val="24"/>
                    </w:rPr>
                    <w:t>17*17</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8</w:t>
                  </w:r>
                  <w:r>
                    <w:rPr>
                      <w:rFonts w:ascii="宋体" w:hAnsi="宋体" w:cs="宋体" w:eastAsia="宋体"/>
                      <w:sz w:val="24"/>
                    </w:rPr>
                    <w:t>.</w:t>
                  </w:r>
                  <w:r>
                    <w:rPr>
                      <w:rFonts w:ascii="宋体" w:hAnsi="宋体" w:cs="宋体" w:eastAsia="宋体"/>
                      <w:sz w:val="24"/>
                    </w:rPr>
                    <w:t>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两块</w:t>
                  </w:r>
                  <w:r>
                    <w:rPr>
                      <w:rFonts w:ascii="宋体" w:hAnsi="宋体" w:cs="宋体" w:eastAsia="宋体"/>
                      <w:sz w:val="24"/>
                    </w:rPr>
                    <w:t>，</w:t>
                  </w:r>
                  <w:r>
                    <w:rPr>
                      <w:rFonts w:ascii="宋体" w:hAnsi="宋体" w:cs="宋体" w:eastAsia="宋体"/>
                      <w:sz w:val="24"/>
                    </w:rPr>
                    <w:t>会聚距离</w:t>
                  </w:r>
                  <w:r>
                    <w:rPr>
                      <w:rFonts w:ascii="宋体" w:hAnsi="宋体" w:cs="宋体" w:eastAsia="宋体"/>
                      <w:sz w:val="24"/>
                    </w:rPr>
                    <w:t>分别为</w:t>
                  </w:r>
                  <w:r>
                    <w:rPr>
                      <w:rFonts w:ascii="宋体" w:hAnsi="宋体" w:cs="宋体" w:eastAsia="宋体"/>
                      <w:sz w:val="24"/>
                    </w:rPr>
                    <w:t xml:space="preserve"> </w:t>
                  </w:r>
                  <w:r>
                    <w:rPr>
                      <w:rFonts w:ascii="宋体" w:hAnsi="宋体" w:cs="宋体" w:eastAsia="宋体"/>
                      <w:sz w:val="24"/>
                    </w:rPr>
                    <w:t>100cm/180cm</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专距专用，进一步提升图像质量</w:t>
                  </w:r>
                  <w:r>
                    <w:rPr>
                      <w:rFonts w:ascii="宋体" w:hAnsi="宋体" w:cs="宋体" w:eastAsia="宋体"/>
                      <w:sz w:val="24"/>
                    </w:rPr>
                    <w:t>)</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8.2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栅格比</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10:1</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8.3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栅密度</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200L/INCH</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动态平板探测器</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采用有线或无线平板探测器</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闪烁体材料：碘化铯</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有效面积</w:t>
                  </w:r>
                  <w:r>
                    <w:rPr>
                      <w:rFonts w:ascii="宋体" w:hAnsi="宋体" w:cs="宋体" w:eastAsia="宋体"/>
                      <w:sz w:val="24"/>
                    </w:rPr>
                    <w:t>≥4</w:t>
                  </w:r>
                  <w:r>
                    <w:rPr>
                      <w:rFonts w:ascii="宋体" w:hAnsi="宋体" w:cs="宋体" w:eastAsia="宋体"/>
                      <w:sz w:val="24"/>
                    </w:rPr>
                    <w:t>27mm</w:t>
                  </w:r>
                  <w:r>
                    <w:rPr>
                      <w:rFonts w:ascii="宋体" w:hAnsi="宋体" w:cs="宋体" w:eastAsia="宋体"/>
                      <w:sz w:val="24"/>
                    </w:rPr>
                    <w:t>(H)×4</w:t>
                  </w:r>
                  <w:r>
                    <w:rPr>
                      <w:rFonts w:ascii="宋体" w:hAnsi="宋体" w:cs="宋体" w:eastAsia="宋体"/>
                      <w:sz w:val="24"/>
                    </w:rPr>
                    <w:t>27mm</w:t>
                  </w:r>
                  <w:r>
                    <w:rPr>
                      <w:rFonts w:ascii="宋体" w:hAnsi="宋体" w:cs="宋体" w:eastAsia="宋体"/>
                      <w:sz w:val="24"/>
                    </w:rPr>
                    <w:t>(V)</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相素矩阵</w:t>
                  </w:r>
                  <w:r>
                    <w:rPr>
                      <w:rFonts w:ascii="宋体" w:hAnsi="宋体" w:cs="宋体" w:eastAsia="宋体"/>
                      <w:sz w:val="24"/>
                    </w:rPr>
                    <w:t>≥</w:t>
                  </w:r>
                  <w:r>
                    <w:rPr>
                      <w:rFonts w:ascii="宋体" w:hAnsi="宋体" w:cs="宋体" w:eastAsia="宋体"/>
                      <w:sz w:val="24"/>
                    </w:rPr>
                    <w:t>3050</w:t>
                  </w:r>
                  <w:r>
                    <w:rPr>
                      <w:rFonts w:ascii="宋体" w:hAnsi="宋体" w:cs="宋体" w:eastAsia="宋体"/>
                      <w:sz w:val="24"/>
                    </w:rPr>
                    <w:t>(H)×</w:t>
                  </w:r>
                  <w:r>
                    <w:rPr>
                      <w:rFonts w:ascii="宋体" w:hAnsi="宋体" w:cs="宋体" w:eastAsia="宋体"/>
                      <w:sz w:val="24"/>
                    </w:rPr>
                    <w:t>3050</w:t>
                  </w:r>
                  <w:r>
                    <w:rPr>
                      <w:rFonts w:ascii="宋体" w:hAnsi="宋体" w:cs="宋体" w:eastAsia="宋体"/>
                      <w:sz w:val="24"/>
                    </w:rPr>
                    <w:t>(V)</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相素间距：</w:t>
                  </w:r>
                  <w:r>
                    <w:rPr>
                      <w:rFonts w:ascii="宋体" w:hAnsi="宋体" w:cs="宋体" w:eastAsia="宋体"/>
                      <w:sz w:val="24"/>
                    </w:rPr>
                    <w:t>≤</w:t>
                  </w:r>
                  <w:r>
                    <w:rPr>
                      <w:rFonts w:ascii="宋体" w:hAnsi="宋体" w:cs="宋体" w:eastAsia="宋体"/>
                      <w:sz w:val="24"/>
                    </w:rPr>
                    <w:t>1</w:t>
                  </w:r>
                  <w:r>
                    <w:rPr>
                      <w:rFonts w:ascii="宋体" w:hAnsi="宋体" w:cs="宋体" w:eastAsia="宋体"/>
                      <w:sz w:val="24"/>
                    </w:rPr>
                    <w:t>4</w:t>
                  </w:r>
                  <w:r>
                    <w:rPr>
                      <w:rFonts w:ascii="宋体" w:hAnsi="宋体" w:cs="宋体" w:eastAsia="宋体"/>
                      <w:sz w:val="24"/>
                    </w:rPr>
                    <w:t>0μm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透视最高帧频</w:t>
                  </w:r>
                  <w:r>
                    <w:rPr>
                      <w:rFonts w:ascii="宋体" w:hAnsi="宋体" w:cs="宋体" w:eastAsia="宋体"/>
                      <w:sz w:val="24"/>
                    </w:rPr>
                    <w:t>：</w:t>
                  </w:r>
                  <w:r>
                    <w:rPr>
                      <w:rFonts w:ascii="宋体" w:hAnsi="宋体" w:cs="宋体" w:eastAsia="宋体"/>
                      <w:sz w:val="24"/>
                    </w:rPr>
                    <w:t>≥30fps</w:t>
                  </w:r>
                  <w:r>
                    <w:rPr>
                      <w:rFonts w:ascii="&quot;times new roman&quot;" w:hAnsi="&quot;times new roman&quot;" w:cs="&quot;times new roman&quot;" w:eastAsia="&quot;times new roman&quot;"/>
                      <w:sz w:val="21"/>
                    </w:rPr>
                    <w:t xml:space="preserve"> </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w:t>
                  </w:r>
                  <w:r>
                    <w:rPr>
                      <w:rFonts w:ascii="宋体" w:hAnsi="宋体" w:cs="宋体" w:eastAsia="宋体"/>
                      <w:sz w:val="24"/>
                    </w:rPr>
                    <w:t>.</w:t>
                  </w:r>
                  <w:r>
                    <w:rPr>
                      <w:rFonts w:ascii="宋体" w:hAnsi="宋体" w:cs="宋体" w:eastAsia="宋体"/>
                      <w:sz w:val="24"/>
                    </w:rPr>
                    <w:t>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空间分辨率：</w:t>
                  </w: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6</w:t>
                  </w:r>
                  <w:r>
                    <w:rPr>
                      <w:rFonts w:ascii="宋体" w:hAnsi="宋体" w:cs="宋体" w:eastAsia="宋体"/>
                      <w:sz w:val="24"/>
                    </w:rPr>
                    <w:t>lp/mm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图像输出灰阶：</w:t>
                  </w:r>
                  <w:r>
                    <w:rPr>
                      <w:rFonts w:ascii="宋体" w:hAnsi="宋体" w:cs="宋体" w:eastAsia="宋体"/>
                      <w:sz w:val="24"/>
                    </w:rPr>
                    <w:t>≥</w:t>
                  </w:r>
                  <w:r>
                    <w:rPr>
                      <w:rFonts w:ascii="宋体" w:hAnsi="宋体" w:cs="宋体" w:eastAsia="宋体"/>
                      <w:sz w:val="24"/>
                    </w:rPr>
                    <w:t>16bit</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9.9</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DQE:</w:t>
                  </w:r>
                  <w:r>
                    <w:rPr>
                      <w:rFonts w:ascii="宋体" w:hAnsi="宋体" w:cs="宋体" w:eastAsia="宋体"/>
                      <w:sz w:val="24"/>
                    </w:rPr>
                    <w:t>≥</w:t>
                  </w:r>
                  <w:r>
                    <w:rPr>
                      <w:rFonts w:ascii="宋体" w:hAnsi="宋体" w:cs="宋体" w:eastAsia="宋体"/>
                      <w:sz w:val="24"/>
                    </w:rPr>
                    <w:t>62%</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9.10</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探测器重量：</w:t>
                  </w:r>
                  <w:r>
                    <w:rPr>
                      <w:rFonts w:ascii="宋体" w:hAnsi="宋体" w:cs="宋体" w:eastAsia="宋体"/>
                      <w:sz w:val="24"/>
                    </w:rPr>
                    <w:t>≤4kg</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近台大屏触控系统</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大小：</w:t>
                  </w:r>
                  <w:r>
                    <w:rPr>
                      <w:rFonts w:ascii="宋体" w:hAnsi="宋体" w:cs="宋体" w:eastAsia="宋体"/>
                      <w:sz w:val="24"/>
                    </w:rPr>
                    <w:t>≥</w:t>
                  </w:r>
                  <w:r>
                    <w:rPr>
                      <w:rFonts w:ascii="宋体" w:hAnsi="宋体" w:cs="宋体" w:eastAsia="宋体"/>
                      <w:sz w:val="24"/>
                    </w:rPr>
                    <w:t>10英寸</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显示屏上支持触屏操作，支持多点触摸</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显示屏需显示病人基本信息、病人体位等信息，支持病人切换操作，且可对当前病人的体位进行增加或删减</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显示屏支持显示当前体位的体位示意图</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可跟随重力感应反向自动调节画面显示方向</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具备</w:t>
                  </w:r>
                  <w:r>
                    <w:rPr>
                      <w:rFonts w:ascii="宋体" w:hAnsi="宋体" w:cs="宋体" w:eastAsia="宋体"/>
                      <w:sz w:val="24"/>
                    </w:rPr>
                    <w:t>3D人体画图像模型</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显示屏端与操作台端可进行信息双向传输</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10.8</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可显示</w:t>
                  </w:r>
                  <w:r>
                    <w:rPr>
                      <w:rFonts w:ascii="宋体" w:hAnsi="宋体" w:cs="宋体" w:eastAsia="宋体"/>
                      <w:sz w:val="24"/>
                    </w:rPr>
                    <w:t>SID数值</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10.9</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可调节曝光参数</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10.10</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束光器视野快速切换</w:t>
                  </w:r>
                  <w:r>
                    <w:rPr>
                      <w:rFonts w:ascii="宋体" w:hAnsi="宋体" w:cs="宋体" w:eastAsia="宋体"/>
                      <w:sz w:val="24"/>
                    </w:rPr>
                    <w:t xml:space="preserve"> </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10.11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具有摄影后图像显示功能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10.12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可一键添加急诊模式</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限束器</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11.1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最大照射野</w:t>
                  </w:r>
                  <w:r>
                    <w:rPr>
                      <w:rFonts w:ascii="宋体" w:hAnsi="宋体" w:cs="宋体" w:eastAsia="宋体"/>
                      <w:sz w:val="24"/>
                    </w:rPr>
                    <w:t>:≥430mm×430mm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最小照射野：</w:t>
                  </w:r>
                  <w:r>
                    <w:rPr>
                      <w:rFonts w:ascii="宋体" w:hAnsi="宋体" w:cs="宋体" w:eastAsia="宋体"/>
                      <w:sz w:val="24"/>
                    </w:rPr>
                    <w:t>≤</w:t>
                  </w:r>
                  <w:r>
                    <w:rPr>
                      <w:rFonts w:ascii="宋体" w:hAnsi="宋体" w:cs="宋体" w:eastAsia="宋体"/>
                      <w:sz w:val="24"/>
                    </w:rPr>
                    <w:t>2mm×2mm</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可见光照射亮度：中心平均照射亮度＞</w:t>
                  </w:r>
                  <w:r>
                    <w:rPr>
                      <w:rFonts w:ascii="宋体" w:hAnsi="宋体" w:cs="宋体" w:eastAsia="宋体"/>
                      <w:sz w:val="24"/>
                    </w:rPr>
                    <w:t>100Lux</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照射时间最大：</w:t>
                  </w:r>
                  <w:r>
                    <w:rPr>
                      <w:rFonts w:ascii="宋体" w:hAnsi="宋体" w:cs="宋体" w:eastAsia="宋体"/>
                      <w:sz w:val="24"/>
                    </w:rPr>
                    <w:t>≥45s</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固有滤过：</w:t>
                  </w:r>
                  <w:r>
                    <w:rPr>
                      <w:rFonts w:ascii="宋体" w:hAnsi="宋体" w:cs="宋体" w:eastAsia="宋体"/>
                      <w:sz w:val="24"/>
                    </w:rPr>
                    <w:t>≥1.0mmAl</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11.6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可通过体位协议自动调整光野大小</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w:t>
                  </w:r>
                  <w:r>
                    <w:rPr>
                      <w:rFonts w:ascii="宋体" w:hAnsi="宋体" w:cs="宋体" w:eastAsia="宋体"/>
                      <w:sz w:val="24"/>
                    </w:rPr>
                    <w:t>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数字化</w:t>
                  </w:r>
                  <w:r>
                    <w:rPr>
                      <w:rFonts w:ascii="宋体" w:hAnsi="宋体" w:cs="宋体" w:eastAsia="宋体"/>
                      <w:sz w:val="24"/>
                    </w:rPr>
                    <w:t>X线摄影透视操作系统</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工作站</w:t>
                  </w:r>
                  <w:r>
                    <w:rPr>
                      <w:rFonts w:ascii="宋体" w:hAnsi="宋体" w:cs="宋体" w:eastAsia="宋体"/>
                      <w:sz w:val="24"/>
                    </w:rPr>
                    <w:t>硬件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Windows</w:t>
                  </w:r>
                  <w:r>
                    <w:rPr>
                      <w:rFonts w:ascii="宋体" w:hAnsi="宋体" w:cs="宋体" w:eastAsia="宋体"/>
                      <w:sz w:val="24"/>
                    </w:rPr>
                    <w:t>10及以上</w:t>
                  </w:r>
                  <w:r>
                    <w:rPr>
                      <w:rFonts w:ascii="宋体" w:hAnsi="宋体" w:cs="宋体" w:eastAsia="宋体"/>
                      <w:sz w:val="24"/>
                    </w:rPr>
                    <w:t>操作系统</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CPU</w:t>
                  </w:r>
                  <w:r>
                    <w:rPr>
                      <w:rFonts w:ascii="宋体" w:hAnsi="宋体" w:cs="宋体" w:eastAsia="宋体"/>
                      <w:sz w:val="24"/>
                    </w:rPr>
                    <w:t>：相同或优于</w:t>
                  </w:r>
                  <w:r>
                    <w:rPr>
                      <w:rFonts w:ascii="宋体" w:hAnsi="宋体" w:cs="宋体" w:eastAsia="宋体"/>
                      <w:sz w:val="24"/>
                    </w:rPr>
                    <w:t>I5-14400</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内存</w:t>
                  </w:r>
                  <w:r>
                    <w:rPr>
                      <w:rFonts w:ascii="宋体" w:hAnsi="宋体" w:cs="宋体" w:eastAsia="宋体"/>
                      <w:sz w:val="24"/>
                    </w:rPr>
                    <w:t>: ≥</w:t>
                  </w:r>
                  <w:r>
                    <w:rPr>
                      <w:rFonts w:ascii="宋体" w:hAnsi="宋体" w:cs="宋体" w:eastAsia="宋体"/>
                      <w:sz w:val="24"/>
                    </w:rPr>
                    <w:t>8</w:t>
                  </w:r>
                  <w:r>
                    <w:rPr>
                      <w:rFonts w:ascii="宋体" w:hAnsi="宋体" w:cs="宋体" w:eastAsia="宋体"/>
                      <w:sz w:val="24"/>
                    </w:rPr>
                    <w:t>G</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硬盘：</w:t>
                  </w:r>
                  <w:r>
                    <w:rPr>
                      <w:rFonts w:ascii="宋体" w:hAnsi="宋体" w:cs="宋体" w:eastAsia="宋体"/>
                      <w:sz w:val="24"/>
                    </w:rPr>
                    <w:t>≥</w:t>
                  </w:r>
                  <w:r>
                    <w:rPr>
                      <w:rFonts w:ascii="宋体" w:hAnsi="宋体" w:cs="宋体" w:eastAsia="宋体"/>
                      <w:sz w:val="24"/>
                    </w:rPr>
                    <w:t>1TB</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12.1.5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显示器</w:t>
                  </w:r>
                  <w:r>
                    <w:rPr>
                      <w:rFonts w:ascii="宋体" w:hAnsi="宋体" w:cs="宋体" w:eastAsia="宋体"/>
                      <w:sz w:val="24"/>
                    </w:rPr>
                    <w:t>：</w:t>
                  </w:r>
                  <w:r>
                    <w:rPr>
                      <w:rFonts w:ascii="宋体" w:hAnsi="宋体" w:cs="宋体" w:eastAsia="宋体"/>
                      <w:sz w:val="24"/>
                    </w:rPr>
                    <w:t>≥</w:t>
                  </w:r>
                  <w:r>
                    <w:rPr>
                      <w:rFonts w:ascii="宋体" w:hAnsi="宋体" w:cs="宋体" w:eastAsia="宋体"/>
                      <w:sz w:val="24"/>
                    </w:rPr>
                    <w:t>23.8英寸</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工作站软件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12.2.1</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登记：常规登记、紧急登记、增加协议</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12.2.2</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工作列表：列表信息、待检查病人搜索、待检查列表刷新、删除检查、显示列设置。开始检查、紧急登记</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检查列表：列表信息、已检查病人显示与搜索、删除图像、图像存储、光盘刻录、增加项目、显示列设置、修改检查信息</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选择</w:t>
                  </w:r>
                  <w:r>
                    <w:rPr>
                      <w:rFonts w:ascii="宋体" w:hAnsi="宋体" w:cs="宋体" w:eastAsia="宋体"/>
                      <w:sz w:val="24"/>
                    </w:rPr>
                    <w:t>患者体型：瘦成年人、正常成年人、胖成年人</w:t>
                  </w:r>
                  <w:r>
                    <w:rPr>
                      <w:rFonts w:ascii="&quot;times new roman&quot;" w:hAnsi="&quot;times new roman&quot;" w:cs="&quot;times new roman&quot;" w:eastAsia="&quot;times new roman&quot;"/>
                      <w:sz w:val="21"/>
                    </w:rPr>
                    <w:t xml:space="preserve"> </w:t>
                  </w:r>
                  <w:r>
                    <w:rPr>
                      <w:rFonts w:ascii="宋体" w:hAnsi="宋体" w:cs="宋体" w:eastAsia="宋体"/>
                      <w:sz w:val="24"/>
                    </w:rPr>
                    <w:t>儿童</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摄影参数设置：曝光模式、帧率设置、</w:t>
                  </w:r>
                  <w:r>
                    <w:rPr>
                      <w:rFonts w:ascii="宋体" w:hAnsi="宋体" w:cs="宋体" w:eastAsia="宋体"/>
                      <w:sz w:val="24"/>
                    </w:rPr>
                    <w:t>kVp、mA、ms、mAs、</w:t>
                  </w:r>
                  <w:r>
                    <w:rPr>
                      <w:rFonts w:ascii="宋体" w:hAnsi="宋体" w:cs="宋体" w:eastAsia="宋体"/>
                      <w:sz w:val="24"/>
                    </w:rPr>
                    <w:t>AEC</w:t>
                  </w:r>
                  <w:r>
                    <w:rPr>
                      <w:rFonts w:ascii="宋体" w:hAnsi="宋体" w:cs="宋体" w:eastAsia="宋体"/>
                      <w:sz w:val="24"/>
                    </w:rPr>
                    <w:t>功能、焦点选择</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透视参数设置：曝光模式、帧率设置、</w:t>
                  </w:r>
                  <w:r>
                    <w:rPr>
                      <w:rFonts w:ascii="宋体" w:hAnsi="宋体" w:cs="宋体" w:eastAsia="宋体"/>
                      <w:sz w:val="24"/>
                    </w:rPr>
                    <w:t>kVp、mA、ABS、时间清零</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12.2.7</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浏览工具：放缩、水平翻转、垂直翻转、左转</w:t>
                  </w:r>
                  <w:r>
                    <w:rPr>
                      <w:rFonts w:ascii="宋体" w:hAnsi="宋体" w:cs="宋体" w:eastAsia="宋体"/>
                      <w:sz w:val="24"/>
                    </w:rPr>
                    <w:t>90度、右转90度、放大、缩小</w:t>
                  </w:r>
                </w:p>
              </w:tc>
            </w:tr>
            <w:tr>
              <w:tc>
                <w:tcPr>
                  <w:tcW w:type="dxa" w:w="257"/>
                  <w:tcBorders>
                    <w:top w:val="non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12.2.8</w:t>
                  </w:r>
                </w:p>
              </w:tc>
              <w:tc>
                <w:tcPr>
                  <w:tcW w:type="dxa" w:w="2291"/>
                  <w:tcBorders>
                    <w:top w:val="none" w:color="000000" w:sz="4"/>
                    <w:left w:val="none" w:color="000000" w:sz="4"/>
                    <w:bottom w:val="non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系统工具：文本标记、前体位标记、左标记、右标记</w:t>
                  </w:r>
                </w:p>
              </w:tc>
            </w:tr>
            <w:tr>
              <w:tc>
                <w:tcPr>
                  <w:tcW w:type="dxa" w:w="257"/>
                  <w:tcBorders>
                    <w:top w:val="singl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12.2.9</w:t>
                  </w:r>
                </w:p>
              </w:tc>
              <w:tc>
                <w:tcPr>
                  <w:tcW w:type="dxa" w:w="2291"/>
                  <w:tcBorders>
                    <w:top w:val="single" w:color="000000" w:sz="4"/>
                    <w:left w:val="none" w:color="000000" w:sz="4"/>
                    <w:bottom w:val="non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打印模板、设置、保存报告；报告打印：快速打印、打印报告；图像归档</w:t>
                  </w:r>
                  <w:r>
                    <w:rPr>
                      <w:rFonts w:ascii="宋体" w:hAnsi="宋体" w:cs="宋体" w:eastAsia="宋体"/>
                      <w:sz w:val="24"/>
                    </w:rPr>
                    <w:t>、</w:t>
                  </w:r>
                  <w:r>
                    <w:rPr>
                      <w:rFonts w:ascii="宋体" w:hAnsi="宋体" w:cs="宋体" w:eastAsia="宋体"/>
                      <w:sz w:val="24"/>
                    </w:rPr>
                    <w:t>胶片打印</w:t>
                  </w:r>
                  <w:r>
                    <w:rPr>
                      <w:rFonts w:ascii="宋体" w:hAnsi="宋体" w:cs="宋体" w:eastAsia="宋体"/>
                      <w:sz w:val="24"/>
                    </w:rPr>
                    <w:t>，图像归档</w:t>
                  </w:r>
                </w:p>
              </w:tc>
            </w:tr>
            <w:tr>
              <w:tc>
                <w:tcPr>
                  <w:tcW w:type="dxa" w:w="257"/>
                  <w:tcBorders>
                    <w:top w:val="singl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w:t>
                  </w:r>
                  <w:r>
                    <w:rPr>
                      <w:rFonts w:ascii="宋体" w:hAnsi="宋体" w:cs="宋体" w:eastAsia="宋体"/>
                      <w:sz w:val="24"/>
                    </w:rPr>
                    <w:t>10</w:t>
                  </w:r>
                </w:p>
              </w:tc>
              <w:tc>
                <w:tcPr>
                  <w:tcW w:type="dxa" w:w="2291"/>
                  <w:tcBorders>
                    <w:top w:val="single" w:color="000000" w:sz="4"/>
                    <w:left w:val="none" w:color="000000" w:sz="4"/>
                    <w:bottom w:val="non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具有多种临床采集程序协议：消化道检查、胰胆管检查、肾盂检查等</w:t>
                  </w:r>
                </w:p>
              </w:tc>
            </w:tr>
            <w:tr>
              <w:tc>
                <w:tcPr>
                  <w:tcW w:type="dxa" w:w="257"/>
                  <w:tcBorders>
                    <w:top w:val="single" w:color="000000" w:sz="4"/>
                    <w:left w:val="single" w:color="000000" w:sz="4"/>
                    <w:bottom w:val="non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12.2.1</w:t>
                  </w:r>
                  <w:r>
                    <w:rPr>
                      <w:rFonts w:ascii="宋体" w:hAnsi="宋体" w:cs="宋体" w:eastAsia="宋体"/>
                      <w:sz w:val="24"/>
                    </w:rPr>
                    <w:t>1</w:t>
                  </w:r>
                </w:p>
              </w:tc>
              <w:tc>
                <w:tcPr>
                  <w:tcW w:type="dxa" w:w="2291"/>
                  <w:tcBorders>
                    <w:top w:val="single" w:color="000000" w:sz="4"/>
                    <w:left w:val="none" w:color="000000" w:sz="4"/>
                    <w:bottom w:val="non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具有多种临床采集程序协议：消化道检查、胰胆管检查、肾盂检查等</w:t>
                  </w:r>
                </w:p>
              </w:tc>
            </w:tr>
            <w:tr>
              <w:tc>
                <w:tcPr>
                  <w:tcW w:type="dxa" w:w="257"/>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12.2.12</w:t>
                  </w:r>
                </w:p>
              </w:tc>
              <w:tc>
                <w:tcPr>
                  <w:tcW w:type="dxa" w:w="2291"/>
                  <w:tcBorders>
                    <w:top w:val="singl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刻录、打印：删除图像、图像存储、浏览图像、报告</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4"/>
                    </w:rPr>
                    <w:t>12.2.13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系统设置：基础设置、注释信息、工具、多屏设置、</w:t>
                  </w:r>
                  <w:r>
                    <w:rPr>
                      <w:rFonts w:ascii="宋体" w:hAnsi="宋体" w:cs="宋体" w:eastAsia="宋体"/>
                      <w:sz w:val="24"/>
                    </w:rPr>
                    <w:t>DB、采集设置、界面</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left"/>
                  </w:pPr>
                  <w:r>
                    <w:rPr>
                      <w:rFonts w:ascii="宋体" w:hAnsi="宋体" w:cs="宋体" w:eastAsia="宋体"/>
                      <w:sz w:val="24"/>
                    </w:rPr>
                    <w:t>具有：</w:t>
                  </w:r>
                  <w:r>
                    <w:rPr>
                      <w:rFonts w:ascii="宋体" w:hAnsi="宋体" w:cs="宋体" w:eastAsia="宋体"/>
                      <w:sz w:val="24"/>
                    </w:rPr>
                    <w:t>心胸比（</w:t>
                  </w:r>
                  <w:r>
                    <w:rPr>
                      <w:rFonts w:ascii="宋体" w:hAnsi="宋体" w:cs="宋体" w:eastAsia="宋体"/>
                      <w:sz w:val="24"/>
                    </w:rPr>
                    <w:t>CTR）、距离测量、角度测量、脊柱测量</w:t>
                  </w:r>
                  <w:r>
                    <w:rPr>
                      <w:rFonts w:ascii="宋体" w:hAnsi="宋体" w:cs="宋体" w:eastAsia="宋体"/>
                      <w:sz w:val="24"/>
                    </w:rPr>
                    <w:t>的</w:t>
                  </w:r>
                  <w:r>
                    <w:rPr>
                      <w:rFonts w:ascii="宋体" w:hAnsi="宋体" w:cs="宋体" w:eastAsia="宋体"/>
                      <w:sz w:val="24"/>
                    </w:rPr>
                    <w:t>功能</w:t>
                  </w:r>
                  <w:r>
                    <w:rPr>
                      <w:rFonts w:ascii="宋体" w:hAnsi="宋体" w:cs="宋体" w:eastAsia="宋体"/>
                      <w:sz w:val="24"/>
                    </w:rPr>
                    <w:t>；</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w:t>
                  </w:r>
                  <w:r>
                    <w:rPr>
                      <w:rFonts w:ascii="宋体" w:hAnsi="宋体" w:cs="宋体" w:eastAsia="宋体"/>
                      <w:sz w:val="24"/>
                    </w:rPr>
                    <w:t>2</w:t>
                  </w:r>
                  <w:r>
                    <w:rPr>
                      <w:rFonts w:ascii="宋体" w:hAnsi="宋体" w:cs="宋体" w:eastAsia="宋体"/>
                      <w:sz w:val="24"/>
                    </w:rPr>
                    <w:t>.</w:t>
                  </w:r>
                  <w:r>
                    <w:rPr>
                      <w:rFonts w:ascii="宋体" w:hAnsi="宋体" w:cs="宋体" w:eastAsia="宋体"/>
                      <w:sz w:val="24"/>
                    </w:rPr>
                    <w:t>4</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具备长骨图像拼接功能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12.5</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具备辐射剂量自动监控功能</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12.</w:t>
                  </w:r>
                  <w:r>
                    <w:rPr>
                      <w:rFonts w:ascii="宋体" w:hAnsi="宋体" w:cs="宋体" w:eastAsia="宋体"/>
                      <w:sz w:val="24"/>
                    </w:rPr>
                    <w:t>6</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设备配备连接</w:t>
                  </w:r>
                  <w:r>
                    <w:rPr>
                      <w:rFonts w:ascii="宋体" w:hAnsi="宋体" w:cs="宋体" w:eastAsia="宋体"/>
                      <w:sz w:val="24"/>
                    </w:rPr>
                    <w:t>PACS系统端口。</w:t>
                  </w:r>
                </w:p>
              </w:tc>
            </w:tr>
            <w:tr>
              <w:tc>
                <w:tcPr>
                  <w:tcW w:type="dxa" w:w="257"/>
                  <w:tcBorders>
                    <w:top w:val="none" w:color="000000" w:sz="4"/>
                    <w:left w:val="single" w:color="000000" w:sz="4"/>
                    <w:bottom w:val="single" w:color="000000" w:sz="4"/>
                    <w:right w:val="single" w:color="000000" w:sz="4"/>
                  </w:tcBorders>
                  <w:tcMar>
                    <w:top w:type="dxa" w:w="0"/>
                    <w:left w:type="dxa" w:w="15"/>
                    <w:bottom w:type="dxa" w:w="0"/>
                    <w:right w:type="dxa" w:w="15"/>
                  </w:tcMar>
                  <w:vAlign w:val="bottom"/>
                </w:tcPr>
                <w:p>
                  <w:pPr>
                    <w:pStyle w:val="null3"/>
                    <w:jc w:val="center"/>
                  </w:pPr>
                  <w:r>
                    <w:rPr>
                      <w:rFonts w:ascii="宋体" w:hAnsi="宋体" w:cs="宋体" w:eastAsia="宋体"/>
                      <w:sz w:val="24"/>
                    </w:rPr>
                    <w:t>13</w:t>
                  </w:r>
                </w:p>
              </w:tc>
              <w:tc>
                <w:tcPr>
                  <w:tcW w:type="dxa" w:w="2291"/>
                  <w:tcBorders>
                    <w:top w:val="none" w:color="000000" w:sz="4"/>
                    <w:left w:val="none" w:color="000000" w:sz="4"/>
                    <w:bottom w:val="single" w:color="000000" w:sz="4"/>
                    <w:right w:val="single" w:color="000000" w:sz="4"/>
                  </w:tcBorders>
                  <w:tcMar>
                    <w:top w:type="dxa" w:w="0"/>
                    <w:left w:type="dxa" w:w="15"/>
                    <w:bottom w:type="dxa" w:w="0"/>
                    <w:right w:type="dxa" w:w="15"/>
                  </w:tcMar>
                  <w:vAlign w:val="bottom"/>
                </w:tcPr>
                <w:p>
                  <w:pPr>
                    <w:pStyle w:val="null3"/>
                    <w:jc w:val="both"/>
                  </w:pPr>
                  <w:r>
                    <w:rPr>
                      <w:rFonts w:ascii="宋体" w:hAnsi="宋体" w:cs="宋体" w:eastAsia="宋体"/>
                      <w:sz w:val="24"/>
                    </w:rPr>
                    <w:t>核心部件：</w:t>
                  </w:r>
                  <w:r>
                    <w:rPr>
                      <w:rFonts w:ascii="宋体" w:hAnsi="宋体" w:cs="宋体" w:eastAsia="宋体"/>
                      <w:sz w:val="24"/>
                    </w:rPr>
                    <w:t>高压发生器</w:t>
                  </w:r>
                  <w:r>
                    <w:rPr>
                      <w:rFonts w:ascii="宋体" w:hAnsi="宋体" w:cs="宋体" w:eastAsia="宋体"/>
                      <w:sz w:val="24"/>
                    </w:rPr>
                    <w:t>、</w:t>
                  </w:r>
                  <w:r>
                    <w:rPr>
                      <w:rFonts w:ascii="宋体" w:hAnsi="宋体" w:cs="宋体" w:eastAsia="宋体"/>
                      <w:sz w:val="24"/>
                    </w:rPr>
                    <w:t>平板探测器和床体与整机为同一品牌</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自合同签订后7个日历日内安装调试完毕</w:t>
      </w:r>
    </w:p>
    <w:p>
      <w:pPr>
        <w:pStyle w:val="null3"/>
        <w:outlineLvl w:val="3"/>
      </w:pPr>
      <w:r>
        <w:rPr>
          <w:sz w:val="24"/>
          <w:b/>
        </w:rPr>
        <w:t>3.4.2交货地点</w:t>
      </w:r>
    </w:p>
    <w:p>
      <w:pPr>
        <w:pStyle w:val="null3"/>
      </w:pPr>
      <w:r>
        <w:rPr/>
        <w:t>采购包1：</w:t>
      </w:r>
    </w:p>
    <w:p>
      <w:pPr>
        <w:pStyle w:val="null3"/>
      </w:pPr>
      <w:r>
        <w:rPr/>
        <w:t>陕西省商洛疗养院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货物全部运到采购人指定地方，安装完毕并经终验合格后</w:t>
      </w:r>
      <w:r>
        <w:rPr/>
        <w:t xml:space="preserve"> ，达到付款条件起 </w:t>
      </w:r>
      <w:r>
        <w:rPr/>
        <w:t>5</w:t>
      </w:r>
      <w:r>
        <w:rPr/>
        <w:t xml:space="preserve"> 日内，支付合同总金额的 </w:t>
      </w:r>
      <w:r>
        <w:rPr/>
        <w:t>90.00</w:t>
      </w:r>
      <w:r>
        <w:rPr/>
        <w:t>%。</w:t>
      </w:r>
    </w:p>
    <w:p>
      <w:pPr>
        <w:pStyle w:val="null3"/>
      </w:pPr>
      <w:r>
        <w:rPr/>
        <w:t>采购包1：</w:t>
      </w:r>
      <w:r>
        <w:rPr/>
        <w:t xml:space="preserve"> 付款条件说明： </w:t>
      </w:r>
      <w:r>
        <w:rPr/>
        <w:t>自终验结束之日起至一年后，在无索赔争议的情况下</w:t>
      </w:r>
      <w:r>
        <w:rPr/>
        <w:t xml:space="preserve"> ，达到付款条件起 </w:t>
      </w:r>
      <w:r>
        <w:rPr/>
        <w:t>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sz w:val="24"/>
          <w:b/>
        </w:rPr>
        <w:t>3.4.6包装方式及运输</w:t>
      </w:r>
    </w:p>
    <w:p>
      <w:pPr>
        <w:pStyle w:val="null3"/>
      </w:pPr>
      <w:r>
        <w:rPr/>
        <w:t>采购包1：</w:t>
      </w:r>
    </w:p>
    <w:p>
      <w:pPr>
        <w:pStyle w:val="null3"/>
      </w:pPr>
      <w:r>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sz w:val="24"/>
          <w:b/>
        </w:rPr>
        <w:t>3.4.7质量保修范围和保修期</w:t>
      </w:r>
    </w:p>
    <w:p>
      <w:pPr>
        <w:pStyle w:val="null3"/>
      </w:pPr>
      <w:r>
        <w:rPr/>
        <w:t>采购包1：</w:t>
      </w:r>
    </w:p>
    <w:p>
      <w:pPr>
        <w:pStyle w:val="null3"/>
      </w:pPr>
      <w:r>
        <w:rPr/>
        <w:t>1.自验收合格之日起1年（参数中有具体要求的，按参数要求提供质保）；中标人承诺的质保时间超过招标文件要求的，按其承诺时间质保。2.中标人承诺的质保期起始时间为终验合格之日。3.设备整机质保一年，终身维护。工作站和软件免费升级。4.提供维修地点及专职维修工程师联系电话，维修响应速度：2小时内做出响应，电话不能解决的须48小时内到达现场。5.所有货物质量必须符合国家有关规范和相关政策。所有货物及辅材必须是未使用过的新货物，质量优良、渠道正当，配置合理。6.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本项目采购标的对应的中小企业划分标准所属行业为工业。2.中标人在领取中标通知书时提供一正两副纸质投标文件，纸质投标文件采用书籍（胶装）方式装订成册，与电子投标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法定代表人授权书</w:t>
            </w:r>
          </w:p>
        </w:tc>
      </w:tr>
      <w:tr>
        <w:tc>
          <w:tcPr>
            <w:tcW w:type="dxa" w:w="831"/>
          </w:tcPr>
          <w:p>
            <w:pPr>
              <w:pStyle w:val="null3"/>
            </w:pPr>
            <w:r>
              <w:rPr/>
              <w:t>8</w:t>
            </w:r>
          </w:p>
        </w:tc>
        <w:tc>
          <w:tcPr>
            <w:tcW w:type="dxa" w:w="2492"/>
          </w:tcPr>
          <w:p>
            <w:pPr>
              <w:pStyle w:val="null3"/>
            </w:pPr>
            <w:r>
              <w:rPr/>
              <w:t>投标人为制造商的应提供《医疗器械生产许可证》或（医疗器械生产备案凭证）；投标人为经销商的应提供《医疗器械经营许可证》或（医疗器械经营备案凭证）和生产厂家的《医疗器械生产许可证》或（医疗器械生产备案凭证）</w:t>
            </w:r>
          </w:p>
        </w:tc>
        <w:tc>
          <w:tcPr>
            <w:tcW w:type="dxa" w:w="3322"/>
          </w:tcPr>
          <w:p>
            <w:pPr>
              <w:pStyle w:val="null3"/>
            </w:pPr>
            <w:r>
              <w:rPr/>
              <w:t>投标人为制造商的应提供《医疗器械生产许可证》或（医疗器械生产备案凭证）；投标人为经销商的应提供《医疗器械经营许可证》或（医疗器械经营备案凭证）和生产厂家的《医疗器械生产许可证》或（医疗器械生产备案凭证）（复印件并加盖生产厂家公章）</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提供所投产品的《医疗器械注册证》或（医疗器械备案凭证）</w:t>
            </w:r>
          </w:p>
        </w:tc>
        <w:tc>
          <w:tcPr>
            <w:tcW w:type="dxa" w:w="3322"/>
          </w:tcPr>
          <w:p>
            <w:pPr>
              <w:pStyle w:val="null3"/>
            </w:pPr>
            <w:r>
              <w:rPr/>
              <w:t>提供所投产品的《医疗器械注册证》或（医疗器械备案凭证）；</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投标保证金交纳凭证或担保函</w:t>
            </w:r>
          </w:p>
        </w:tc>
        <w:tc>
          <w:tcPr>
            <w:tcW w:type="dxa" w:w="3322"/>
          </w:tcPr>
          <w:p>
            <w:pPr>
              <w:pStyle w:val="null3"/>
            </w:pPr>
            <w:r>
              <w:rPr/>
              <w:t>投标保证金交纳凭证或担保函；（投标保证交纳金凭证为银行凭证及基本账户证明资料，担保函为财政部门认可的政府采购信用担保机构出具）</w:t>
            </w:r>
          </w:p>
        </w:tc>
        <w:tc>
          <w:tcPr>
            <w:tcW w:type="dxa" w:w="1661"/>
          </w:tcPr>
          <w:p>
            <w:pPr>
              <w:pStyle w:val="null3"/>
            </w:pPr>
            <w:r>
              <w:rPr/>
              <w:t>投标人资格要求</w:t>
            </w:r>
          </w:p>
        </w:tc>
      </w:tr>
      <w:tr>
        <w:tc>
          <w:tcPr>
            <w:tcW w:type="dxa" w:w="831"/>
          </w:tcPr>
          <w:p>
            <w:pPr>
              <w:pStyle w:val="null3"/>
            </w:pPr>
            <w:r>
              <w:rPr/>
              <w:t>11</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12</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t>投标人资格要求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除明确允许投标人可以自行编写的外，投标文件必须按照招标文件给定的格式和要求编制。</w:t>
            </w:r>
          </w:p>
        </w:tc>
        <w:tc>
          <w:tcPr>
            <w:tcW w:type="dxa" w:w="1661"/>
          </w:tcPr>
          <w:p>
            <w:pPr>
              <w:pStyle w:val="null3"/>
            </w:pPr>
            <w:r>
              <w:rPr/>
              <w:t>投标函 投标人资格要求 投标分项报价表 标的清单 报价表 投标文件封面 拒绝政府采购领域商业贿赂承诺书 技术规格响应偏离表 法定代表人授权书 商务条款响应偏离表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投标文件必须按照招标文件的要求盖章签字</w:t>
            </w:r>
          </w:p>
        </w:tc>
        <w:tc>
          <w:tcPr>
            <w:tcW w:type="dxa" w:w="1661"/>
          </w:tcPr>
          <w:p>
            <w:pPr>
              <w:pStyle w:val="null3"/>
            </w:pPr>
            <w:r>
              <w:rPr/>
              <w:t>投标函 投标人资格要求 投标分项报价表 报价表 投标文件封面 拒绝政府采购领域商业贿赂承诺书 技术规格响应偏离表 法定代表人授权书 商务条款响应偏离表</w:t>
            </w:r>
          </w:p>
        </w:tc>
      </w:tr>
      <w:tr>
        <w:tc>
          <w:tcPr>
            <w:tcW w:type="dxa" w:w="831"/>
          </w:tcPr>
          <w:p>
            <w:pPr>
              <w:pStyle w:val="null3"/>
            </w:pPr>
            <w:r>
              <w:rPr/>
              <w:t>4</w:t>
            </w:r>
          </w:p>
        </w:tc>
        <w:tc>
          <w:tcPr>
            <w:tcW w:type="dxa" w:w="2492"/>
          </w:tcPr>
          <w:p>
            <w:pPr>
              <w:pStyle w:val="null3"/>
            </w:pPr>
            <w:r>
              <w:rPr/>
              <w:t>投标报价不得超过采购预算</w:t>
            </w:r>
          </w:p>
        </w:tc>
        <w:tc>
          <w:tcPr>
            <w:tcW w:type="dxa" w:w="3322"/>
          </w:tcPr>
          <w:p>
            <w:pPr>
              <w:pStyle w:val="null3"/>
            </w:pPr>
            <w:r>
              <w:rPr/>
              <w:t xml:space="preserve"> 投标报价不得超过采购预算</w:t>
            </w:r>
          </w:p>
        </w:tc>
        <w:tc>
          <w:tcPr>
            <w:tcW w:type="dxa" w:w="1661"/>
          </w:tcPr>
          <w:p>
            <w:pPr>
              <w:pStyle w:val="null3"/>
            </w:pPr>
            <w:r>
              <w:rPr/>
              <w:t>投标函 投标分项报价表 标的清单 报价表 投标文件封面</w:t>
            </w:r>
          </w:p>
        </w:tc>
      </w:tr>
      <w:tr>
        <w:tc>
          <w:tcPr>
            <w:tcW w:type="dxa" w:w="831"/>
          </w:tcPr>
          <w:p>
            <w:pPr>
              <w:pStyle w:val="null3"/>
            </w:pPr>
            <w:r>
              <w:rPr/>
              <w:t>5</w:t>
            </w:r>
          </w:p>
        </w:tc>
        <w:tc>
          <w:tcPr>
            <w:tcW w:type="dxa" w:w="2492"/>
          </w:tcPr>
          <w:p>
            <w:pPr>
              <w:pStyle w:val="null3"/>
            </w:pPr>
            <w:r>
              <w:rPr/>
              <w:t>投标有效期符合招标文件的要求</w:t>
            </w:r>
          </w:p>
        </w:tc>
        <w:tc>
          <w:tcPr>
            <w:tcW w:type="dxa" w:w="3322"/>
          </w:tcPr>
          <w:p>
            <w:pPr>
              <w:pStyle w:val="null3"/>
            </w:pPr>
            <w:r>
              <w:rPr/>
              <w:t xml:space="preserve"> 投标有效期符合招标文件的要求</w:t>
            </w:r>
          </w:p>
        </w:tc>
        <w:tc>
          <w:tcPr>
            <w:tcW w:type="dxa" w:w="1661"/>
          </w:tcPr>
          <w:p>
            <w:pPr>
              <w:pStyle w:val="null3"/>
            </w:pPr>
            <w:r>
              <w:rPr/>
              <w:t>投标函 投标文件封面 法定代表人授权书</w:t>
            </w:r>
          </w:p>
        </w:tc>
      </w:tr>
      <w:tr>
        <w:tc>
          <w:tcPr>
            <w:tcW w:type="dxa" w:w="831"/>
          </w:tcPr>
          <w:p>
            <w:pPr>
              <w:pStyle w:val="null3"/>
            </w:pPr>
            <w:r>
              <w:rPr/>
              <w:t>6</w:t>
            </w:r>
          </w:p>
        </w:tc>
        <w:tc>
          <w:tcPr>
            <w:tcW w:type="dxa" w:w="2492"/>
          </w:tcPr>
          <w:p>
            <w:pPr>
              <w:pStyle w:val="null3"/>
            </w:pPr>
            <w:r>
              <w:rPr/>
              <w:t>商务响应和技术响应</w:t>
            </w:r>
          </w:p>
        </w:tc>
        <w:tc>
          <w:tcPr>
            <w:tcW w:type="dxa" w:w="3322"/>
          </w:tcPr>
          <w:p>
            <w:pPr>
              <w:pStyle w:val="null3"/>
            </w:pPr>
            <w:r>
              <w:rPr/>
              <w:t>对招标文件商务要求作出明确且实质性响应，对招标文件技术要求作出明确响应，对不得偏离的要求作出实质性响应</w:t>
            </w:r>
          </w:p>
        </w:tc>
        <w:tc>
          <w:tcPr>
            <w:tcW w:type="dxa" w:w="1661"/>
          </w:tcPr>
          <w:p>
            <w:pPr>
              <w:pStyle w:val="null3"/>
            </w:pPr>
            <w:r>
              <w:rPr/>
              <w:t>投标文件封面 技术规格响应偏离表 商务条款响应偏离表</w:t>
            </w:r>
          </w:p>
        </w:tc>
      </w:tr>
      <w:tr>
        <w:tc>
          <w:tcPr>
            <w:tcW w:type="dxa" w:w="831"/>
          </w:tcPr>
          <w:p>
            <w:pPr>
              <w:pStyle w:val="null3"/>
            </w:pPr>
            <w:r>
              <w:rPr/>
              <w:t>7</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残疾人福利性单位声明函 中小企业声明函 投标文件封面 拒绝政府采购领域商业贿赂承诺书 监狱企业的证明文件 投标人认为有必要补充说明的事宜</w:t>
            </w:r>
          </w:p>
        </w:tc>
      </w:tr>
      <w:tr>
        <w:tc>
          <w:tcPr>
            <w:tcW w:type="dxa" w:w="831"/>
          </w:tcPr>
          <w:p>
            <w:pPr>
              <w:pStyle w:val="null3"/>
            </w:pPr>
            <w:r>
              <w:rPr/>
              <w:t>8</w:t>
            </w:r>
          </w:p>
        </w:tc>
        <w:tc>
          <w:tcPr>
            <w:tcW w:type="dxa" w:w="2492"/>
          </w:tcPr>
          <w:p>
            <w:pPr>
              <w:pStyle w:val="null3"/>
            </w:pPr>
            <w:r>
              <w:rPr/>
              <w:t>投标文件无采购人不能接受的附加条件</w:t>
            </w:r>
          </w:p>
        </w:tc>
        <w:tc>
          <w:tcPr>
            <w:tcW w:type="dxa" w:w="3322"/>
          </w:tcPr>
          <w:p>
            <w:pPr>
              <w:pStyle w:val="null3"/>
            </w:pPr>
            <w:r>
              <w:rPr/>
              <w:t>投标文件无采购人不能接受的附加条件</w:t>
            </w:r>
          </w:p>
        </w:tc>
        <w:tc>
          <w:tcPr>
            <w:tcW w:type="dxa" w:w="1661"/>
          </w:tcPr>
          <w:p>
            <w:pPr>
              <w:pStyle w:val="null3"/>
            </w:pPr>
            <w:r>
              <w:rPr/>
              <w:t>投标函 选配件报价表 投标分项报价表 技术规格响应偏离表 商务条款响应偏离表 投标人认为有必要补充说明的事宜</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投标人投标产品中有节能产品政府采购清单中优先采购的节能产品的计0.5分，有环境标志产品政府采购清单中的产品的计0.5分，同时为节能产品政府采购清单中优先采购的节能产品和环境标志产品政府采购清单中的产品的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投标文件对交货期、质保期、付款方式、验收等商务要求进行详细说明，完全响应招标文件的计1分，交货期、质保期优于招标文件的，每项加1分。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商务条款响应偏离表</w:t>
            </w:r>
          </w:p>
          <w:p>
            <w:pPr>
              <w:pStyle w:val="null3"/>
            </w:pPr>
            <w:r>
              <w:rPr/>
              <w:t>报价表</w:t>
            </w:r>
          </w:p>
        </w:tc>
      </w:tr>
      <w:tr>
        <w:tc>
          <w:tcPr>
            <w:tcW w:type="dxa" w:w="831"/>
            <w:vMerge/>
          </w:tcPr>
          <w:p/>
        </w:tc>
        <w:tc>
          <w:tcPr>
            <w:tcW w:type="dxa" w:w="1661"/>
          </w:tcPr>
          <w:p>
            <w:pPr>
              <w:pStyle w:val="null3"/>
            </w:pPr>
            <w:r>
              <w:rPr/>
              <w:t>技术指标和配置1</w:t>
            </w:r>
          </w:p>
        </w:tc>
        <w:tc>
          <w:tcPr>
            <w:tcW w:type="dxa" w:w="2492"/>
          </w:tcPr>
          <w:p>
            <w:pPr>
              <w:pStyle w:val="null3"/>
            </w:pPr>
            <w:r>
              <w:rPr/>
              <w:t>完全符合、满足招标文件技术要求的，计23分；参数中“*”号技术参数每有一条负偏离扣3分，非“*”号技术参数每有一条负偏离扣1分，基本分扣完为止。</w:t>
            </w:r>
          </w:p>
        </w:tc>
        <w:tc>
          <w:tcPr>
            <w:tcW w:type="dxa" w:w="831"/>
          </w:tcPr>
          <w:p>
            <w:pPr>
              <w:pStyle w:val="null3"/>
              <w:jc w:val="right"/>
            </w:pPr>
            <w:r>
              <w:rPr/>
              <w:t>23.0000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技术指标和配置2</w:t>
            </w:r>
          </w:p>
        </w:tc>
        <w:tc>
          <w:tcPr>
            <w:tcW w:type="dxa" w:w="2492"/>
          </w:tcPr>
          <w:p>
            <w:pPr>
              <w:pStyle w:val="null3"/>
            </w:pPr>
            <w:r>
              <w:rPr/>
              <w:t>加分（2分）：在各自所得基本分的基础上，主要投标产品技术指标、参数或功能优于招标文件规定的相应技术指标、参数或功能，并且有实质性能提升的，评标委员会一致认可的可进行相应加分，每项加0.5分，加分最多加2分。 投标人应提供充足的佐证材料（佐证材料包括但不限于：经厂家确认的产品彩页、检测报告、官网截图等证明材料）予以佐证，佐证材料应编制在投标文件中，投标人自行承担因佐证材料不全而被视为技术参数无正偏离的风险。</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项目实施方案1</w:t>
            </w:r>
          </w:p>
        </w:tc>
        <w:tc>
          <w:tcPr>
            <w:tcW w:type="dxa" w:w="2492"/>
          </w:tcPr>
          <w:p>
            <w:pPr>
              <w:pStyle w:val="null3"/>
            </w:pPr>
            <w:r>
              <w:rPr/>
              <w:t>备货、供货进度、实施进度计划及保证措施。 ①进度计划及安排详细完整，保证措施详细全面，计5分； ②有进度计划关键节点，但安排不具体，保证措施粗略，计3分； ③仅有进度计划粗略框架，无关键节点，无具体保证措施计1分；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项目实施方案1</w:t>
            </w:r>
          </w:p>
        </w:tc>
      </w:tr>
      <w:tr>
        <w:tc>
          <w:tcPr>
            <w:tcW w:type="dxa" w:w="831"/>
            <w:vMerge/>
          </w:tcPr>
          <w:p/>
        </w:tc>
        <w:tc>
          <w:tcPr>
            <w:tcW w:type="dxa" w:w="1661"/>
          </w:tcPr>
          <w:p>
            <w:pPr>
              <w:pStyle w:val="null3"/>
            </w:pPr>
            <w:r>
              <w:rPr/>
              <w:t>项目实施方案2</w:t>
            </w:r>
          </w:p>
        </w:tc>
        <w:tc>
          <w:tcPr>
            <w:tcW w:type="dxa" w:w="2492"/>
          </w:tcPr>
          <w:p>
            <w:pPr>
              <w:pStyle w:val="null3"/>
            </w:pPr>
            <w:r>
              <w:rPr/>
              <w:t>设备安装、检测、调试方案及措施。 ①设备安装检测及调试方案完善、全面，措施合理，计5分； ②安装检测调试方案全面，但关键不突出、措施不具体，计3分； ③方案内容有缺项或只有框架，无具体措施，计1分。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项目实施方案2</w:t>
            </w:r>
          </w:p>
        </w:tc>
      </w:tr>
      <w:tr>
        <w:tc>
          <w:tcPr>
            <w:tcW w:type="dxa" w:w="831"/>
            <w:vMerge/>
          </w:tcPr>
          <w:p/>
        </w:tc>
        <w:tc>
          <w:tcPr>
            <w:tcW w:type="dxa" w:w="1661"/>
          </w:tcPr>
          <w:p>
            <w:pPr>
              <w:pStyle w:val="null3"/>
            </w:pPr>
            <w:r>
              <w:rPr/>
              <w:t>项目实施方案3</w:t>
            </w:r>
          </w:p>
        </w:tc>
        <w:tc>
          <w:tcPr>
            <w:tcW w:type="dxa" w:w="2492"/>
          </w:tcPr>
          <w:p>
            <w:pPr>
              <w:pStyle w:val="null3"/>
            </w:pPr>
            <w:r>
              <w:rPr/>
              <w:t>拟投入本项目的人员安排及责任制度。 ①人员安排充足、详细，职责划分明确，岗位设置合理，计5分； ②人员安排充足，但职责划分不明确、岗位设置不合理，计3分； ③人员安排不充足、职责划分不明确、岗位设置不合理，计1分。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项目实施方案3</w:t>
            </w:r>
          </w:p>
        </w:tc>
      </w:tr>
      <w:tr>
        <w:tc>
          <w:tcPr>
            <w:tcW w:type="dxa" w:w="831"/>
            <w:vMerge/>
          </w:tcPr>
          <w:p/>
        </w:tc>
        <w:tc>
          <w:tcPr>
            <w:tcW w:type="dxa" w:w="1661"/>
          </w:tcPr>
          <w:p>
            <w:pPr>
              <w:pStyle w:val="null3"/>
            </w:pPr>
            <w:r>
              <w:rPr/>
              <w:t>项目实施方案4</w:t>
            </w:r>
          </w:p>
        </w:tc>
        <w:tc>
          <w:tcPr>
            <w:tcW w:type="dxa" w:w="2492"/>
          </w:tcPr>
          <w:p>
            <w:pPr>
              <w:pStyle w:val="null3"/>
            </w:pPr>
            <w:r>
              <w:rPr/>
              <w:t>应急预案及应急处理措施。 ①方案及措施详细全面、完善合理，计5分； ②方案内容全面，但关键不突出、措施不具体，计3分； ③方案内容有缺项或只有框架，无具体措施，计1分。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项目实施方案4</w:t>
            </w:r>
          </w:p>
        </w:tc>
      </w:tr>
      <w:tr>
        <w:tc>
          <w:tcPr>
            <w:tcW w:type="dxa" w:w="831"/>
            <w:vMerge/>
          </w:tcPr>
          <w:p/>
        </w:tc>
        <w:tc>
          <w:tcPr>
            <w:tcW w:type="dxa" w:w="1661"/>
          </w:tcPr>
          <w:p>
            <w:pPr>
              <w:pStyle w:val="null3"/>
            </w:pPr>
            <w:r>
              <w:rPr/>
              <w:t>产品渠道</w:t>
            </w:r>
          </w:p>
        </w:tc>
        <w:tc>
          <w:tcPr>
            <w:tcW w:type="dxa" w:w="2492"/>
          </w:tcPr>
          <w:p>
            <w:pPr>
              <w:pStyle w:val="null3"/>
            </w:pPr>
            <w:r>
              <w:rPr/>
              <w:t>能提供所投产品(多功能数字DR)的合法来源渠道证明文件（包括但不限于产品制造商授权、销售协议、代理协议、原厂授权等），提供的计3分，不提供的不计分。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有具体可行的项目质量控制方案；质量保证承诺；质量保证措施等。 ①内容具体、完整、详细、全面的，计5分； ②内容全面，但仅有简单描述措施不具体，计3分； ③内容有缺项，无实质性内容的，计1分；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售后服务方案</w:t>
            </w:r>
          </w:p>
        </w:tc>
        <w:tc>
          <w:tcPr>
            <w:tcW w:type="dxa" w:w="2492"/>
          </w:tcPr>
          <w:p>
            <w:pPr>
              <w:pStyle w:val="null3"/>
            </w:pPr>
            <w:r>
              <w:rPr/>
              <w:t>售后服务网点的设定、拟投入售后服务人员配置情况、日常维护、项目交付用户后出现故障响应时间及措施、备品备件计划，质量保证范围。 ①内容具体、完整、详细、全面的，计5分； ②内容全面，但仅有简单描述措施不具体，计3分； ③内容有缺项，无实质性内容的，计1分；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培训方式、时间、地点、人员、培训内容。 ①内容具体、完整、详细、全面的，计5分； ②内容全面，但仅有简单描述措施不具体，计3分； ③内容有缺项，无实质性内容的，计1分；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以合同形式提供投标人2021年01月至今类似项目业绩，每提供1份计1分，满分3分。（提供加盖投标人公章的合同复印件，提供合同包含签字盖章页、采购内容、合同签订日期等完整合同内容）</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投标分项报价表</w:t>
            </w:r>
          </w:p>
          <w:p>
            <w:pPr>
              <w:pStyle w:val="null3"/>
            </w:pPr>
            <w:r>
              <w:rPr/>
              <w:t>开标一览表</w:t>
            </w:r>
          </w:p>
          <w:p>
            <w:pPr>
              <w:pStyle w:val="null3"/>
            </w:pPr>
            <w:r>
              <w:rPr/>
              <w:t>标的清单</w:t>
            </w:r>
          </w:p>
          <w:p>
            <w:pPr>
              <w:pStyle w:val="null3"/>
            </w:pPr>
            <w:r>
              <w:rPr/>
              <w:t>选配件报价表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详见附件：产品渠道</w:t>
      </w:r>
    </w:p>
    <w:p>
      <w:pPr>
        <w:pStyle w:val="null3"/>
        <w:ind w:firstLine="960"/>
      </w:pPr>
      <w:r>
        <w:rPr/>
        <w:t>详见附件：节能环保</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详见附件：培训方案</w:t>
      </w:r>
    </w:p>
    <w:p>
      <w:pPr>
        <w:pStyle w:val="null3"/>
        <w:ind w:firstLine="960"/>
      </w:pPr>
      <w:r>
        <w:rPr/>
        <w:t>详见附件：售后服务方案</w:t>
      </w:r>
    </w:p>
    <w:p>
      <w:pPr>
        <w:pStyle w:val="null3"/>
        <w:ind w:firstLine="960"/>
      </w:pPr>
      <w:r>
        <w:rPr/>
        <w:t>详见附件：投标分项报价表</w:t>
      </w:r>
    </w:p>
    <w:p>
      <w:pPr>
        <w:pStyle w:val="null3"/>
        <w:ind w:firstLine="960"/>
      </w:pPr>
      <w:r>
        <w:rPr/>
        <w:t>详见附件：拒绝政府采购领域商业贿赂承诺书</w:t>
      </w:r>
    </w:p>
    <w:p>
      <w:pPr>
        <w:pStyle w:val="null3"/>
        <w:ind w:firstLine="960"/>
      </w:pPr>
      <w:r>
        <w:rPr/>
        <w:t>详见附件：项目实施方案1</w:t>
      </w:r>
    </w:p>
    <w:p>
      <w:pPr>
        <w:pStyle w:val="null3"/>
        <w:ind w:firstLine="960"/>
      </w:pPr>
      <w:r>
        <w:rPr/>
        <w:t>详见附件：项目实施方案2</w:t>
      </w:r>
    </w:p>
    <w:p>
      <w:pPr>
        <w:pStyle w:val="null3"/>
        <w:ind w:firstLine="960"/>
      </w:pPr>
      <w:r>
        <w:rPr/>
        <w:t>详见附件：项目实施方案3</w:t>
      </w:r>
    </w:p>
    <w:p>
      <w:pPr>
        <w:pStyle w:val="null3"/>
        <w:ind w:firstLine="960"/>
      </w:pPr>
      <w:r>
        <w:rPr/>
        <w:t>详见附件：项目实施方案4</w:t>
      </w:r>
    </w:p>
    <w:p>
      <w:pPr>
        <w:pStyle w:val="null3"/>
        <w:ind w:firstLine="960"/>
      </w:pPr>
      <w:r>
        <w:rPr/>
        <w:t>详见附件：业绩</w:t>
      </w:r>
    </w:p>
    <w:p>
      <w:pPr>
        <w:pStyle w:val="null3"/>
        <w:ind w:firstLine="960"/>
      </w:pPr>
      <w:r>
        <w:rPr/>
        <w:t>详见附件：质量保证</w:t>
      </w:r>
    </w:p>
    <w:p>
      <w:pPr>
        <w:pStyle w:val="null3"/>
        <w:ind w:firstLine="960"/>
      </w:pPr>
      <w:r>
        <w:rPr/>
        <w:t>详见附件：投标人认为有必要补充说明的事宜</w:t>
      </w:r>
    </w:p>
    <w:p>
      <w:pPr>
        <w:pStyle w:val="null3"/>
        <w:ind w:firstLine="960"/>
      </w:pPr>
      <w:r>
        <w:rPr/>
        <w:t>详见附件：选配件报价表</w:t>
      </w:r>
    </w:p>
    <w:p>
      <w:pPr>
        <w:pStyle w:val="null3"/>
        <w:ind w:firstLine="960"/>
      </w:pPr>
      <w:r>
        <w:rPr/>
        <w:t>详见附件：投标人资格要求</w:t>
      </w:r>
    </w:p>
    <w:p>
      <w:pPr>
        <w:pStyle w:val="null3"/>
        <w:ind w:firstLine="960"/>
      </w:pPr>
      <w:r>
        <w:rPr/>
        <w:t>详见附件：报价表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详见附件：政府采购货物买卖合同（试行）.docx.docx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