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高温度梯度定向凝固炉</w:t>
      </w:r>
    </w:p>
    <w:p>
      <w:pPr>
        <w:pStyle w:val="null3"/>
        <w:jc w:val="center"/>
        <w:outlineLvl w:val="2"/>
      </w:pPr>
      <w:r>
        <w:rPr>
          <w:sz w:val="28"/>
          <w:b/>
        </w:rPr>
        <w:t>采购项目编号：</w:t>
      </w:r>
      <w:r>
        <w:rPr>
          <w:sz w:val="28"/>
          <w:b/>
        </w:rPr>
        <w:t>JXRC-241114</w:t>
      </w:r>
      <w:r>
        <w:br/>
      </w:r>
      <w:r>
        <w:br/>
      </w:r>
      <w:r>
        <w:br/>
      </w:r>
    </w:p>
    <w:p>
      <w:pPr>
        <w:pStyle w:val="null3"/>
        <w:jc w:val="center"/>
        <w:outlineLvl w:val="2"/>
      </w:pPr>
      <w:r>
        <w:rPr>
          <w:sz w:val="28"/>
          <w:b/>
        </w:rPr>
        <w:t>西安理工大学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陕西嘉信瑞诚招标有限公司</w:t>
      </w:r>
      <w:r>
        <w:rPr/>
        <w:t>（以下简称“代理机构”）受</w:t>
      </w:r>
      <w:r>
        <w:rPr/>
        <w:t>西安理工大学</w:t>
      </w:r>
      <w:r>
        <w:rPr/>
        <w:t>委托，拟对</w:t>
      </w:r>
      <w:r>
        <w:rPr/>
        <w:t>高温度梯度定向凝固炉</w:t>
      </w:r>
      <w:r>
        <w:rPr/>
        <w:t>进行国内公开招标，兹邀请符合本次招标要求的供应商参加投标。</w:t>
      </w:r>
    </w:p>
    <w:p>
      <w:pPr>
        <w:pStyle w:val="null3"/>
        <w:outlineLvl w:val="2"/>
      </w:pPr>
      <w:r>
        <w:rPr>
          <w:sz w:val="28"/>
          <w:b/>
        </w:rPr>
        <w:t>一、采购项目编号：</w:t>
      </w:r>
      <w:r>
        <w:rPr>
          <w:sz w:val="28"/>
          <w:b/>
        </w:rPr>
        <w:t>JXRC-241114</w:t>
      </w:r>
    </w:p>
    <w:p>
      <w:pPr>
        <w:pStyle w:val="null3"/>
        <w:outlineLvl w:val="2"/>
      </w:pPr>
      <w:r>
        <w:rPr>
          <w:sz w:val="28"/>
          <w:b/>
        </w:rPr>
        <w:t>二、采购项目名称：</w:t>
      </w:r>
      <w:r>
        <w:rPr>
          <w:sz w:val="28"/>
          <w:b/>
        </w:rPr>
        <w:t>高温度梯度定向凝固炉</w:t>
      </w:r>
    </w:p>
    <w:p>
      <w:pPr>
        <w:pStyle w:val="null3"/>
        <w:outlineLvl w:val="2"/>
      </w:pPr>
      <w:r>
        <w:rPr>
          <w:sz w:val="28"/>
          <w:b/>
        </w:rPr>
        <w:t>三、招标项目简介</w:t>
      </w:r>
    </w:p>
    <w:p>
      <w:pPr>
        <w:pStyle w:val="null3"/>
        <w:ind w:firstLine="480"/>
      </w:pPr>
      <w:r>
        <w:rPr/>
        <w:t>高温度梯度定向凝固炉，1套。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采购包1（高温度梯度定向凝固炉）：属于专门面向中小企业采购。</w:t>
      </w:r>
    </w:p>
    <w:p>
      <w:pPr>
        <w:pStyle w:val="null3"/>
        <w:ind w:firstLine="480"/>
      </w:pPr>
      <w:r>
        <w:rPr/>
        <w:t>（三）本项目的特定资格要求：</w:t>
      </w:r>
    </w:p>
    <w:p>
      <w:pPr>
        <w:pStyle w:val="null3"/>
      </w:pPr>
      <w:r>
        <w:rPr/>
        <w:t>采购包1：</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p>
      <w:pPr>
        <w:pStyle w:val="null3"/>
      </w:pPr>
      <w:r>
        <w:rPr/>
        <w:t>4、投标人应有依法缴纳社会保障资金的良好记录：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西安理工大学经办</w:t>
      </w:r>
    </w:p>
    <w:p>
      <w:pPr>
        <w:pStyle w:val="null3"/>
      </w:pPr>
      <w:r>
        <w:rPr/>
        <w:t xml:space="preserve"> 联系电话： </w:t>
      </w:r>
      <w:r>
        <w:rPr/>
        <w:t>029-61125883</w:t>
      </w:r>
    </w:p>
    <w:p>
      <w:pPr>
        <w:pStyle w:val="null3"/>
        <w:outlineLvl w:val="2"/>
      </w:pPr>
      <w:r>
        <w:rPr>
          <w:sz w:val="28"/>
          <w:b/>
        </w:rPr>
        <w:t>代理机构：</w:t>
      </w:r>
      <w:r>
        <w:rPr>
          <w:sz w:val="28"/>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曲慧、张海</w:t>
      </w:r>
    </w:p>
    <w:p>
      <w:pPr>
        <w:pStyle w:val="null3"/>
      </w:pPr>
      <w:r>
        <w:rPr/>
        <w:t xml:space="preserve"> 联系电话： </w:t>
      </w:r>
      <w:r>
        <w:rPr/>
        <w:t>029-81541692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采购包1：987,000.00元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说明：履约保证金金额为成交金额的5%，待保修期满后无质量问题，履约保证金予以无息退还。 转账账号： 账户：西安理工大学 账号：102891574567 开户行：中国银行西安金花南路支行 如遇下列情况之一者，合同履约保证金不予退还，作为对采购人的赔偿：（1）合同签订后不能按合同时限要求供货或安装调试的； （2）所供设备与合同不符或验收不合格的； （3）不能按合同履约的。</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代理服务费收费标准：参照《国家计委关于印发&lt;招标代理服务收费管理暂行办法&gt;的通知》（计价格【2002】1980号）报价依据的85%计费标准向中标人/成交人收取。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西安理工大学</w:t>
      </w:r>
      <w:r>
        <w:rPr/>
        <w:t>和</w:t>
      </w:r>
      <w:r>
        <w:rPr/>
        <w:t>陕西嘉信瑞诚招标有限公司</w:t>
      </w:r>
      <w:r>
        <w:rPr/>
        <w:t>享有。对招标文件中供应商参加本次政府采购活动应当具备的条件，招标项目技术、服务、商务及其他要求，评标细则及标准由</w:t>
      </w:r>
      <w:r>
        <w:rPr/>
        <w:t>西安理工大学</w:t>
      </w:r>
      <w:r>
        <w:rPr/>
        <w:t>负责解释。除上述招标文件内容，其他内容由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西安理工大学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详见采购文件及合同约定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联系人：曲慧、张海</w:t>
      </w:r>
    </w:p>
    <w:p>
      <w:pPr>
        <w:pStyle w:val="null3"/>
      </w:pPr>
      <w:r>
        <w:rPr/>
        <w:t>联系电话：029-81541692</w:t>
      </w:r>
    </w:p>
    <w:p>
      <w:pPr>
        <w:pStyle w:val="null3"/>
      </w:pPr>
      <w:r>
        <w:rPr/>
        <w:t>地址：西安市南稍门十字东南角大话南门壹中心18层1806室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高温度梯度定向凝固炉：通过控制温度梯度，实现材料的定向凝固，使材料沿特定方向生长，形成有序的晶体结构。</w:t>
      </w:r>
    </w:p>
    <w:p>
      <w:pPr>
        <w:pStyle w:val="null3"/>
        <w:outlineLvl w:val="2"/>
      </w:pPr>
      <w:r>
        <w:rPr>
          <w:sz w:val="28"/>
          <w:b/>
        </w:rPr>
        <w:t>3.2采购内容</w:t>
      </w:r>
    </w:p>
    <w:p>
      <w:pPr>
        <w:pStyle w:val="null3"/>
      </w:pPr>
      <w:r>
        <w:rPr/>
        <w:t>采购包1：</w:t>
      </w:r>
    </w:p>
    <w:p>
      <w:pPr>
        <w:pStyle w:val="null3"/>
      </w:pPr>
      <w:r>
        <w:rPr/>
        <w:t>采购包预算金额（元）: 987,000.00</w:t>
      </w:r>
    </w:p>
    <w:p>
      <w:pPr>
        <w:pStyle w:val="null3"/>
      </w:pPr>
      <w:r>
        <w:rPr/>
        <w:t>采购包最高限价（元）: 987,000.00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高温度梯度定向凝固炉</w:t>
            </w:r>
          </w:p>
        </w:tc>
        <w:tc>
          <w:tcPr>
            <w:tcW w:type="dxa" w:w="831"/>
          </w:tcPr>
          <w:p>
            <w:pPr>
              <w:pStyle w:val="null3"/>
              <w:jc w:val="right"/>
            </w:pPr>
            <w:r>
              <w:rPr/>
              <w:t>1.00</w:t>
            </w:r>
          </w:p>
        </w:tc>
        <w:tc>
          <w:tcPr>
            <w:tcW w:type="dxa" w:w="831"/>
          </w:tcPr>
          <w:p>
            <w:pPr>
              <w:pStyle w:val="null3"/>
              <w:jc w:val="right"/>
            </w:pPr>
            <w:r>
              <w:rPr/>
              <w:t>987,000.00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标的名称：高温度梯度定向凝固炉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4"/>
              </w:rPr>
              <w:t>极限真空度：极限真空度:3x10-3Pa</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抽气系统：扩散泵机组</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4"/>
              </w:rPr>
              <w:t>真空测量系统：数显复合真空计</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sz w:val="24"/>
              </w:rPr>
              <w:t>感应熔炼坩埚容量：50kg（按照纯铜来算）</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4"/>
              </w:rPr>
              <w:t>测温方式：热电偶在线测温</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rFonts w:ascii="宋体" w:hAnsi="宋体" w:cs="宋体" w:eastAsia="宋体"/>
                <w:sz w:val="24"/>
              </w:rPr>
              <w:t>铸件外形尺寸/质量：铸锭尺寸:直径大于100mm，质量(按照纯铜来算)大于等于50kg</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4"/>
              </w:rPr>
              <w:t>拉拔速度：1um/s-2000um/s，下拉速率PLC可编程控制</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4"/>
              </w:rPr>
              <w:t>冷却介质：水冷铜台冷却</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4"/>
              </w:rPr>
              <w:t>控制系统：整机采用计算机PLC控制</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4"/>
              </w:rPr>
              <w:t>加热方式：熔炼加热方式：感应加热</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4"/>
              </w:rPr>
              <w:t>最高加热温度：保温炉加热方式：电阻加热</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rFonts w:ascii="宋体" w:hAnsi="宋体" w:cs="宋体" w:eastAsia="宋体"/>
                <w:sz w:val="24"/>
              </w:rPr>
              <w:t>真空室材质：1800℃</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4"/>
              </w:rPr>
              <w:t>外场辅助类别及参数：真空室材料全部采用304不锈钢，双层水冷壁全不锈钢制造</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合同签订后150天内交货，并完成安装调试。</w:t>
      </w:r>
    </w:p>
    <w:p>
      <w:pPr>
        <w:pStyle w:val="null3"/>
        <w:outlineLvl w:val="3"/>
      </w:pPr>
      <w:r>
        <w:rPr>
          <w:sz w:val="24"/>
          <w:b/>
        </w:rPr>
        <w:t>3.4.2交货地点</w:t>
      </w:r>
    </w:p>
    <w:p>
      <w:pPr>
        <w:pStyle w:val="null3"/>
      </w:pPr>
      <w:r>
        <w:rPr/>
        <w:t>采购包1：</w:t>
      </w:r>
    </w:p>
    <w:p>
      <w:pPr>
        <w:pStyle w:val="null3"/>
      </w:pPr>
      <w:r>
        <w:rPr/>
        <w:t>西安理工大学指定地点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合同生效后，中标供应商开具合同金额5%的银行保函，待货物到达指定地点、安装调试完成且验收合格后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验收标准：以国内行业标准或招标文件中描述的有关技术要求为准。 验收方法：设备到达指定地点安装调试后，试运行30天内无质量问题，采购人组织相关专家进行最终验收。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验收合格后3年，具体服务内容如下： 1、技术支持：投标人应保证在售后服务期内提供 7×24 小时技术支持服务。投标人应在投标文件中明确提供技术支持服务的联系方式和响应流程。 2、故障响应：投标人应保证在售后服务期内，各类故障应在1小时内响应，2小时内提供应急解决方案。若投标人未能按时限解决问题，招标方有权自行处理，所发生费用由投标人承担。投标人应在投标文件中明确提供故障响应服务的质量保证和违约责任。</w:t>
      </w:r>
    </w:p>
    <w:p>
      <w:pPr>
        <w:pStyle w:val="null3"/>
        <w:outlineLvl w:val="3"/>
      </w:pPr>
      <w:r>
        <w:rPr>
          <w:sz w:val="24"/>
          <w:b/>
        </w:rPr>
        <w:t>3.4.8违约责任与解决争议的方法</w:t>
      </w:r>
    </w:p>
    <w:p>
      <w:pPr>
        <w:pStyle w:val="null3"/>
      </w:pPr>
      <w:r>
        <w:rPr/>
        <w:t>采购包1：</w:t>
      </w:r>
    </w:p>
    <w:p>
      <w:pPr>
        <w:pStyle w:val="null3"/>
      </w:pPr>
      <w:r>
        <w:rPr/>
        <w:t>因为不可抗拒的因素致使合同不能履行的，或有违约争议，双方协商解决，协商不成，由采购人所在地人民法院裁决。</w:t>
      </w:r>
    </w:p>
    <w:p>
      <w:pPr>
        <w:pStyle w:val="null3"/>
        <w:jc w:val="left"/>
        <w:outlineLvl w:val="2"/>
      </w:pPr>
      <w:r>
        <w:rPr>
          <w:sz w:val="28"/>
          <w:b/>
        </w:rPr>
        <w:t>3.5其他要求</w:t>
      </w:r>
    </w:p>
    <w:p>
      <w:pPr>
        <w:pStyle w:val="null3"/>
      </w:pPr>
      <w:r>
        <w:rPr/>
        <w:t>1、售后服务标准要求：供应商提供设备的现场安装调试并达到投标文件和技术文件（说明书等）指标要求的技术性能，并同时在现场对采购人使用人员进行操作培训。如果现场安装测试指标未通过，采购人有权要求退货并要求赔偿损失。设备在调试通过后提供保修服务，在保修期内，所有服务及配件全部免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投标人应当加盖投标人（法定名称）电子印章</w:t>
            </w:r>
          </w:p>
        </w:tc>
        <w:tc>
          <w:tcPr>
            <w:tcW w:type="dxa" w:w="1661"/>
          </w:tcPr>
          <w:p>
            <w:pPr>
              <w:pStyle w:val="null3"/>
            </w:pPr>
            <w:r>
              <w:rPr/>
              <w:t>商务响应偏离表 投标方案 分项报价表 技术响应偏离表 中小企业声明函 企业关联关系声明函 投标保证金缴纳凭证 投标函 其他材料 投标人资格 残疾人福利性单位声明函 标的清单 投标人业绩 投标文件封面 投标人基本信息 监狱企业的证明文件</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 所投产品的技术参数完全符合、响应招标文件要求，没有负偏离计30分。 1、技术参数中标“▲”项（共4项）满分12分，负偏离一项扣3分，扣完为止； 2、技术参数中非“▲”项（共9项）满分18分，负偏离一项扣2分； 加分项： 技术参数的参数性能优于招标文件要求，具有实际使用价值的提升，经评标委员会一致认定每项可加分，满分3分。 1、“▲”项每项加1分，满分2分。 2、非“▲”项每项加0.5分，满分1分。 备注：所有“▲”项和优于参数须提供佐证材料（佐证材料不限于产品彩页、检测报告、厂家盖章的说明书、官网功能截图等。），否则不予得分或加分。</w:t>
            </w:r>
          </w:p>
        </w:tc>
        <w:tc>
          <w:tcPr>
            <w:tcW w:type="dxa" w:w="831"/>
          </w:tcPr>
          <w:p>
            <w:pPr>
              <w:pStyle w:val="null3"/>
              <w:jc w:val="right"/>
            </w:pPr>
            <w:r>
              <w:rPr/>
              <w:t>33.0000</w:t>
            </w:r>
          </w:p>
        </w:tc>
        <w:tc>
          <w:tcPr>
            <w:tcW w:type="dxa" w:w="831"/>
          </w:tcPr>
          <w:p>
            <w:pPr>
              <w:pStyle w:val="null3"/>
            </w:pPr>
            <w:r>
              <w:rPr/>
              <w:t>客观</w:t>
            </w:r>
          </w:p>
        </w:tc>
        <w:tc>
          <w:tcPr>
            <w:tcW w:type="dxa" w:w="1661"/>
          </w:tcPr>
          <w:p>
            <w:pPr>
              <w:pStyle w:val="null3"/>
            </w:pPr>
            <w:r>
              <w:rPr/>
              <w:t>技术响应偏离表</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①产品性能、使用寿命及效果：每完全满足一个评审标准得1分，满分3分；未提供不得分； ②质量保证措施:每完全满足一个评审标准得1分，满分3分；未提供不得分。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投标人针对本项目提供完整的项目实施方案。内容包含：①供货组织安排、实施计划及进度计划②安装调试验收及售后方案、物力调配及保障措施。 二、评审标准 1、完整性：方案须全面，对评审内容中的各项要求描述详细； 2、可实施性：切合本项目实际情况，实施步骤清晰、合理； 3、针对性：方案能够紧扣项目实际情况，内容科学合理。 三、赋分依据（满分6分） ①供货组织安排、实施计划及进度计划：每完全满足一个评审标准得1分，满分3分；未提供不得分； ②安装调试验收及售后方案、物力调配及保障措施：每完全满足一个评审标准得1分，满分3分；未提供不得分。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应急预案</w:t>
            </w:r>
          </w:p>
        </w:tc>
        <w:tc>
          <w:tcPr>
            <w:tcW w:type="dxa" w:w="2492"/>
          </w:tcPr>
          <w:p>
            <w:pPr>
              <w:pStyle w:val="null3"/>
            </w:pPr>
            <w:r>
              <w:rPr/>
              <w:t>一、评审内容 供应商针对本项目提供完整的项目应急预案。内容包含：①设备故障及维修服务到场响应时限；②其他应急突发状况处置措施（包括但不限于安装、实施、培训、维护维修等环节的紧急处理方案）。 二、评审标准 1、完整性：方案须全面，对评审内容中的各项要求描述详细； 2、可实施性：切合本项目实际情况，实施步骤清晰、合理； 3、针对性：方案能够紧扣项目实际情况，内容科学合理。 三、赋分依据（满分6分） ①设备故障及维修服务到场响应时限：每完全满足一个评审标准得1分，满分3分；未提供不得分； ②其他应急突发状况处置措施（包括但不限于安装、实施、培训、维护维修等环节的紧急处理方案）：每完全满足一个评审标准得1分，满分3分；未提供不得分。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三、赋分依据（满分3分） ①培训计划：每完全满足一个评审标准得0.5分，满分 1.5分；未提供不得分； ②培训内容：每完全满足一个评审标准得0.5分，满分 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提供投标人2021年11月1日至今同类项目合同，每提供1个计2分，最高得10分。（以合同签订日期为准） 备注：投标文件中提供合同复印件加盖公章。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投标人业绩</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根据项目实际需求提供售后服务方案。内容包含：①服务范围及承诺；②售后服务保障体系,包括但不限于人员配备、备品备件供应计划、设备（产品）发生故障后的补救措施等方面。 二、评审标准 1.完整性：方案须全面，对评审内容中的各项要求有详细描述； 2.可实施性：切合本项目实际情况，提出步骤清晰、合理的方案； 3.针对性：方案能够紧扣项目实际情况，内容科学合理。 三、赋分依据（满分6分） ①服务范围及承诺：每完全满足一个评审标准得1分，满分3分；未提供不得分； ②售后服务保障体系,包括但不限于人员配备、备品备件供应计划、设备（产品）发生故障后的补救措施等方面：每完全满足一个评审标准得1分，满分3分；未提供不得分。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 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详见附件：投标方案</w:t>
      </w:r>
    </w:p>
    <w:p>
      <w:pPr>
        <w:pStyle w:val="null3"/>
        <w:ind w:firstLine="960"/>
      </w:pPr>
      <w:r>
        <w:rPr/>
        <w:t>详见附件：投标人业绩</w:t>
      </w:r>
    </w:p>
    <w:p>
      <w:pPr>
        <w:pStyle w:val="null3"/>
        <w:ind w:firstLine="960"/>
      </w:pPr>
      <w:r>
        <w:rPr/>
        <w:t>详见附件：投标人基本信息</w:t>
      </w:r>
    </w:p>
    <w:p>
      <w:pPr>
        <w:pStyle w:val="null3"/>
        <w:ind w:firstLine="960"/>
      </w:pPr>
      <w:r>
        <w:rPr/>
        <w:t>详见附件：企业关联关系声明函</w:t>
      </w:r>
    </w:p>
    <w:p>
      <w:pPr>
        <w:pStyle w:val="null3"/>
        <w:ind w:firstLine="960"/>
      </w:pPr>
      <w:r>
        <w:rPr/>
        <w:t>详见附件：投标保证金缴纳凭证</w:t>
      </w:r>
    </w:p>
    <w:p>
      <w:pPr>
        <w:pStyle w:val="null3"/>
        <w:ind w:firstLine="960"/>
      </w:pPr>
      <w:r>
        <w:rPr/>
        <w:t>详见附件：其他材料</w:t>
      </w:r>
    </w:p>
    <w:p>
      <w:pPr>
        <w:pStyle w:val="null3"/>
        <w:ind w:firstLine="960"/>
      </w:pPr>
      <w:r>
        <w:rPr/>
        <w:t>详见附件：投标人资格</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