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EF30E5">
      <w:pPr>
        <w:adjustRightInd w:val="0"/>
        <w:snapToGrid w:val="0"/>
        <w:jc w:val="center"/>
        <w:rPr>
          <w:rFonts w:eastAsia="黑体"/>
          <w:sz w:val="36"/>
          <w:szCs w:val="36"/>
        </w:rPr>
      </w:pPr>
      <w:r>
        <w:rPr>
          <w:rFonts w:eastAsia="黑体"/>
          <w:sz w:val="36"/>
          <w:szCs w:val="36"/>
        </w:rPr>
        <w:t>仪器设备购置合同</w:t>
      </w:r>
    </w:p>
    <w:p w14:paraId="0733877A">
      <w:pPr>
        <w:adjustRightInd w:val="0"/>
        <w:snapToGrid w:val="0"/>
        <w:jc w:val="center"/>
        <w:rPr>
          <w:rFonts w:eastAsia="黑体"/>
          <w:sz w:val="36"/>
          <w:szCs w:val="36"/>
        </w:rPr>
      </w:pPr>
    </w:p>
    <w:p w14:paraId="5EE11555">
      <w:pPr>
        <w:adjustRightInd w:val="0"/>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西安建筑科技大学（甲方）与</w:t>
      </w:r>
      <w:r>
        <w:rPr>
          <w:rFonts w:hint="eastAsia" w:ascii="宋体" w:hAnsi="宋体" w:eastAsia="宋体" w:cs="宋体"/>
          <w:szCs w:val="21"/>
          <w:u w:val="single"/>
        </w:rPr>
        <w:t xml:space="preserve">        </w:t>
      </w:r>
      <w:r>
        <w:rPr>
          <w:rFonts w:hint="eastAsia" w:ascii="宋体" w:hAnsi="宋体" w:eastAsia="宋体" w:cs="宋体"/>
          <w:szCs w:val="21"/>
        </w:rPr>
        <w:t>（乙方）就甲方购置的</w:t>
      </w:r>
      <w:r>
        <w:rPr>
          <w:rFonts w:hint="eastAsia" w:ascii="宋体" w:hAnsi="宋体" w:eastAsia="宋体" w:cs="宋体"/>
          <w:bCs/>
          <w:szCs w:val="21"/>
          <w:u w:val="single"/>
        </w:rPr>
        <w:t xml:space="preserve">                 </w:t>
      </w:r>
      <w:r>
        <w:rPr>
          <w:rFonts w:hint="eastAsia" w:ascii="宋体" w:hAnsi="宋体" w:eastAsia="宋体" w:cs="宋体"/>
          <w:szCs w:val="21"/>
        </w:rPr>
        <w:t>设备经双方协商达成如下合同条款：</w:t>
      </w:r>
    </w:p>
    <w:p w14:paraId="7BFC38B0">
      <w:pPr>
        <w:spacing w:line="360" w:lineRule="auto"/>
        <w:ind w:left="555"/>
        <w:outlineLvl w:val="0"/>
        <w:rPr>
          <w:rFonts w:hint="eastAsia" w:ascii="宋体" w:hAnsi="宋体" w:eastAsia="宋体" w:cs="宋体"/>
          <w:b/>
          <w:szCs w:val="21"/>
        </w:rPr>
      </w:pPr>
      <w:r>
        <w:rPr>
          <w:rFonts w:hint="eastAsia" w:ascii="宋体" w:hAnsi="宋体" w:eastAsia="宋体" w:cs="宋体"/>
          <w:b/>
          <w:szCs w:val="21"/>
        </w:rPr>
        <w:t>1</w:t>
      </w:r>
      <w:r>
        <w:rPr>
          <w:rFonts w:hint="eastAsia" w:ascii="宋体" w:hAnsi="宋体" w:eastAsia="宋体" w:cs="宋体"/>
          <w:szCs w:val="21"/>
        </w:rPr>
        <w:t>.</w:t>
      </w:r>
      <w:r>
        <w:rPr>
          <w:rFonts w:hint="eastAsia" w:ascii="宋体" w:hAnsi="宋体" w:eastAsia="宋体" w:cs="宋体"/>
          <w:b/>
          <w:szCs w:val="21"/>
        </w:rPr>
        <w:t xml:space="preserve"> 合同内容</w:t>
      </w:r>
    </w:p>
    <w:p w14:paraId="1617BDD6">
      <w:pPr>
        <w:spacing w:line="360" w:lineRule="auto"/>
        <w:ind w:firstLine="560"/>
        <w:rPr>
          <w:rFonts w:hint="eastAsia" w:ascii="宋体" w:hAnsi="宋体" w:eastAsia="宋体" w:cs="宋体"/>
          <w:szCs w:val="21"/>
        </w:rPr>
      </w:pPr>
      <w:r>
        <w:rPr>
          <w:rFonts w:hint="eastAsia" w:ascii="宋体" w:hAnsi="宋体" w:eastAsia="宋体" w:cs="宋体"/>
          <w:szCs w:val="21"/>
        </w:rPr>
        <w:t>在甲方组织的关于</w:t>
      </w:r>
      <w:r>
        <w:rPr>
          <w:rFonts w:hint="eastAsia" w:ascii="宋体" w:hAnsi="宋体" w:eastAsia="宋体" w:cs="宋体"/>
          <w:szCs w:val="21"/>
          <w:u w:val="single"/>
        </w:rPr>
        <w:t xml:space="preserve"> </w:t>
      </w:r>
      <w:r>
        <w:rPr>
          <w:rFonts w:hint="eastAsia" w:ascii="宋体" w:hAnsi="宋体" w:eastAsia="宋体" w:cs="宋体"/>
          <w:u w:val="single"/>
        </w:rPr>
        <w:t xml:space="preserve">            </w:t>
      </w:r>
      <w:r>
        <w:rPr>
          <w:rFonts w:hint="eastAsia" w:ascii="宋体" w:hAnsi="宋体" w:eastAsia="宋体" w:cs="宋体"/>
        </w:rPr>
        <w:t>采购</w:t>
      </w:r>
      <w:r>
        <w:rPr>
          <w:rFonts w:hint="eastAsia" w:ascii="宋体" w:hAnsi="宋体" w:eastAsia="宋体" w:cs="宋体"/>
          <w:szCs w:val="21"/>
        </w:rPr>
        <w:t>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27DA84FF">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1.1 仪器设备购置清单（币种：人民币）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15769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tcMar>
              <w:top w:w="20" w:type="dxa"/>
              <w:left w:w="20" w:type="dxa"/>
              <w:bottom w:w="0" w:type="dxa"/>
              <w:right w:w="20" w:type="dxa"/>
            </w:tcMar>
            <w:vAlign w:val="center"/>
          </w:tcPr>
          <w:p w14:paraId="052D04B4">
            <w:pPr>
              <w:spacing w:line="360" w:lineRule="auto"/>
              <w:jc w:val="center"/>
              <w:rPr>
                <w:rFonts w:hint="eastAsia" w:ascii="宋体" w:hAnsi="宋体" w:eastAsia="宋体" w:cs="宋体"/>
                <w:b/>
                <w:szCs w:val="21"/>
              </w:rPr>
            </w:pPr>
            <w:r>
              <w:rPr>
                <w:rFonts w:hint="eastAsia" w:ascii="宋体" w:hAnsi="宋体" w:eastAsia="宋体" w:cs="宋体"/>
                <w:b/>
                <w:szCs w:val="21"/>
              </w:rPr>
              <w:t>序号</w:t>
            </w:r>
          </w:p>
        </w:tc>
        <w:tc>
          <w:tcPr>
            <w:tcW w:w="1805" w:type="dxa"/>
            <w:tcMar>
              <w:top w:w="20" w:type="dxa"/>
              <w:left w:w="20" w:type="dxa"/>
              <w:bottom w:w="0" w:type="dxa"/>
              <w:right w:w="20" w:type="dxa"/>
            </w:tcMar>
            <w:vAlign w:val="center"/>
          </w:tcPr>
          <w:p w14:paraId="2B1A2D9B">
            <w:pPr>
              <w:spacing w:line="360" w:lineRule="auto"/>
              <w:jc w:val="center"/>
              <w:rPr>
                <w:rFonts w:hint="eastAsia" w:ascii="宋体" w:hAnsi="宋体" w:eastAsia="宋体" w:cs="宋体"/>
                <w:b/>
                <w:szCs w:val="21"/>
              </w:rPr>
            </w:pPr>
            <w:r>
              <w:rPr>
                <w:rFonts w:hint="eastAsia" w:ascii="宋体" w:hAnsi="宋体" w:eastAsia="宋体" w:cs="宋体"/>
                <w:b/>
                <w:szCs w:val="21"/>
              </w:rPr>
              <w:t>设备名称</w:t>
            </w:r>
          </w:p>
        </w:tc>
        <w:tc>
          <w:tcPr>
            <w:tcW w:w="1980" w:type="dxa"/>
            <w:tcMar>
              <w:top w:w="20" w:type="dxa"/>
              <w:left w:w="20" w:type="dxa"/>
              <w:bottom w:w="0" w:type="dxa"/>
              <w:right w:w="20" w:type="dxa"/>
            </w:tcMar>
            <w:vAlign w:val="center"/>
          </w:tcPr>
          <w:p w14:paraId="26546056">
            <w:pPr>
              <w:spacing w:line="360" w:lineRule="auto"/>
              <w:jc w:val="center"/>
              <w:rPr>
                <w:rFonts w:hint="eastAsia" w:ascii="宋体" w:hAnsi="宋体" w:eastAsia="宋体" w:cs="宋体"/>
                <w:b/>
                <w:szCs w:val="21"/>
              </w:rPr>
            </w:pPr>
            <w:r>
              <w:rPr>
                <w:rFonts w:hint="eastAsia" w:ascii="宋体" w:hAnsi="宋体" w:eastAsia="宋体" w:cs="宋体"/>
                <w:b/>
                <w:szCs w:val="21"/>
              </w:rPr>
              <w:t>品牌、规格、型号</w:t>
            </w:r>
          </w:p>
        </w:tc>
        <w:tc>
          <w:tcPr>
            <w:tcW w:w="886" w:type="dxa"/>
            <w:tcMar>
              <w:top w:w="20" w:type="dxa"/>
              <w:left w:w="20" w:type="dxa"/>
              <w:bottom w:w="0" w:type="dxa"/>
              <w:right w:w="20" w:type="dxa"/>
            </w:tcMar>
            <w:vAlign w:val="center"/>
          </w:tcPr>
          <w:p w14:paraId="0E009298">
            <w:pPr>
              <w:spacing w:line="360" w:lineRule="auto"/>
              <w:jc w:val="center"/>
              <w:rPr>
                <w:rFonts w:hint="eastAsia" w:ascii="宋体" w:hAnsi="宋体" w:eastAsia="宋体" w:cs="宋体"/>
                <w:b/>
                <w:szCs w:val="21"/>
              </w:rPr>
            </w:pPr>
            <w:r>
              <w:rPr>
                <w:rFonts w:hint="eastAsia" w:ascii="宋体" w:hAnsi="宋体" w:eastAsia="宋体" w:cs="宋体"/>
                <w:b/>
                <w:szCs w:val="21"/>
              </w:rPr>
              <w:t>数量</w:t>
            </w:r>
          </w:p>
          <w:p w14:paraId="47049268">
            <w:pPr>
              <w:spacing w:line="360" w:lineRule="auto"/>
              <w:jc w:val="center"/>
              <w:rPr>
                <w:rFonts w:hint="eastAsia" w:ascii="宋体" w:hAnsi="宋体" w:eastAsia="宋体" w:cs="宋体"/>
                <w:b/>
                <w:szCs w:val="21"/>
              </w:rPr>
            </w:pPr>
            <w:r>
              <w:rPr>
                <w:rFonts w:hint="eastAsia" w:ascii="宋体" w:hAnsi="宋体" w:eastAsia="宋体" w:cs="宋体"/>
                <w:b/>
                <w:szCs w:val="21"/>
              </w:rPr>
              <w:t>（台、套）</w:t>
            </w:r>
          </w:p>
        </w:tc>
        <w:tc>
          <w:tcPr>
            <w:tcW w:w="985" w:type="dxa"/>
            <w:tcMar>
              <w:top w:w="20" w:type="dxa"/>
              <w:left w:w="20" w:type="dxa"/>
              <w:bottom w:w="0" w:type="dxa"/>
              <w:right w:w="20" w:type="dxa"/>
            </w:tcMar>
            <w:vAlign w:val="center"/>
          </w:tcPr>
          <w:p w14:paraId="15717AAC">
            <w:pPr>
              <w:spacing w:line="360" w:lineRule="auto"/>
              <w:jc w:val="center"/>
              <w:rPr>
                <w:rFonts w:hint="eastAsia" w:ascii="宋体" w:hAnsi="宋体" w:eastAsia="宋体" w:cs="宋体"/>
                <w:b/>
                <w:szCs w:val="21"/>
              </w:rPr>
            </w:pPr>
            <w:r>
              <w:rPr>
                <w:rFonts w:hint="eastAsia" w:ascii="宋体" w:hAnsi="宋体" w:eastAsia="宋体" w:cs="宋体"/>
                <w:b/>
                <w:szCs w:val="21"/>
              </w:rPr>
              <w:t>单价</w:t>
            </w:r>
          </w:p>
          <w:p w14:paraId="3D7BD8A0">
            <w:pPr>
              <w:spacing w:line="360" w:lineRule="auto"/>
              <w:jc w:val="center"/>
              <w:rPr>
                <w:rFonts w:hint="eastAsia" w:ascii="宋体" w:hAnsi="宋体" w:eastAsia="宋体" w:cs="宋体"/>
                <w:b/>
                <w:szCs w:val="21"/>
              </w:rPr>
            </w:pPr>
            <w:r>
              <w:rPr>
                <w:rFonts w:hint="eastAsia" w:ascii="宋体" w:hAnsi="宋体" w:eastAsia="宋体" w:cs="宋体"/>
                <w:b/>
                <w:szCs w:val="21"/>
              </w:rPr>
              <w:t>(万元)</w:t>
            </w:r>
          </w:p>
        </w:tc>
        <w:tc>
          <w:tcPr>
            <w:tcW w:w="984" w:type="dxa"/>
            <w:tcMar>
              <w:top w:w="20" w:type="dxa"/>
              <w:left w:w="20" w:type="dxa"/>
              <w:bottom w:w="0" w:type="dxa"/>
              <w:right w:w="20" w:type="dxa"/>
            </w:tcMar>
            <w:vAlign w:val="center"/>
          </w:tcPr>
          <w:p w14:paraId="5332382F">
            <w:pPr>
              <w:spacing w:line="360" w:lineRule="auto"/>
              <w:jc w:val="center"/>
              <w:rPr>
                <w:rFonts w:hint="eastAsia" w:ascii="宋体" w:hAnsi="宋体" w:eastAsia="宋体" w:cs="宋体"/>
                <w:b/>
                <w:szCs w:val="21"/>
              </w:rPr>
            </w:pPr>
            <w:r>
              <w:rPr>
                <w:rFonts w:hint="eastAsia" w:ascii="宋体" w:hAnsi="宋体" w:eastAsia="宋体" w:cs="宋体"/>
                <w:b/>
                <w:szCs w:val="21"/>
              </w:rPr>
              <w:t>合计</w:t>
            </w:r>
          </w:p>
          <w:p w14:paraId="48A2368B">
            <w:pPr>
              <w:spacing w:line="360" w:lineRule="auto"/>
              <w:jc w:val="center"/>
              <w:rPr>
                <w:rFonts w:hint="eastAsia" w:ascii="宋体" w:hAnsi="宋体" w:eastAsia="宋体" w:cs="宋体"/>
                <w:b/>
                <w:szCs w:val="21"/>
              </w:rPr>
            </w:pPr>
            <w:r>
              <w:rPr>
                <w:rFonts w:hint="eastAsia" w:ascii="宋体" w:hAnsi="宋体" w:eastAsia="宋体" w:cs="宋体"/>
                <w:b/>
                <w:szCs w:val="21"/>
              </w:rPr>
              <w:t>（万元）</w:t>
            </w:r>
          </w:p>
        </w:tc>
        <w:tc>
          <w:tcPr>
            <w:tcW w:w="978" w:type="dxa"/>
            <w:vAlign w:val="center"/>
          </w:tcPr>
          <w:p w14:paraId="121359AD">
            <w:pPr>
              <w:spacing w:line="360" w:lineRule="auto"/>
              <w:jc w:val="center"/>
              <w:rPr>
                <w:rFonts w:hint="eastAsia" w:ascii="宋体" w:hAnsi="宋体" w:eastAsia="宋体" w:cs="宋体"/>
                <w:b/>
                <w:szCs w:val="21"/>
              </w:rPr>
            </w:pPr>
            <w:r>
              <w:rPr>
                <w:rFonts w:hint="eastAsia" w:ascii="宋体" w:hAnsi="宋体" w:eastAsia="宋体" w:cs="宋体"/>
                <w:b/>
                <w:szCs w:val="21"/>
              </w:rPr>
              <w:t>生产商</w:t>
            </w:r>
          </w:p>
        </w:tc>
        <w:tc>
          <w:tcPr>
            <w:tcW w:w="580" w:type="dxa"/>
            <w:tcMar>
              <w:top w:w="20" w:type="dxa"/>
              <w:left w:w="20" w:type="dxa"/>
              <w:bottom w:w="0" w:type="dxa"/>
              <w:right w:w="20" w:type="dxa"/>
            </w:tcMar>
            <w:vAlign w:val="center"/>
          </w:tcPr>
          <w:p w14:paraId="0B63F9E6">
            <w:pPr>
              <w:spacing w:line="360" w:lineRule="auto"/>
              <w:jc w:val="center"/>
              <w:rPr>
                <w:rFonts w:hint="eastAsia" w:ascii="宋体" w:hAnsi="宋体" w:eastAsia="宋体" w:cs="宋体"/>
                <w:b/>
                <w:szCs w:val="21"/>
              </w:rPr>
            </w:pPr>
            <w:r>
              <w:rPr>
                <w:rFonts w:hint="eastAsia" w:ascii="宋体" w:hAnsi="宋体" w:eastAsia="宋体" w:cs="宋体"/>
                <w:b/>
                <w:szCs w:val="21"/>
              </w:rPr>
              <w:t>备注</w:t>
            </w:r>
          </w:p>
        </w:tc>
      </w:tr>
      <w:tr w14:paraId="471E0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tcMar>
              <w:top w:w="20" w:type="dxa"/>
              <w:left w:w="20" w:type="dxa"/>
              <w:bottom w:w="0" w:type="dxa"/>
              <w:right w:w="20" w:type="dxa"/>
            </w:tcMar>
            <w:vAlign w:val="center"/>
          </w:tcPr>
          <w:p w14:paraId="0222AD60">
            <w:pPr>
              <w:spacing w:line="360" w:lineRule="auto"/>
              <w:jc w:val="center"/>
              <w:rPr>
                <w:rFonts w:hint="eastAsia" w:ascii="宋体" w:hAnsi="宋体" w:eastAsia="宋体" w:cs="宋体"/>
                <w:szCs w:val="21"/>
              </w:rPr>
            </w:pPr>
            <w:r>
              <w:rPr>
                <w:rFonts w:hint="eastAsia" w:ascii="宋体" w:hAnsi="宋体" w:eastAsia="宋体" w:cs="宋体"/>
                <w:szCs w:val="21"/>
              </w:rPr>
              <w:t>1</w:t>
            </w:r>
          </w:p>
        </w:tc>
        <w:tc>
          <w:tcPr>
            <w:tcW w:w="1805" w:type="dxa"/>
            <w:tcMar>
              <w:top w:w="20" w:type="dxa"/>
              <w:left w:w="20" w:type="dxa"/>
              <w:bottom w:w="0" w:type="dxa"/>
              <w:right w:w="20" w:type="dxa"/>
            </w:tcMar>
            <w:vAlign w:val="center"/>
          </w:tcPr>
          <w:p w14:paraId="0761FA98">
            <w:pPr>
              <w:spacing w:line="360" w:lineRule="auto"/>
              <w:jc w:val="center"/>
              <w:rPr>
                <w:rFonts w:hint="eastAsia" w:ascii="宋体" w:hAnsi="宋体" w:eastAsia="宋体" w:cs="宋体"/>
                <w:szCs w:val="21"/>
              </w:rPr>
            </w:pPr>
          </w:p>
        </w:tc>
        <w:tc>
          <w:tcPr>
            <w:tcW w:w="1980" w:type="dxa"/>
            <w:tcMar>
              <w:top w:w="20" w:type="dxa"/>
              <w:left w:w="20" w:type="dxa"/>
              <w:bottom w:w="0" w:type="dxa"/>
              <w:right w:w="20" w:type="dxa"/>
            </w:tcMar>
            <w:vAlign w:val="center"/>
          </w:tcPr>
          <w:p w14:paraId="54D74DF8">
            <w:pPr>
              <w:spacing w:line="360" w:lineRule="auto"/>
              <w:jc w:val="center"/>
              <w:rPr>
                <w:rFonts w:hint="eastAsia" w:ascii="宋体" w:hAnsi="宋体" w:eastAsia="宋体" w:cs="宋体"/>
                <w:szCs w:val="21"/>
              </w:rPr>
            </w:pPr>
          </w:p>
        </w:tc>
        <w:tc>
          <w:tcPr>
            <w:tcW w:w="886" w:type="dxa"/>
            <w:tcMar>
              <w:top w:w="20" w:type="dxa"/>
              <w:left w:w="20" w:type="dxa"/>
              <w:bottom w:w="0" w:type="dxa"/>
              <w:right w:w="20" w:type="dxa"/>
            </w:tcMar>
            <w:vAlign w:val="center"/>
          </w:tcPr>
          <w:p w14:paraId="62D70F21">
            <w:pPr>
              <w:spacing w:line="360" w:lineRule="auto"/>
              <w:jc w:val="center"/>
              <w:rPr>
                <w:rFonts w:hint="eastAsia" w:ascii="宋体" w:hAnsi="宋体" w:eastAsia="宋体" w:cs="宋体"/>
                <w:szCs w:val="21"/>
              </w:rPr>
            </w:pPr>
          </w:p>
        </w:tc>
        <w:tc>
          <w:tcPr>
            <w:tcW w:w="985" w:type="dxa"/>
            <w:tcMar>
              <w:top w:w="20" w:type="dxa"/>
              <w:left w:w="20" w:type="dxa"/>
              <w:bottom w:w="0" w:type="dxa"/>
              <w:right w:w="20" w:type="dxa"/>
            </w:tcMar>
            <w:vAlign w:val="center"/>
          </w:tcPr>
          <w:p w14:paraId="6F6C530E">
            <w:pPr>
              <w:spacing w:line="360" w:lineRule="auto"/>
              <w:jc w:val="center"/>
              <w:rPr>
                <w:rFonts w:hint="eastAsia" w:ascii="宋体" w:hAnsi="宋体" w:eastAsia="宋体" w:cs="宋体"/>
                <w:szCs w:val="21"/>
              </w:rPr>
            </w:pPr>
          </w:p>
        </w:tc>
        <w:tc>
          <w:tcPr>
            <w:tcW w:w="984" w:type="dxa"/>
            <w:tcMar>
              <w:top w:w="20" w:type="dxa"/>
              <w:left w:w="20" w:type="dxa"/>
              <w:bottom w:w="0" w:type="dxa"/>
              <w:right w:w="20" w:type="dxa"/>
            </w:tcMar>
            <w:vAlign w:val="center"/>
          </w:tcPr>
          <w:p w14:paraId="29BB39C5">
            <w:pPr>
              <w:spacing w:line="360" w:lineRule="auto"/>
              <w:jc w:val="center"/>
              <w:rPr>
                <w:rFonts w:hint="eastAsia" w:ascii="宋体" w:hAnsi="宋体" w:eastAsia="宋体" w:cs="宋体"/>
                <w:szCs w:val="21"/>
              </w:rPr>
            </w:pPr>
          </w:p>
        </w:tc>
        <w:tc>
          <w:tcPr>
            <w:tcW w:w="978" w:type="dxa"/>
            <w:vAlign w:val="center"/>
          </w:tcPr>
          <w:p w14:paraId="0EA413CF">
            <w:pPr>
              <w:spacing w:line="360" w:lineRule="auto"/>
              <w:jc w:val="center"/>
              <w:rPr>
                <w:rFonts w:hint="eastAsia" w:ascii="宋体" w:hAnsi="宋体" w:eastAsia="宋体" w:cs="宋体"/>
                <w:szCs w:val="21"/>
              </w:rPr>
            </w:pPr>
          </w:p>
        </w:tc>
        <w:tc>
          <w:tcPr>
            <w:tcW w:w="580" w:type="dxa"/>
            <w:tcMar>
              <w:top w:w="20" w:type="dxa"/>
              <w:left w:w="20" w:type="dxa"/>
              <w:bottom w:w="0" w:type="dxa"/>
              <w:right w:w="20" w:type="dxa"/>
            </w:tcMar>
            <w:vAlign w:val="center"/>
          </w:tcPr>
          <w:p w14:paraId="4798AC7D">
            <w:pPr>
              <w:spacing w:line="360" w:lineRule="auto"/>
              <w:jc w:val="center"/>
              <w:rPr>
                <w:rFonts w:hint="eastAsia" w:ascii="宋体" w:hAnsi="宋体" w:eastAsia="宋体" w:cs="宋体"/>
                <w:szCs w:val="21"/>
              </w:rPr>
            </w:pPr>
          </w:p>
        </w:tc>
      </w:tr>
      <w:tr w14:paraId="49736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tcMar>
              <w:top w:w="20" w:type="dxa"/>
              <w:left w:w="20" w:type="dxa"/>
              <w:bottom w:w="0" w:type="dxa"/>
              <w:right w:w="20" w:type="dxa"/>
            </w:tcMar>
            <w:vAlign w:val="center"/>
          </w:tcPr>
          <w:p w14:paraId="66A86002">
            <w:pPr>
              <w:spacing w:line="360" w:lineRule="auto"/>
              <w:jc w:val="center"/>
              <w:rPr>
                <w:rFonts w:hint="eastAsia" w:ascii="宋体" w:hAnsi="宋体" w:eastAsia="宋体" w:cs="宋体"/>
                <w:szCs w:val="21"/>
              </w:rPr>
            </w:pPr>
            <w:r>
              <w:rPr>
                <w:rFonts w:hint="eastAsia" w:ascii="宋体" w:hAnsi="宋体" w:eastAsia="宋体" w:cs="宋体"/>
                <w:szCs w:val="21"/>
              </w:rPr>
              <w:t>2</w:t>
            </w:r>
          </w:p>
        </w:tc>
        <w:tc>
          <w:tcPr>
            <w:tcW w:w="1805" w:type="dxa"/>
            <w:tcMar>
              <w:top w:w="20" w:type="dxa"/>
              <w:left w:w="20" w:type="dxa"/>
              <w:bottom w:w="0" w:type="dxa"/>
              <w:right w:w="20" w:type="dxa"/>
            </w:tcMar>
            <w:vAlign w:val="center"/>
          </w:tcPr>
          <w:p w14:paraId="647814A6">
            <w:pPr>
              <w:spacing w:line="360" w:lineRule="auto"/>
              <w:jc w:val="center"/>
              <w:rPr>
                <w:rFonts w:hint="eastAsia" w:ascii="宋体" w:hAnsi="宋体" w:eastAsia="宋体" w:cs="宋体"/>
                <w:szCs w:val="21"/>
              </w:rPr>
            </w:pPr>
          </w:p>
        </w:tc>
        <w:tc>
          <w:tcPr>
            <w:tcW w:w="1980" w:type="dxa"/>
            <w:tcMar>
              <w:top w:w="20" w:type="dxa"/>
              <w:left w:w="20" w:type="dxa"/>
              <w:bottom w:w="0" w:type="dxa"/>
              <w:right w:w="20" w:type="dxa"/>
            </w:tcMar>
            <w:vAlign w:val="center"/>
          </w:tcPr>
          <w:p w14:paraId="6DBD2208">
            <w:pPr>
              <w:spacing w:line="360" w:lineRule="auto"/>
              <w:jc w:val="center"/>
              <w:rPr>
                <w:rFonts w:hint="eastAsia" w:ascii="宋体" w:hAnsi="宋体" w:eastAsia="宋体" w:cs="宋体"/>
                <w:szCs w:val="21"/>
              </w:rPr>
            </w:pPr>
          </w:p>
        </w:tc>
        <w:tc>
          <w:tcPr>
            <w:tcW w:w="886" w:type="dxa"/>
            <w:tcMar>
              <w:top w:w="20" w:type="dxa"/>
              <w:left w:w="20" w:type="dxa"/>
              <w:bottom w:w="0" w:type="dxa"/>
              <w:right w:w="20" w:type="dxa"/>
            </w:tcMar>
            <w:vAlign w:val="center"/>
          </w:tcPr>
          <w:p w14:paraId="0BCF852B">
            <w:pPr>
              <w:spacing w:line="360" w:lineRule="auto"/>
              <w:jc w:val="center"/>
              <w:rPr>
                <w:rFonts w:hint="eastAsia" w:ascii="宋体" w:hAnsi="宋体" w:eastAsia="宋体" w:cs="宋体"/>
                <w:szCs w:val="21"/>
              </w:rPr>
            </w:pPr>
          </w:p>
        </w:tc>
        <w:tc>
          <w:tcPr>
            <w:tcW w:w="985" w:type="dxa"/>
            <w:tcMar>
              <w:top w:w="20" w:type="dxa"/>
              <w:left w:w="20" w:type="dxa"/>
              <w:bottom w:w="0" w:type="dxa"/>
              <w:right w:w="20" w:type="dxa"/>
            </w:tcMar>
            <w:vAlign w:val="center"/>
          </w:tcPr>
          <w:p w14:paraId="33348AA1">
            <w:pPr>
              <w:spacing w:line="360" w:lineRule="auto"/>
              <w:jc w:val="center"/>
              <w:rPr>
                <w:rFonts w:hint="eastAsia" w:ascii="宋体" w:hAnsi="宋体" w:eastAsia="宋体" w:cs="宋体"/>
                <w:szCs w:val="21"/>
              </w:rPr>
            </w:pPr>
          </w:p>
        </w:tc>
        <w:tc>
          <w:tcPr>
            <w:tcW w:w="984" w:type="dxa"/>
            <w:tcMar>
              <w:top w:w="20" w:type="dxa"/>
              <w:left w:w="20" w:type="dxa"/>
              <w:bottom w:w="0" w:type="dxa"/>
              <w:right w:w="20" w:type="dxa"/>
            </w:tcMar>
            <w:vAlign w:val="center"/>
          </w:tcPr>
          <w:p w14:paraId="01B70B53">
            <w:pPr>
              <w:spacing w:line="360" w:lineRule="auto"/>
              <w:jc w:val="center"/>
              <w:rPr>
                <w:rFonts w:hint="eastAsia" w:ascii="宋体" w:hAnsi="宋体" w:eastAsia="宋体" w:cs="宋体"/>
                <w:szCs w:val="21"/>
              </w:rPr>
            </w:pPr>
          </w:p>
        </w:tc>
        <w:tc>
          <w:tcPr>
            <w:tcW w:w="978" w:type="dxa"/>
            <w:vAlign w:val="center"/>
          </w:tcPr>
          <w:p w14:paraId="663A118B">
            <w:pPr>
              <w:spacing w:line="360" w:lineRule="auto"/>
              <w:jc w:val="center"/>
              <w:rPr>
                <w:rFonts w:hint="eastAsia" w:ascii="宋体" w:hAnsi="宋体" w:eastAsia="宋体" w:cs="宋体"/>
                <w:kern w:val="0"/>
                <w:szCs w:val="21"/>
              </w:rPr>
            </w:pPr>
          </w:p>
        </w:tc>
        <w:tc>
          <w:tcPr>
            <w:tcW w:w="580" w:type="dxa"/>
            <w:tcMar>
              <w:top w:w="20" w:type="dxa"/>
              <w:left w:w="20" w:type="dxa"/>
              <w:bottom w:w="0" w:type="dxa"/>
              <w:right w:w="20" w:type="dxa"/>
            </w:tcMar>
            <w:vAlign w:val="center"/>
          </w:tcPr>
          <w:p w14:paraId="5CBFE9A6">
            <w:pPr>
              <w:spacing w:line="360" w:lineRule="auto"/>
              <w:jc w:val="center"/>
              <w:rPr>
                <w:rFonts w:hint="eastAsia" w:ascii="宋体" w:hAnsi="宋体" w:eastAsia="宋体" w:cs="宋体"/>
                <w:szCs w:val="21"/>
              </w:rPr>
            </w:pPr>
          </w:p>
        </w:tc>
      </w:tr>
      <w:tr w14:paraId="37ED7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tcMar>
              <w:top w:w="20" w:type="dxa"/>
              <w:left w:w="20" w:type="dxa"/>
              <w:bottom w:w="0" w:type="dxa"/>
              <w:right w:w="20" w:type="dxa"/>
            </w:tcMar>
            <w:vAlign w:val="center"/>
          </w:tcPr>
          <w:p w14:paraId="6A8BBACF">
            <w:pPr>
              <w:spacing w:line="360" w:lineRule="auto"/>
              <w:jc w:val="center"/>
              <w:rPr>
                <w:rFonts w:hint="eastAsia" w:ascii="宋体" w:hAnsi="宋体" w:eastAsia="宋体" w:cs="宋体"/>
                <w:szCs w:val="21"/>
              </w:rPr>
            </w:pPr>
            <w:r>
              <w:rPr>
                <w:rFonts w:hint="eastAsia" w:ascii="宋体" w:hAnsi="宋体" w:eastAsia="宋体" w:cs="宋体"/>
                <w:szCs w:val="21"/>
              </w:rPr>
              <w:t>3</w:t>
            </w:r>
          </w:p>
        </w:tc>
        <w:tc>
          <w:tcPr>
            <w:tcW w:w="1805" w:type="dxa"/>
            <w:tcMar>
              <w:top w:w="20" w:type="dxa"/>
              <w:left w:w="20" w:type="dxa"/>
              <w:bottom w:w="0" w:type="dxa"/>
              <w:right w:w="20" w:type="dxa"/>
            </w:tcMar>
            <w:vAlign w:val="center"/>
          </w:tcPr>
          <w:p w14:paraId="0D8A8772">
            <w:pPr>
              <w:spacing w:line="360" w:lineRule="auto"/>
              <w:jc w:val="center"/>
              <w:rPr>
                <w:rFonts w:hint="eastAsia" w:ascii="宋体" w:hAnsi="宋体" w:eastAsia="宋体" w:cs="宋体"/>
                <w:szCs w:val="21"/>
              </w:rPr>
            </w:pPr>
          </w:p>
        </w:tc>
        <w:tc>
          <w:tcPr>
            <w:tcW w:w="1980" w:type="dxa"/>
            <w:tcMar>
              <w:top w:w="20" w:type="dxa"/>
              <w:left w:w="20" w:type="dxa"/>
              <w:bottom w:w="0" w:type="dxa"/>
              <w:right w:w="20" w:type="dxa"/>
            </w:tcMar>
            <w:vAlign w:val="center"/>
          </w:tcPr>
          <w:p w14:paraId="167AD7A4">
            <w:pPr>
              <w:spacing w:line="360" w:lineRule="auto"/>
              <w:jc w:val="center"/>
              <w:rPr>
                <w:rFonts w:hint="eastAsia" w:ascii="宋体" w:hAnsi="宋体" w:eastAsia="宋体" w:cs="宋体"/>
                <w:szCs w:val="21"/>
              </w:rPr>
            </w:pPr>
          </w:p>
        </w:tc>
        <w:tc>
          <w:tcPr>
            <w:tcW w:w="886" w:type="dxa"/>
            <w:tcMar>
              <w:top w:w="20" w:type="dxa"/>
              <w:left w:w="20" w:type="dxa"/>
              <w:bottom w:w="0" w:type="dxa"/>
              <w:right w:w="20" w:type="dxa"/>
            </w:tcMar>
            <w:vAlign w:val="center"/>
          </w:tcPr>
          <w:p w14:paraId="01AF5D0A">
            <w:pPr>
              <w:spacing w:line="360" w:lineRule="auto"/>
              <w:jc w:val="center"/>
              <w:rPr>
                <w:rFonts w:hint="eastAsia" w:ascii="宋体" w:hAnsi="宋体" w:eastAsia="宋体" w:cs="宋体"/>
                <w:szCs w:val="21"/>
              </w:rPr>
            </w:pPr>
          </w:p>
        </w:tc>
        <w:tc>
          <w:tcPr>
            <w:tcW w:w="985" w:type="dxa"/>
            <w:tcMar>
              <w:top w:w="20" w:type="dxa"/>
              <w:left w:w="20" w:type="dxa"/>
              <w:bottom w:w="0" w:type="dxa"/>
              <w:right w:w="20" w:type="dxa"/>
            </w:tcMar>
            <w:vAlign w:val="center"/>
          </w:tcPr>
          <w:p w14:paraId="3F90ED6C">
            <w:pPr>
              <w:spacing w:line="360" w:lineRule="auto"/>
              <w:jc w:val="center"/>
              <w:rPr>
                <w:rFonts w:hint="eastAsia" w:ascii="宋体" w:hAnsi="宋体" w:eastAsia="宋体" w:cs="宋体"/>
                <w:szCs w:val="21"/>
              </w:rPr>
            </w:pPr>
          </w:p>
        </w:tc>
        <w:tc>
          <w:tcPr>
            <w:tcW w:w="984" w:type="dxa"/>
            <w:tcMar>
              <w:top w:w="20" w:type="dxa"/>
              <w:left w:w="20" w:type="dxa"/>
              <w:bottom w:w="0" w:type="dxa"/>
              <w:right w:w="20" w:type="dxa"/>
            </w:tcMar>
            <w:vAlign w:val="center"/>
          </w:tcPr>
          <w:p w14:paraId="35F12932">
            <w:pPr>
              <w:spacing w:line="360" w:lineRule="auto"/>
              <w:jc w:val="center"/>
              <w:rPr>
                <w:rFonts w:hint="eastAsia" w:ascii="宋体" w:hAnsi="宋体" w:eastAsia="宋体" w:cs="宋体"/>
                <w:szCs w:val="21"/>
              </w:rPr>
            </w:pPr>
          </w:p>
        </w:tc>
        <w:tc>
          <w:tcPr>
            <w:tcW w:w="978" w:type="dxa"/>
            <w:vAlign w:val="center"/>
          </w:tcPr>
          <w:p w14:paraId="7FC62F4A">
            <w:pPr>
              <w:spacing w:line="360" w:lineRule="auto"/>
              <w:jc w:val="center"/>
              <w:rPr>
                <w:rFonts w:hint="eastAsia" w:ascii="宋体" w:hAnsi="宋体" w:eastAsia="宋体" w:cs="宋体"/>
                <w:szCs w:val="21"/>
              </w:rPr>
            </w:pPr>
          </w:p>
        </w:tc>
        <w:tc>
          <w:tcPr>
            <w:tcW w:w="580" w:type="dxa"/>
            <w:tcMar>
              <w:top w:w="20" w:type="dxa"/>
              <w:left w:w="20" w:type="dxa"/>
              <w:bottom w:w="0" w:type="dxa"/>
              <w:right w:w="20" w:type="dxa"/>
            </w:tcMar>
            <w:vAlign w:val="center"/>
          </w:tcPr>
          <w:p w14:paraId="711118B3">
            <w:pPr>
              <w:spacing w:line="360" w:lineRule="auto"/>
              <w:jc w:val="center"/>
              <w:rPr>
                <w:rFonts w:hint="eastAsia" w:ascii="宋体" w:hAnsi="宋体" w:eastAsia="宋体" w:cs="宋体"/>
                <w:szCs w:val="21"/>
              </w:rPr>
            </w:pPr>
          </w:p>
        </w:tc>
      </w:tr>
      <w:tr w14:paraId="24D61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tcMar>
              <w:top w:w="20" w:type="dxa"/>
              <w:left w:w="20" w:type="dxa"/>
              <w:bottom w:w="0" w:type="dxa"/>
              <w:right w:w="20" w:type="dxa"/>
            </w:tcMar>
            <w:vAlign w:val="center"/>
          </w:tcPr>
          <w:p w14:paraId="2CFDBF76">
            <w:pPr>
              <w:spacing w:line="360" w:lineRule="auto"/>
              <w:jc w:val="center"/>
              <w:rPr>
                <w:rFonts w:hint="eastAsia" w:ascii="宋体" w:hAnsi="宋体" w:eastAsia="宋体" w:cs="宋体"/>
                <w:szCs w:val="21"/>
              </w:rPr>
            </w:pPr>
            <w:r>
              <w:rPr>
                <w:rFonts w:hint="eastAsia" w:ascii="宋体" w:hAnsi="宋体" w:eastAsia="宋体" w:cs="宋体"/>
                <w:szCs w:val="21"/>
              </w:rPr>
              <w:t>合计(元)</w:t>
            </w:r>
          </w:p>
        </w:tc>
        <w:tc>
          <w:tcPr>
            <w:tcW w:w="4413" w:type="dxa"/>
            <w:gridSpan w:val="5"/>
            <w:tcMar>
              <w:top w:w="20" w:type="dxa"/>
              <w:left w:w="20" w:type="dxa"/>
              <w:bottom w:w="0" w:type="dxa"/>
              <w:right w:w="20" w:type="dxa"/>
            </w:tcMar>
            <w:vAlign w:val="center"/>
          </w:tcPr>
          <w:p w14:paraId="1DA6D8C0">
            <w:pPr>
              <w:spacing w:line="360" w:lineRule="auto"/>
              <w:jc w:val="left"/>
              <w:rPr>
                <w:rFonts w:hint="eastAsia" w:ascii="宋体" w:hAnsi="宋体" w:eastAsia="宋体" w:cs="宋体"/>
                <w:szCs w:val="21"/>
              </w:rPr>
            </w:pPr>
            <w:r>
              <w:rPr>
                <w:rFonts w:hint="eastAsia" w:ascii="宋体" w:hAnsi="宋体" w:eastAsia="宋体" w:cs="宋体"/>
                <w:szCs w:val="21"/>
              </w:rPr>
              <w:t xml:space="preserve">大写： </w:t>
            </w:r>
          </w:p>
        </w:tc>
      </w:tr>
      <w:tr w14:paraId="3A9BB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tcMar>
              <w:top w:w="20" w:type="dxa"/>
              <w:left w:w="20" w:type="dxa"/>
              <w:bottom w:w="0" w:type="dxa"/>
              <w:right w:w="20" w:type="dxa"/>
            </w:tcMar>
            <w:vAlign w:val="center"/>
          </w:tcPr>
          <w:p w14:paraId="435C98A6">
            <w:pPr>
              <w:spacing w:line="360" w:lineRule="auto"/>
              <w:jc w:val="center"/>
              <w:rPr>
                <w:rFonts w:hint="eastAsia" w:ascii="宋体" w:hAnsi="宋体" w:eastAsia="宋体" w:cs="宋体"/>
                <w:szCs w:val="21"/>
              </w:rPr>
            </w:pPr>
          </w:p>
        </w:tc>
        <w:tc>
          <w:tcPr>
            <w:tcW w:w="4413" w:type="dxa"/>
            <w:gridSpan w:val="5"/>
            <w:tcMar>
              <w:top w:w="20" w:type="dxa"/>
              <w:left w:w="20" w:type="dxa"/>
              <w:bottom w:w="0" w:type="dxa"/>
              <w:right w:w="20" w:type="dxa"/>
            </w:tcMar>
            <w:vAlign w:val="center"/>
          </w:tcPr>
          <w:p w14:paraId="5258FAD6">
            <w:pPr>
              <w:spacing w:line="360" w:lineRule="auto"/>
              <w:jc w:val="left"/>
              <w:rPr>
                <w:rFonts w:hint="eastAsia" w:ascii="宋体" w:hAnsi="宋体" w:eastAsia="宋体" w:cs="宋体"/>
                <w:szCs w:val="21"/>
              </w:rPr>
            </w:pPr>
            <w:r>
              <w:rPr>
                <w:rFonts w:hint="eastAsia" w:ascii="宋体" w:hAnsi="宋体" w:eastAsia="宋体" w:cs="宋体"/>
                <w:szCs w:val="21"/>
              </w:rPr>
              <w:t>小写：   元</w:t>
            </w:r>
          </w:p>
        </w:tc>
      </w:tr>
    </w:tbl>
    <w:p w14:paraId="02F2F83F">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1.2 合同总额是指设备到达西安建筑科技大学指定地点、完成验收后的价格，其中已包含货物费（含备品备件费）、包装费、运杂费（含搬运、装卸、保险费等）、工程费、材料费、全部税费、安装调试费等相关费用。</w:t>
      </w:r>
    </w:p>
    <w:p w14:paraId="3E2A35D8">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1.3 合同总额为一次性包死价格，不受市场价格的变化和影响，在合同不发生变更时作为付款结算的依据。</w:t>
      </w:r>
    </w:p>
    <w:p w14:paraId="746078B5">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1.4 设备的技术参数要求</w:t>
      </w:r>
    </w:p>
    <w:p w14:paraId="3403B569">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0D534827">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1.4.2乙方应向甲方提供有关标准的中文文本。</w:t>
      </w:r>
    </w:p>
    <w:p w14:paraId="4F03ACD3">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1.4.3除非技术规范中另有规定，计量单位均采用中华人民共和国法定计量单位。</w:t>
      </w:r>
    </w:p>
    <w:p w14:paraId="5B09FE61">
      <w:pPr>
        <w:snapToGrid w:val="0"/>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 xml:space="preserve">2. 包装运输要求 </w:t>
      </w:r>
    </w:p>
    <w:p w14:paraId="2970C660">
      <w:pPr>
        <w:spacing w:line="360" w:lineRule="auto"/>
        <w:ind w:left="105" w:firstLine="480" w:firstLineChars="200"/>
        <w:outlineLvl w:val="2"/>
        <w:rPr>
          <w:rFonts w:hint="eastAsia" w:ascii="宋体" w:hAnsi="宋体" w:eastAsia="宋体" w:cs="宋体"/>
          <w:szCs w:val="21"/>
        </w:rPr>
      </w:pPr>
      <w:r>
        <w:rPr>
          <w:rFonts w:hint="eastAsia" w:ascii="宋体" w:hAnsi="宋体" w:eastAsia="宋体" w:cs="宋体"/>
          <w:szCs w:val="21"/>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6677235E">
      <w:pPr>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3.交货时间及交货地点</w:t>
      </w:r>
    </w:p>
    <w:p w14:paraId="0394CCD5">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3.1本项目为交钥匙工程，乙方要提供整套合格产品，切实做好安全防护相关工作。产品交货、安装地点均为甲方指定地点。</w:t>
      </w:r>
    </w:p>
    <w:p w14:paraId="7E82A845">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3.2 合同签订后</w:t>
      </w:r>
      <w:r>
        <w:rPr>
          <w:rFonts w:hint="eastAsia" w:ascii="宋体" w:hAnsi="宋体" w:eastAsia="宋体" w:cs="宋体"/>
          <w:szCs w:val="21"/>
          <w:u w:val="single"/>
        </w:rPr>
        <w:t xml:space="preserve">     </w:t>
      </w:r>
      <w:r>
        <w:rPr>
          <w:rFonts w:hint="eastAsia" w:ascii="宋体" w:hAnsi="宋体" w:eastAsia="宋体" w:cs="宋体"/>
          <w:szCs w:val="21"/>
        </w:rPr>
        <w:t>个工作日内，乙方负责将产品运输到指定地点，并按照验收标准和验收程序完成设备的安装、调试和验收工作。乙方保证运输过程产品包装完好、安装调试及验收时设备外观无划痕，设备质量完好。</w:t>
      </w:r>
    </w:p>
    <w:p w14:paraId="757E554D">
      <w:pPr>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4.产品质量保证</w:t>
      </w:r>
    </w:p>
    <w:p w14:paraId="0A9B5D18">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054F0769">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4.2 乙方提供的设备及配套产品必须等同于或优于合同技术指标要求，并能按国家标准供应、检测、调试，确保产品技术指标满足使用要求。</w:t>
      </w:r>
    </w:p>
    <w:p w14:paraId="43DC08A2">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6B43FF3F">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2AA41045">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7310EE9F">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4.6产品质量保证期为甲方最终设备验收合格后</w:t>
      </w:r>
      <w:r>
        <w:rPr>
          <w:rFonts w:hint="eastAsia" w:ascii="宋体" w:hAnsi="宋体" w:eastAsia="宋体" w:cs="宋体"/>
          <w:szCs w:val="21"/>
          <w:u w:val="single"/>
        </w:rPr>
        <w:t xml:space="preserve">     </w:t>
      </w:r>
      <w:r>
        <w:rPr>
          <w:rFonts w:hint="eastAsia" w:ascii="宋体" w:hAnsi="宋体" w:eastAsia="宋体" w:cs="宋体"/>
          <w:szCs w:val="21"/>
        </w:rPr>
        <w:t>年，设备正常使用寿命为</w:t>
      </w:r>
      <w:r>
        <w:rPr>
          <w:rFonts w:hint="eastAsia" w:ascii="宋体" w:hAnsi="宋体" w:eastAsia="宋体" w:cs="宋体"/>
          <w:szCs w:val="21"/>
          <w:u w:val="single"/>
        </w:rPr>
        <w:t xml:space="preserve">    </w:t>
      </w:r>
      <w:r>
        <w:rPr>
          <w:rFonts w:hint="eastAsia" w:ascii="宋体" w:hAnsi="宋体" w:eastAsia="宋体" w:cs="宋体"/>
          <w:szCs w:val="21"/>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6B9F3582">
      <w:pPr>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5.技术服务承诺</w:t>
      </w:r>
    </w:p>
    <w:p w14:paraId="55D49DDB">
      <w:pPr>
        <w:spacing w:line="360" w:lineRule="auto"/>
        <w:ind w:left="105" w:firstLine="360" w:firstLineChars="150"/>
        <w:outlineLvl w:val="2"/>
        <w:rPr>
          <w:rFonts w:hint="eastAsia" w:ascii="宋体" w:hAnsi="宋体" w:eastAsia="宋体" w:cs="宋体"/>
          <w:szCs w:val="21"/>
        </w:rPr>
      </w:pPr>
      <w:r>
        <w:rPr>
          <w:rFonts w:hint="eastAsia" w:ascii="宋体" w:hAnsi="宋体" w:eastAsia="宋体" w:cs="宋体"/>
          <w:szCs w:val="21"/>
        </w:rPr>
        <w:t>5.1乙方应严格按照供货时间，及时给甲方供货。</w:t>
      </w:r>
    </w:p>
    <w:p w14:paraId="58B8CE79">
      <w:pPr>
        <w:spacing w:line="360" w:lineRule="auto"/>
        <w:ind w:left="105" w:firstLine="360" w:firstLineChars="150"/>
        <w:outlineLvl w:val="2"/>
        <w:rPr>
          <w:rFonts w:hint="eastAsia" w:ascii="宋体" w:hAnsi="宋体" w:eastAsia="宋体" w:cs="宋体"/>
          <w:szCs w:val="21"/>
        </w:rPr>
      </w:pPr>
      <w:r>
        <w:rPr>
          <w:rFonts w:hint="eastAsia" w:ascii="宋体" w:hAnsi="宋体" w:eastAsia="宋体" w:cs="宋体"/>
          <w:szCs w:val="21"/>
        </w:rPr>
        <w:t>5.2乙方负责提供仪器设备相应的技术资料，包括产品合格证、产品保修单、安装使用及维护说明书以及运输装箱清单等,并对所有技术材料的真实性、准确性、先进性、完整性负责。</w:t>
      </w:r>
    </w:p>
    <w:p w14:paraId="44D5D1B9">
      <w:pPr>
        <w:spacing w:line="360" w:lineRule="auto"/>
        <w:ind w:left="105" w:firstLine="360" w:firstLineChars="150"/>
        <w:outlineLvl w:val="2"/>
        <w:rPr>
          <w:rFonts w:hint="eastAsia" w:ascii="宋体" w:hAnsi="宋体" w:eastAsia="宋体" w:cs="宋体"/>
          <w:b/>
          <w:szCs w:val="21"/>
        </w:rPr>
      </w:pPr>
      <w:r>
        <w:rPr>
          <w:rFonts w:hint="eastAsia" w:ascii="宋体" w:hAnsi="宋体" w:eastAsia="宋体" w:cs="宋体"/>
          <w:szCs w:val="21"/>
        </w:rPr>
        <w:t>5.3人员培训：乙方终身免费为甲方培训设备使用人员，培训内容包括：设备操作、维护、简单维修等。</w:t>
      </w:r>
    </w:p>
    <w:p w14:paraId="59DB70E9">
      <w:pPr>
        <w:spacing w:line="360" w:lineRule="auto"/>
        <w:ind w:firstLine="480" w:firstLineChars="200"/>
        <w:rPr>
          <w:rFonts w:hint="eastAsia" w:ascii="宋体" w:hAnsi="宋体" w:eastAsia="宋体" w:cs="宋体"/>
          <w:b/>
          <w:szCs w:val="21"/>
        </w:rPr>
      </w:pPr>
      <w:r>
        <w:rPr>
          <w:rFonts w:hint="eastAsia" w:ascii="宋体" w:hAnsi="宋体" w:eastAsia="宋体" w:cs="宋体"/>
          <w:bCs/>
          <w:szCs w:val="21"/>
        </w:rPr>
        <w:t>5.4</w:t>
      </w:r>
      <w:r>
        <w:rPr>
          <w:rFonts w:hint="eastAsia" w:ascii="宋体" w:hAnsi="宋体" w:eastAsia="宋体" w:cs="宋体"/>
          <w:szCs w:val="21"/>
        </w:rPr>
        <w:t>售后服务：质保期内乙方对甲方提出的服务响应不得超出</w:t>
      </w:r>
      <w:r>
        <w:rPr>
          <w:rFonts w:hint="eastAsia" w:ascii="宋体" w:hAnsi="宋体" w:eastAsia="宋体" w:cs="宋体"/>
          <w:szCs w:val="21"/>
          <w:u w:val="single"/>
        </w:rPr>
        <w:t xml:space="preserve">   </w:t>
      </w:r>
      <w:r>
        <w:rPr>
          <w:rFonts w:hint="eastAsia" w:ascii="宋体" w:hAnsi="宋体" w:eastAsia="宋体" w:cs="宋体"/>
          <w:szCs w:val="21"/>
        </w:rPr>
        <w:t>小时。</w:t>
      </w:r>
    </w:p>
    <w:p w14:paraId="52877827">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5.5具体服务详见乙方投标文件中乙方的承诺书。</w:t>
      </w:r>
    </w:p>
    <w:p w14:paraId="32196462">
      <w:pPr>
        <w:snapToGrid w:val="0"/>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6.验收方法及标准</w:t>
      </w:r>
    </w:p>
    <w:p w14:paraId="132CD2E1">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6.1开箱验收</w:t>
      </w:r>
    </w:p>
    <w:p w14:paraId="39A2BBF5">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6.1.1产品运抵现场后，双方应及时开箱验收，并制作验收记录，以确认与本合同约定的数量、型号等是否一致。</w:t>
      </w:r>
    </w:p>
    <w:p w14:paraId="33118504">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6.1.2 乙方应在交货前对产品的质量、规格、数量等进行详细而全面的检验，并出具证明产品符合合同规定的文件。该文件将作为申请付款单据的一部分，但有关质量、规格、数量的检验不应视为最终检验。</w:t>
      </w:r>
    </w:p>
    <w:p w14:paraId="4228AA38">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2D16EFED">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6.1.4 开箱验收中如发现产品的数量、规格与合同约定不符，甲方有权拒收产品，乙方应及时按甲方要求免费对拒收产品采取更换或其他必要的补救措施，直至开箱验收合格，方视为乙方完成交货。</w:t>
      </w:r>
    </w:p>
    <w:p w14:paraId="63FF18CF">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6.2  检验验收</w:t>
      </w:r>
    </w:p>
    <w:p w14:paraId="4C67A280">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6.2.1 交货完成后，乙方应及时组装、调试、试运行，按照合同条款规定的试运行完成后，双方及时组织对产品检验验收。合同双方均须派人参加合同要求双方参加的试验、检验。</w:t>
      </w:r>
    </w:p>
    <w:p w14:paraId="3ED1F885">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6.2.2 在具体实施合同规定的检验验收之前，乙方需提前提交相应的测试计划（包括测试程序、测试内容和检验标准、试验时间安排等）供甲方确认。</w:t>
      </w:r>
    </w:p>
    <w:p w14:paraId="1837CF00">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6.2.3  除需甲方确认的试验验收外，乙方还应对所有检验验收测试的结果、步骤、原始数据等作妥善记录。如甲方要求，乙方应提供这些记录给甲方。</w:t>
      </w:r>
    </w:p>
    <w:p w14:paraId="300CEDD2">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6.2.4  检验测试出现全部或部分未达到本合同所约定的技术指标，甲方有权选择下列任一处理方式：</w:t>
      </w:r>
    </w:p>
    <w:p w14:paraId="7B0C5B51">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a.重新测试直至合格为止；</w:t>
      </w:r>
    </w:p>
    <w:p w14:paraId="24181DF3">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b.要求乙方对货物进行免费更换，然后重新测试直至合格为止；</w:t>
      </w:r>
    </w:p>
    <w:p w14:paraId="4C41BFEE">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无论选择何种方式，甲方因此而发生的因乙方原因引起的所有费用均由乙方负担。</w:t>
      </w:r>
    </w:p>
    <w:p w14:paraId="116CE056">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6.3  使用过程检验</w:t>
      </w:r>
    </w:p>
    <w:p w14:paraId="18E6F2AD">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6EF8897F">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6.3.2如果合同双方对乙方提供的上述试验结果报告的解释有分歧，双方须于出现分歧后10天内给对方声明，以陈述己方的观点。声明须附有关证据。分歧应通过协商解决。</w:t>
      </w:r>
    </w:p>
    <w:p w14:paraId="4FBFC53F">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6.4  所有验收合格，但不能免除乙方应该承担的质保责任。</w:t>
      </w:r>
    </w:p>
    <w:p w14:paraId="0AFEE253">
      <w:pPr>
        <w:snapToGrid w:val="0"/>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7.合同款项支付方式</w:t>
      </w:r>
    </w:p>
    <w:p w14:paraId="6F3D34DC">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7.1履约保证金</w:t>
      </w:r>
    </w:p>
    <w:p w14:paraId="1A21CA4B">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7.1.1合同签订前，乙方须向甲方提交合同总价的10%作为履约保证金；</w:t>
      </w:r>
    </w:p>
    <w:p w14:paraId="1D5A6827">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7.1.2履约保证金应使用人民币，按</w:t>
      </w:r>
      <w:r>
        <w:rPr>
          <w:rFonts w:hint="eastAsia" w:ascii="宋体" w:hAnsi="宋体" w:eastAsia="宋体" w:cs="宋体"/>
          <w:szCs w:val="21"/>
          <w:u w:val="single"/>
        </w:rPr>
        <w:t xml:space="preserve">   汇款或现金   </w:t>
      </w:r>
      <w:r>
        <w:rPr>
          <w:rFonts w:hint="eastAsia" w:ascii="宋体" w:hAnsi="宋体" w:eastAsia="宋体" w:cs="宋体"/>
          <w:szCs w:val="21"/>
        </w:rPr>
        <w:t xml:space="preserve"> 方式提交；</w:t>
      </w:r>
    </w:p>
    <w:p w14:paraId="305A6FE5">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7.1.3设备到货并由甲方验收合格后，乙方申请，甲方应把履约保证金（无息）退还乙方。</w:t>
      </w:r>
    </w:p>
    <w:p w14:paraId="188361DC">
      <w:pPr>
        <w:snapToGrid w:val="0"/>
        <w:spacing w:line="360" w:lineRule="auto"/>
        <w:ind w:firstLine="482" w:firstLineChars="200"/>
        <w:rPr>
          <w:rFonts w:hint="eastAsia" w:ascii="宋体" w:hAnsi="宋体" w:eastAsia="宋体" w:cs="宋体"/>
          <w:b/>
          <w:bCs/>
          <w:szCs w:val="21"/>
        </w:rPr>
      </w:pPr>
      <w:r>
        <w:rPr>
          <w:rFonts w:hint="eastAsia" w:ascii="宋体" w:hAnsi="宋体" w:eastAsia="宋体" w:cs="宋体"/>
          <w:b/>
          <w:bCs/>
          <w:szCs w:val="21"/>
        </w:rPr>
        <w:t>7.2合同款支付（请在确定支付方式前面的“</w:t>
      </w:r>
      <w:r>
        <w:rPr>
          <w:rFonts w:hint="eastAsia" w:ascii="宋体" w:hAnsi="宋体" w:eastAsia="宋体" w:cs="宋体"/>
          <w:b/>
          <w:bCs/>
          <w:szCs w:val="21"/>
        </w:rPr>
        <w:sym w:font="Wingdings 2" w:char="00A3"/>
      </w:r>
      <w:r>
        <w:rPr>
          <w:rFonts w:hint="eastAsia" w:ascii="宋体" w:hAnsi="宋体" w:eastAsia="宋体" w:cs="宋体"/>
          <w:b/>
          <w:bCs/>
          <w:szCs w:val="21"/>
        </w:rPr>
        <w:t xml:space="preserve"> ”内打“√” ）</w:t>
      </w:r>
    </w:p>
    <w:p w14:paraId="034DFB35">
      <w:pPr>
        <w:snapToGrid w:val="0"/>
        <w:spacing w:line="360" w:lineRule="auto"/>
        <w:ind w:firstLine="482" w:firstLineChars="200"/>
        <w:rPr>
          <w:rFonts w:hint="eastAsia" w:ascii="宋体" w:hAnsi="宋体" w:eastAsia="宋体" w:cs="宋体"/>
          <w:b/>
          <w:bCs/>
          <w:szCs w:val="21"/>
        </w:rPr>
      </w:pPr>
      <w:r>
        <w:rPr>
          <w:rFonts w:hint="eastAsia" w:ascii="宋体" w:hAnsi="宋体" w:eastAsia="宋体" w:cs="宋体"/>
          <w:b/>
          <w:bCs/>
          <w:szCs w:val="21"/>
        </w:rPr>
        <w:t>国产设备：（请在确定支付方式前面的“</w:t>
      </w:r>
      <w:r>
        <w:rPr>
          <w:rFonts w:hint="eastAsia" w:ascii="宋体" w:hAnsi="宋体" w:eastAsia="宋体" w:cs="宋体"/>
          <w:b/>
          <w:bCs/>
          <w:szCs w:val="21"/>
        </w:rPr>
        <w:sym w:font="Wingdings 2" w:char="00A3"/>
      </w:r>
      <w:r>
        <w:rPr>
          <w:rFonts w:hint="eastAsia" w:ascii="宋体" w:hAnsi="宋体" w:eastAsia="宋体" w:cs="宋体"/>
          <w:b/>
          <w:bCs/>
          <w:szCs w:val="21"/>
        </w:rPr>
        <w:t>”内打“√”）</w:t>
      </w:r>
    </w:p>
    <w:p w14:paraId="61AAE244">
      <w:pPr>
        <w:snapToGrid w:val="0"/>
        <w:spacing w:line="360" w:lineRule="auto"/>
        <w:ind w:firstLine="482" w:firstLineChars="200"/>
        <w:rPr>
          <w:rFonts w:hint="eastAsia" w:ascii="宋体" w:hAnsi="宋体" w:eastAsia="宋体" w:cs="宋体"/>
          <w:b/>
          <w:bCs/>
          <w:szCs w:val="21"/>
        </w:rPr>
      </w:pPr>
      <w:r>
        <w:rPr>
          <w:rFonts w:hint="eastAsia" w:ascii="宋体" w:hAnsi="宋体" w:eastAsia="宋体" w:cs="宋体"/>
          <w:b/>
          <w:bCs/>
          <w:szCs w:val="21"/>
        </w:rPr>
        <w:sym w:font="Wingdings 2" w:char="00A3"/>
      </w:r>
      <w:r>
        <w:rPr>
          <w:rFonts w:hint="eastAsia" w:ascii="宋体" w:hAnsi="宋体" w:eastAsia="宋体" w:cs="宋体"/>
          <w:b/>
          <w:bCs/>
          <w:szCs w:val="21"/>
        </w:rPr>
        <w:t>（仅限2024年12月20日前无法验收合格的项目）</w:t>
      </w:r>
    </w:p>
    <w:p w14:paraId="73B72584">
      <w:pPr>
        <w:snapToGrid w:val="0"/>
        <w:spacing w:line="360" w:lineRule="auto"/>
        <w:ind w:firstLine="482" w:firstLineChars="200"/>
        <w:rPr>
          <w:rFonts w:hint="eastAsia" w:ascii="宋体" w:hAnsi="宋体" w:eastAsia="宋体" w:cs="宋体"/>
          <w:b/>
          <w:bCs/>
          <w:szCs w:val="21"/>
        </w:rPr>
      </w:pPr>
      <w:r>
        <w:rPr>
          <w:rFonts w:hint="eastAsia" w:ascii="宋体" w:hAnsi="宋体" w:eastAsia="宋体" w:cs="宋体"/>
          <w:b/>
          <w:bCs/>
          <w:szCs w:val="21"/>
        </w:rPr>
        <w:t>合同签订前，乙方须在甲方指定的银行开立一般结算账户。合同签订后，甲方通过银行电汇付给乙方全额货款。</w:t>
      </w:r>
    </w:p>
    <w:p w14:paraId="54272F7D">
      <w:pPr>
        <w:snapToGrid w:val="0"/>
        <w:spacing w:line="360" w:lineRule="auto"/>
        <w:ind w:firstLine="482" w:firstLineChars="200"/>
        <w:rPr>
          <w:rFonts w:hint="eastAsia" w:ascii="宋体" w:hAnsi="宋体" w:eastAsia="宋体" w:cs="宋体"/>
          <w:b/>
          <w:bCs/>
          <w:szCs w:val="21"/>
        </w:rPr>
      </w:pPr>
      <w:r>
        <w:rPr>
          <w:rFonts w:hint="eastAsia" w:ascii="宋体" w:hAnsi="宋体" w:eastAsia="宋体" w:cs="宋体"/>
          <w:b/>
          <w:bCs/>
          <w:szCs w:val="21"/>
        </w:rPr>
        <w:sym w:font="Wingdings 2" w:char="00A3"/>
      </w:r>
      <w:r>
        <w:rPr>
          <w:rFonts w:hint="eastAsia" w:ascii="宋体" w:hAnsi="宋体" w:eastAsia="宋体" w:cs="宋体"/>
          <w:b/>
          <w:bCs/>
          <w:szCs w:val="21"/>
        </w:rPr>
        <w:t>（仅限2024年12月20日前验收合格的项目）</w:t>
      </w:r>
    </w:p>
    <w:p w14:paraId="7E55B608">
      <w:pPr>
        <w:snapToGrid w:val="0"/>
        <w:spacing w:line="360" w:lineRule="auto"/>
        <w:ind w:firstLine="482" w:firstLineChars="200"/>
        <w:rPr>
          <w:rFonts w:hint="eastAsia" w:ascii="宋体" w:hAnsi="宋体" w:eastAsia="宋体" w:cs="宋体"/>
          <w:b/>
          <w:bCs/>
          <w:szCs w:val="21"/>
        </w:rPr>
      </w:pPr>
      <w:r>
        <w:rPr>
          <w:rFonts w:hint="eastAsia" w:ascii="宋体" w:hAnsi="宋体" w:eastAsia="宋体" w:cs="宋体"/>
          <w:b/>
          <w:bCs/>
          <w:szCs w:val="21"/>
        </w:rPr>
        <w:t>签订合同后，设备到达指定地点、安装调试完成并验收合格后，支付合同总价的100%。</w:t>
      </w:r>
    </w:p>
    <w:p w14:paraId="39355920">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7.3最终结算时，乙方须向甲方出具合同总价款的增值税专用发票。</w:t>
      </w:r>
    </w:p>
    <w:p w14:paraId="4EA90328">
      <w:pPr>
        <w:snapToGrid w:val="0"/>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8.安全生产和文明施工</w:t>
      </w:r>
    </w:p>
    <w:p w14:paraId="44EAE9E7">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8.1 现场安全文明施工由乙方编制专项详细方案并严格执行。</w:t>
      </w:r>
    </w:p>
    <w:p w14:paraId="031C0AA1">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65D06F71">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8.3 在设备安装施工全过程中，乙方应服从甲方的各项管理，并对乙方施工人员进行安全管理。</w:t>
      </w:r>
    </w:p>
    <w:p w14:paraId="085041A9">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8.4 确保现场建筑物及相关设施设备完好无损，如施工过程中出现损坏，乙方负责修复赔偿。</w:t>
      </w:r>
    </w:p>
    <w:p w14:paraId="09F3A154">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8.5 乙方应对安装施工人员相关岗位上岗资格进行审查，并对相关后果负责。</w:t>
      </w:r>
    </w:p>
    <w:p w14:paraId="6280B814">
      <w:pPr>
        <w:snapToGrid w:val="0"/>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9.索赔</w:t>
      </w:r>
    </w:p>
    <w:p w14:paraId="7F22C9AD">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74A0000F">
      <w:pPr>
        <w:snapToGrid w:val="0"/>
        <w:spacing w:line="360" w:lineRule="auto"/>
        <w:ind w:firstLine="480" w:firstLineChars="200"/>
        <w:rPr>
          <w:rFonts w:hint="eastAsia" w:ascii="宋体" w:hAnsi="宋体" w:eastAsia="宋体" w:cs="宋体"/>
          <w:szCs w:val="21"/>
        </w:rPr>
      </w:pPr>
      <w:bookmarkStart w:id="0" w:name="_Ref467378076"/>
      <w:r>
        <w:rPr>
          <w:rFonts w:hint="eastAsia" w:ascii="宋体" w:hAnsi="宋体" w:eastAsia="宋体" w:cs="宋体"/>
          <w:szCs w:val="21"/>
        </w:rPr>
        <w:t>9.2在验收合格前，乙方对甲方提出的索赔负有责任，乙方应按照甲方同意的下列一种或多种方式解决索赔事宜：</w:t>
      </w:r>
      <w:bookmarkEnd w:id="0"/>
    </w:p>
    <w:p w14:paraId="392F365C">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63454B73">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9.2.2根据货物低劣程度、损坏程度以及甲方所遭受损失的数额，经甲乙双方商定降低货物的价格，或由有资质的中介机构评估，以降低后的价格或评估价格为准。</w:t>
      </w:r>
    </w:p>
    <w:p w14:paraId="746C676C">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7DC8829B">
      <w:pPr>
        <w:snapToGrid w:val="0"/>
        <w:spacing w:line="360" w:lineRule="auto"/>
        <w:ind w:firstLine="480" w:firstLineChars="200"/>
        <w:rPr>
          <w:rFonts w:hint="eastAsia" w:ascii="宋体" w:hAnsi="宋体" w:eastAsia="宋体" w:cs="宋体"/>
          <w:szCs w:val="21"/>
        </w:rPr>
      </w:pPr>
      <w:bookmarkStart w:id="1" w:name="_Ref127159050"/>
      <w:r>
        <w:rPr>
          <w:rFonts w:hint="eastAsia" w:ascii="宋体" w:hAnsi="宋体" w:eastAsia="宋体" w:cs="宋体"/>
          <w:szCs w:val="21"/>
        </w:rPr>
        <w:t>9.3乙方收到甲方发出的索赔通知之日起5个工作日内未作答复的，甲方可从合同款或履约保证金中扣回索赔金额，如金额不足以补偿索赔金额，乙方应补足差额部分。</w:t>
      </w:r>
      <w:bookmarkEnd w:id="1"/>
    </w:p>
    <w:p w14:paraId="10477590">
      <w:pPr>
        <w:snapToGrid w:val="0"/>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10.违约责任</w:t>
      </w:r>
    </w:p>
    <w:p w14:paraId="2075D587">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10.1 合同生效后，甲乙双方应按合同规定认真履约。合同履约责任只涉及合同甲乙双方，不考虑第三方因素。</w:t>
      </w:r>
    </w:p>
    <w:p w14:paraId="638D6911">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10.2 除不可抗力原因外，如遇下列情况之一者，乙方所缴纳的履约保证金甲方有权不予退还，作为对甲方的赔偿，且甲方有权解除本合同：（1）合同签订后不能按合同时限要求供货或安装调试；（2）所供设备不合格、与合同不符；（3）不能按合同履约；（4）因产品质量原因，不能通过验收。</w:t>
      </w:r>
    </w:p>
    <w:p w14:paraId="4304A6E3">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10.3如乙方产品质量不符合国家标准、行业内控标准或本合同技术附件要求的，甲方有权退货，乙方应退还全部货款，并承担甲方合同总价款10％的违约金及其他损失。</w:t>
      </w:r>
    </w:p>
    <w:p w14:paraId="24833A05">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10.4 在合同规定的供货期内乙方未全部交货，除应如数补齐外，还应承担合同总款的10％违约金。</w:t>
      </w:r>
    </w:p>
    <w:p w14:paraId="59558657">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10.5 乙方对货物不按招标文件要求，擅自更换，除恢复原招标产品外，应承担更换部分价款10%的违约金；乙方如对产品材质、随机配品以次充好，除全部按要求恢复外，应承担此部分价款10%的违约金。</w:t>
      </w:r>
    </w:p>
    <w:p w14:paraId="410F9E1C">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0F315E3C">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73F8D0E7">
      <w:pPr>
        <w:snapToGrid w:val="0"/>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11.合同争议的解决</w:t>
      </w:r>
    </w:p>
    <w:p w14:paraId="2B731519">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11.1甲乙双方由于本合同的履行而发生任何争议时，双方可先通过协商解决。</w:t>
      </w:r>
    </w:p>
    <w:p w14:paraId="78FD1833">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11.2任何一方不愿通过协商或通过协商仍不能解决争议，则双方中任何一方均应向甲方所在地人民法院起诉。</w:t>
      </w:r>
    </w:p>
    <w:p w14:paraId="20965E9B">
      <w:pPr>
        <w:snapToGrid w:val="0"/>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12.违约解除合同</w:t>
      </w:r>
    </w:p>
    <w:p w14:paraId="43B8205F">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12.1出现下列情形之一的，视为乙方违约。甲方可向乙方发出书面通知，部分或全部终止合同，同时保留向乙方索赔的权利。</w:t>
      </w:r>
    </w:p>
    <w:p w14:paraId="09BEC1F8">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 xml:space="preserve">12.1.1乙方未能在合同规定的限期或甲方同意延长的限期内，提供全部或部分货物的； </w:t>
      </w:r>
    </w:p>
    <w:p w14:paraId="7623F852">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12.1.2乙方未能履行合同规定的其它主要义务的；</w:t>
      </w:r>
    </w:p>
    <w:p w14:paraId="5CFA4897">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12.1.3乙方在本合同履行过程中有欺诈行为的。</w:t>
      </w:r>
    </w:p>
    <w:p w14:paraId="08BFAACA">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3C07CA5F">
      <w:pPr>
        <w:snapToGrid w:val="0"/>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13.其它事项</w:t>
      </w:r>
    </w:p>
    <w:p w14:paraId="11EB60D4">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13.1 合同经双方签字盖章后生效。本合同一式五份，甲方执四份，乙方执一份，执行完毕后自行失效。</w:t>
      </w:r>
    </w:p>
    <w:p w14:paraId="0DEE4EFB">
      <w:pPr>
        <w:spacing w:line="360" w:lineRule="auto"/>
        <w:ind w:firstLine="470" w:firstLineChars="196"/>
        <w:rPr>
          <w:rFonts w:hint="eastAsia" w:ascii="宋体" w:hAnsi="宋体" w:eastAsia="宋体" w:cs="宋体"/>
          <w:szCs w:val="21"/>
        </w:rPr>
      </w:pPr>
      <w:r>
        <w:rPr>
          <w:rFonts w:hint="eastAsia" w:ascii="宋体" w:hAnsi="宋体" w:eastAsia="宋体" w:cs="宋体"/>
          <w:szCs w:val="21"/>
        </w:rPr>
        <w:t>13.2 合同的附件、投标文件均作为本合同不可分割的内容，且具有同等法律效力。合同的附件由甲方使用单位负责审核并签章。</w:t>
      </w:r>
    </w:p>
    <w:p w14:paraId="0A589BE0">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13.3 在本合同执行过程中，甲、乙双方协商签订的补充合同与原合同具有同等法律效力。</w:t>
      </w:r>
    </w:p>
    <w:p w14:paraId="046085B1">
      <w:pPr>
        <w:snapToGrid w:val="0"/>
        <w:spacing w:line="360" w:lineRule="auto"/>
        <w:ind w:firstLine="480" w:firstLineChars="200"/>
        <w:rPr>
          <w:rFonts w:hint="eastAsia" w:ascii="宋体" w:hAnsi="宋体" w:eastAsia="宋体" w:cs="宋体"/>
          <w:szCs w:val="21"/>
        </w:rPr>
      </w:pPr>
      <w:r>
        <w:rPr>
          <w:rFonts w:hint="eastAsia" w:ascii="宋体" w:hAnsi="宋体" w:eastAsia="宋体" w:cs="宋体"/>
          <w:szCs w:val="21"/>
        </w:rPr>
        <w:t>13.4 未尽事宜，双方协商解决。</w:t>
      </w:r>
    </w:p>
    <w:p w14:paraId="05F59C50">
      <w:pPr>
        <w:snapToGrid w:val="0"/>
        <w:spacing w:line="440" w:lineRule="exact"/>
        <w:ind w:firstLine="480" w:firstLineChars="200"/>
        <w:rPr>
          <w:szCs w:val="21"/>
        </w:rPr>
      </w:pPr>
    </w:p>
    <w:p w14:paraId="3A7A67B4">
      <w:pPr>
        <w:snapToGrid w:val="0"/>
        <w:spacing w:line="480" w:lineRule="exact"/>
        <w:rPr>
          <w:rFonts w:hint="eastAsia" w:ascii="宋体" w:hAnsi="宋体" w:eastAsia="宋体" w:cs="宋体"/>
          <w:b/>
          <w:szCs w:val="21"/>
        </w:rPr>
      </w:pPr>
      <w:r>
        <w:rPr>
          <w:rFonts w:hint="eastAsia" w:ascii="宋体" w:hAnsi="宋体" w:eastAsia="宋体" w:cs="宋体"/>
          <w:b/>
          <w:szCs w:val="21"/>
        </w:rPr>
        <w:t>合同签订地点：西安建筑科技大学</w:t>
      </w:r>
    </w:p>
    <w:p w14:paraId="04E9388A">
      <w:pPr>
        <w:snapToGrid w:val="0"/>
        <w:spacing w:line="480" w:lineRule="exact"/>
        <w:rPr>
          <w:rFonts w:hint="eastAsia" w:ascii="宋体" w:hAnsi="宋体" w:eastAsia="宋体" w:cs="宋体"/>
          <w:b/>
          <w:szCs w:val="21"/>
        </w:rPr>
      </w:pPr>
      <w:r>
        <w:rPr>
          <w:rFonts w:hint="eastAsia" w:ascii="宋体" w:hAnsi="宋体" w:eastAsia="宋体" w:cs="宋体"/>
          <w:b/>
          <w:szCs w:val="21"/>
        </w:rPr>
        <w:t>合同签订时间：      年    月    日</w:t>
      </w:r>
    </w:p>
    <w:p w14:paraId="022AB8F0">
      <w:pPr>
        <w:snapToGrid w:val="0"/>
        <w:spacing w:line="480" w:lineRule="exact"/>
        <w:rPr>
          <w:rFonts w:hint="eastAsia" w:ascii="宋体" w:hAnsi="宋体" w:eastAsia="宋体" w:cs="宋体"/>
          <w:b/>
          <w:szCs w:val="21"/>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6FEA0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3C058882">
            <w:pPr>
              <w:rPr>
                <w:rFonts w:hint="eastAsia" w:ascii="宋体" w:hAnsi="宋体" w:eastAsia="宋体" w:cs="宋体"/>
                <w:b/>
                <w:szCs w:val="21"/>
              </w:rPr>
            </w:pPr>
            <w:r>
              <w:rPr>
                <w:rFonts w:hint="eastAsia" w:ascii="宋体" w:hAnsi="宋体" w:eastAsia="宋体" w:cs="宋体"/>
                <w:b/>
                <w:szCs w:val="21"/>
              </w:rPr>
              <w:t>甲  方（盖章）：西安建筑科技大学</w:t>
            </w:r>
          </w:p>
        </w:tc>
        <w:tc>
          <w:tcPr>
            <w:tcW w:w="4503" w:type="dxa"/>
            <w:vAlign w:val="center"/>
          </w:tcPr>
          <w:p w14:paraId="3B52BB58">
            <w:pPr>
              <w:rPr>
                <w:rFonts w:hint="eastAsia" w:ascii="宋体" w:hAnsi="宋体" w:eastAsia="宋体" w:cs="宋体"/>
                <w:szCs w:val="21"/>
              </w:rPr>
            </w:pPr>
            <w:r>
              <w:rPr>
                <w:rFonts w:hint="eastAsia" w:ascii="宋体" w:hAnsi="宋体" w:eastAsia="宋体" w:cs="宋体"/>
                <w:b/>
                <w:szCs w:val="21"/>
              </w:rPr>
              <w:t>乙  方（盖章）：</w:t>
            </w:r>
          </w:p>
        </w:tc>
      </w:tr>
      <w:tr w14:paraId="77A635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7F2E8108">
            <w:pPr>
              <w:rPr>
                <w:rFonts w:hint="eastAsia" w:ascii="宋体" w:hAnsi="宋体" w:eastAsia="宋体" w:cs="宋体"/>
                <w:szCs w:val="21"/>
              </w:rPr>
            </w:pPr>
            <w:r>
              <w:rPr>
                <w:rFonts w:hint="eastAsia" w:ascii="宋体" w:hAnsi="宋体" w:eastAsia="宋体" w:cs="宋体"/>
                <w:b/>
                <w:szCs w:val="21"/>
              </w:rPr>
              <w:t>地  址：西安市雁塔路13号</w:t>
            </w:r>
          </w:p>
        </w:tc>
        <w:tc>
          <w:tcPr>
            <w:tcW w:w="4503" w:type="dxa"/>
            <w:vAlign w:val="center"/>
          </w:tcPr>
          <w:p w14:paraId="3618FCC7">
            <w:pPr>
              <w:rPr>
                <w:rFonts w:hint="eastAsia" w:ascii="宋体" w:hAnsi="宋体" w:eastAsia="宋体" w:cs="宋体"/>
                <w:szCs w:val="21"/>
              </w:rPr>
            </w:pPr>
            <w:r>
              <w:rPr>
                <w:rFonts w:hint="eastAsia" w:ascii="宋体" w:hAnsi="宋体" w:eastAsia="宋体" w:cs="宋体"/>
                <w:b/>
                <w:szCs w:val="21"/>
              </w:rPr>
              <w:t>地  址：</w:t>
            </w:r>
          </w:p>
        </w:tc>
      </w:tr>
      <w:tr w14:paraId="66F8F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3E5706F0">
            <w:pPr>
              <w:rPr>
                <w:rFonts w:hint="eastAsia" w:ascii="宋体" w:hAnsi="宋体" w:eastAsia="宋体" w:cs="宋体"/>
                <w:szCs w:val="21"/>
              </w:rPr>
            </w:pPr>
            <w:r>
              <w:rPr>
                <w:rFonts w:hint="eastAsia" w:ascii="宋体" w:hAnsi="宋体" w:eastAsia="宋体" w:cs="宋体"/>
                <w:b/>
                <w:szCs w:val="21"/>
              </w:rPr>
              <w:t>法定代表人（签字）：</w:t>
            </w:r>
          </w:p>
        </w:tc>
        <w:tc>
          <w:tcPr>
            <w:tcW w:w="4503" w:type="dxa"/>
            <w:vAlign w:val="center"/>
          </w:tcPr>
          <w:p w14:paraId="2BB201BA">
            <w:pPr>
              <w:rPr>
                <w:rFonts w:hint="eastAsia" w:ascii="宋体" w:hAnsi="宋体" w:eastAsia="宋体" w:cs="宋体"/>
                <w:szCs w:val="21"/>
              </w:rPr>
            </w:pPr>
            <w:r>
              <w:rPr>
                <w:rFonts w:hint="eastAsia" w:ascii="宋体" w:hAnsi="宋体" w:eastAsia="宋体" w:cs="宋体"/>
                <w:b/>
                <w:szCs w:val="21"/>
              </w:rPr>
              <w:t>法定代表人（签字）：</w:t>
            </w:r>
          </w:p>
        </w:tc>
      </w:tr>
      <w:tr w14:paraId="653F9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78FDD86E">
            <w:pPr>
              <w:rPr>
                <w:rFonts w:hint="eastAsia" w:ascii="宋体" w:hAnsi="宋体" w:eastAsia="宋体" w:cs="宋体"/>
                <w:szCs w:val="21"/>
              </w:rPr>
            </w:pPr>
            <w:r>
              <w:rPr>
                <w:rFonts w:hint="eastAsia" w:ascii="宋体" w:hAnsi="宋体" w:eastAsia="宋体" w:cs="宋体"/>
                <w:b/>
                <w:szCs w:val="21"/>
              </w:rPr>
              <w:t>委托代理人（签字）：</w:t>
            </w:r>
          </w:p>
        </w:tc>
        <w:tc>
          <w:tcPr>
            <w:tcW w:w="4503" w:type="dxa"/>
            <w:vAlign w:val="center"/>
          </w:tcPr>
          <w:p w14:paraId="3D64F609">
            <w:pPr>
              <w:rPr>
                <w:rFonts w:hint="eastAsia" w:ascii="宋体" w:hAnsi="宋体" w:eastAsia="宋体" w:cs="宋体"/>
                <w:szCs w:val="21"/>
              </w:rPr>
            </w:pPr>
            <w:r>
              <w:rPr>
                <w:rFonts w:hint="eastAsia" w:ascii="宋体" w:hAnsi="宋体" w:eastAsia="宋体" w:cs="宋体"/>
                <w:b/>
                <w:szCs w:val="21"/>
              </w:rPr>
              <w:t>委托代理人（签字）：</w:t>
            </w:r>
          </w:p>
        </w:tc>
      </w:tr>
      <w:tr w14:paraId="0DF19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54919B1E">
            <w:pPr>
              <w:rPr>
                <w:rFonts w:hint="eastAsia" w:ascii="宋体" w:hAnsi="宋体" w:eastAsia="宋体" w:cs="宋体"/>
                <w:szCs w:val="21"/>
              </w:rPr>
            </w:pPr>
            <w:r>
              <w:rPr>
                <w:rFonts w:hint="eastAsia" w:ascii="宋体" w:hAnsi="宋体" w:eastAsia="宋体" w:cs="宋体"/>
                <w:b/>
                <w:szCs w:val="21"/>
              </w:rPr>
              <w:t>开户名：西安建筑科技大学</w:t>
            </w:r>
          </w:p>
        </w:tc>
        <w:tc>
          <w:tcPr>
            <w:tcW w:w="4503" w:type="dxa"/>
            <w:vAlign w:val="center"/>
          </w:tcPr>
          <w:p w14:paraId="70F8A57D">
            <w:pPr>
              <w:rPr>
                <w:rFonts w:hint="eastAsia" w:ascii="宋体" w:hAnsi="宋体" w:eastAsia="宋体" w:cs="宋体"/>
                <w:szCs w:val="21"/>
              </w:rPr>
            </w:pPr>
            <w:r>
              <w:rPr>
                <w:rFonts w:hint="eastAsia" w:ascii="宋体" w:hAnsi="宋体" w:eastAsia="宋体" w:cs="宋体"/>
                <w:b/>
                <w:szCs w:val="21"/>
              </w:rPr>
              <w:t>开户名：</w:t>
            </w:r>
          </w:p>
        </w:tc>
      </w:tr>
      <w:tr w14:paraId="12383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07A9608D">
            <w:pPr>
              <w:rPr>
                <w:rFonts w:hint="eastAsia" w:ascii="宋体" w:hAnsi="宋体" w:eastAsia="宋体" w:cs="宋体"/>
                <w:b/>
                <w:szCs w:val="21"/>
              </w:rPr>
            </w:pPr>
            <w:r>
              <w:rPr>
                <w:rFonts w:hint="eastAsia" w:ascii="宋体" w:hAnsi="宋体" w:eastAsia="宋体" w:cs="宋体"/>
                <w:b/>
                <w:szCs w:val="21"/>
              </w:rPr>
              <w:t>开户行：工行雁塔路支行</w:t>
            </w:r>
          </w:p>
          <w:p w14:paraId="07E9C436">
            <w:pPr>
              <w:rPr>
                <w:rFonts w:hint="eastAsia" w:ascii="宋体" w:hAnsi="宋体" w:eastAsia="宋体" w:cs="宋体"/>
                <w:szCs w:val="21"/>
              </w:rPr>
            </w:pPr>
            <w:r>
              <w:rPr>
                <w:rFonts w:hint="eastAsia" w:ascii="宋体" w:hAnsi="宋体" w:eastAsia="宋体" w:cs="宋体"/>
                <w:b/>
                <w:szCs w:val="21"/>
              </w:rPr>
              <w:t>税  号: 1261000043523106XB</w:t>
            </w:r>
          </w:p>
        </w:tc>
        <w:tc>
          <w:tcPr>
            <w:tcW w:w="4503" w:type="dxa"/>
            <w:vAlign w:val="center"/>
          </w:tcPr>
          <w:p w14:paraId="2E190DEE">
            <w:pPr>
              <w:rPr>
                <w:rFonts w:hint="eastAsia" w:ascii="宋体" w:hAnsi="宋体" w:eastAsia="宋体" w:cs="宋体"/>
                <w:szCs w:val="21"/>
              </w:rPr>
            </w:pPr>
            <w:r>
              <w:rPr>
                <w:rFonts w:hint="eastAsia" w:ascii="宋体" w:hAnsi="宋体" w:eastAsia="宋体" w:cs="宋体"/>
                <w:b/>
                <w:szCs w:val="21"/>
              </w:rPr>
              <w:t>开户行：</w:t>
            </w:r>
          </w:p>
        </w:tc>
      </w:tr>
      <w:tr w14:paraId="20C5C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11277512">
            <w:pPr>
              <w:rPr>
                <w:rFonts w:hint="eastAsia" w:ascii="宋体" w:hAnsi="宋体" w:eastAsia="宋体" w:cs="宋体"/>
                <w:szCs w:val="21"/>
              </w:rPr>
            </w:pPr>
            <w:r>
              <w:rPr>
                <w:rFonts w:hint="eastAsia" w:ascii="宋体" w:hAnsi="宋体" w:eastAsia="宋体" w:cs="宋体"/>
                <w:b/>
                <w:szCs w:val="21"/>
              </w:rPr>
              <w:t>帐  号：3700023009026400639</w:t>
            </w:r>
          </w:p>
        </w:tc>
        <w:tc>
          <w:tcPr>
            <w:tcW w:w="4503" w:type="dxa"/>
            <w:vAlign w:val="center"/>
          </w:tcPr>
          <w:p w14:paraId="31C2FF38">
            <w:pPr>
              <w:rPr>
                <w:rFonts w:hint="eastAsia" w:ascii="宋体" w:hAnsi="宋体" w:eastAsia="宋体" w:cs="宋体"/>
                <w:szCs w:val="21"/>
              </w:rPr>
            </w:pPr>
            <w:r>
              <w:rPr>
                <w:rFonts w:hint="eastAsia" w:ascii="宋体" w:hAnsi="宋体" w:eastAsia="宋体" w:cs="宋体"/>
                <w:b/>
                <w:szCs w:val="21"/>
              </w:rPr>
              <w:t>帐  号：</w:t>
            </w:r>
          </w:p>
        </w:tc>
      </w:tr>
      <w:tr w14:paraId="4AD54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5F3D7DB2">
            <w:pPr>
              <w:rPr>
                <w:rFonts w:hint="eastAsia" w:ascii="宋体" w:hAnsi="宋体" w:eastAsia="宋体" w:cs="宋体"/>
                <w:szCs w:val="21"/>
              </w:rPr>
            </w:pPr>
            <w:r>
              <w:rPr>
                <w:rFonts w:hint="eastAsia" w:ascii="宋体" w:hAnsi="宋体" w:eastAsia="宋体" w:cs="宋体"/>
                <w:b/>
                <w:szCs w:val="21"/>
              </w:rPr>
              <w:t>联系人：</w:t>
            </w:r>
            <w:r>
              <w:rPr>
                <w:rFonts w:hint="eastAsia" w:ascii="宋体" w:hAnsi="宋体" w:eastAsia="宋体" w:cs="宋体"/>
                <w:szCs w:val="21"/>
              </w:rPr>
              <w:t xml:space="preserve"> 刘世泽</w:t>
            </w:r>
          </w:p>
        </w:tc>
        <w:tc>
          <w:tcPr>
            <w:tcW w:w="4503" w:type="dxa"/>
            <w:vAlign w:val="center"/>
          </w:tcPr>
          <w:p w14:paraId="550C102C">
            <w:pPr>
              <w:rPr>
                <w:rFonts w:hint="eastAsia" w:ascii="宋体" w:hAnsi="宋体" w:eastAsia="宋体" w:cs="宋体"/>
                <w:szCs w:val="21"/>
              </w:rPr>
            </w:pPr>
            <w:r>
              <w:rPr>
                <w:rFonts w:hint="eastAsia" w:ascii="宋体" w:hAnsi="宋体" w:eastAsia="宋体" w:cs="宋体"/>
                <w:b/>
                <w:szCs w:val="21"/>
              </w:rPr>
              <w:t>联系人：</w:t>
            </w:r>
          </w:p>
        </w:tc>
      </w:tr>
      <w:tr w14:paraId="6EFE8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72312E7C">
            <w:pPr>
              <w:rPr>
                <w:rFonts w:hint="eastAsia" w:ascii="宋体" w:hAnsi="宋体" w:eastAsia="宋体" w:cs="宋体"/>
                <w:szCs w:val="21"/>
              </w:rPr>
            </w:pPr>
            <w:r>
              <w:rPr>
                <w:rFonts w:hint="eastAsia" w:ascii="宋体" w:hAnsi="宋体" w:eastAsia="宋体" w:cs="宋体"/>
                <w:b/>
                <w:szCs w:val="21"/>
              </w:rPr>
              <w:t>联系电话：029-82202312</w:t>
            </w:r>
          </w:p>
        </w:tc>
        <w:tc>
          <w:tcPr>
            <w:tcW w:w="4503" w:type="dxa"/>
            <w:vAlign w:val="center"/>
          </w:tcPr>
          <w:p w14:paraId="63D14986">
            <w:pPr>
              <w:rPr>
                <w:rFonts w:hint="eastAsia" w:ascii="宋体" w:hAnsi="宋体" w:eastAsia="宋体" w:cs="宋体"/>
                <w:szCs w:val="21"/>
              </w:rPr>
            </w:pPr>
            <w:r>
              <w:rPr>
                <w:rFonts w:hint="eastAsia" w:ascii="宋体" w:hAnsi="宋体" w:eastAsia="宋体" w:cs="宋体"/>
                <w:b/>
                <w:szCs w:val="21"/>
              </w:rPr>
              <w:t>联系电话：</w:t>
            </w:r>
          </w:p>
        </w:tc>
      </w:tr>
    </w:tbl>
    <w:p w14:paraId="36235EA4">
      <w:pPr>
        <w:rPr>
          <w:b/>
          <w:sz w:val="32"/>
          <w:szCs w:val="32"/>
        </w:rPr>
      </w:pPr>
    </w:p>
    <w:p w14:paraId="05F27F57">
      <w:pPr>
        <w:ind w:firstLine="315" w:firstLineChars="98"/>
        <w:rPr>
          <w:rFonts w:hint="eastAsia" w:ascii="宋体" w:hAnsi="宋体" w:eastAsia="宋体" w:cs="宋体"/>
          <w:b/>
          <w:szCs w:val="21"/>
        </w:rPr>
      </w:pPr>
      <w:r>
        <w:rPr>
          <w:b/>
          <w:sz w:val="32"/>
          <w:szCs w:val="32"/>
        </w:rPr>
        <w:br w:type="page"/>
      </w:r>
      <w:r>
        <w:rPr>
          <w:rFonts w:hint="eastAsia" w:ascii="宋体" w:hAnsi="宋体" w:eastAsia="宋体" w:cs="宋体"/>
          <w:b/>
          <w:szCs w:val="21"/>
        </w:rPr>
        <w:t>附件：技术协议</w:t>
      </w:r>
      <w:bookmarkStart w:id="16" w:name="_GoBack"/>
      <w:bookmarkEnd w:id="16"/>
    </w:p>
    <w:p w14:paraId="430BE434">
      <w:pPr>
        <w:spacing w:line="360" w:lineRule="auto"/>
        <w:ind w:firstLine="482" w:firstLineChars="200"/>
        <w:rPr>
          <w:rFonts w:hint="eastAsia" w:ascii="宋体" w:hAnsi="宋体" w:eastAsia="宋体" w:cs="宋体"/>
          <w:b/>
          <w:szCs w:val="21"/>
        </w:rPr>
      </w:pPr>
      <w:bookmarkStart w:id="2" w:name="_Toc390360542"/>
      <w:bookmarkStart w:id="3" w:name="_Toc390373038"/>
      <w:r>
        <w:rPr>
          <w:rFonts w:hint="eastAsia" w:ascii="宋体" w:hAnsi="宋体" w:eastAsia="宋体" w:cs="宋体"/>
          <w:b/>
          <w:szCs w:val="21"/>
        </w:rPr>
        <w:t>1.中标产品技术参数明细</w:t>
      </w:r>
    </w:p>
    <w:p w14:paraId="3A3E7030">
      <w:pPr>
        <w:spacing w:line="360" w:lineRule="auto"/>
        <w:ind w:firstLine="480" w:firstLineChars="200"/>
        <w:rPr>
          <w:rFonts w:hint="eastAsia" w:ascii="宋体" w:hAnsi="宋体" w:eastAsia="宋体" w:cs="宋体"/>
          <w:b/>
          <w:szCs w:val="21"/>
        </w:rPr>
      </w:pPr>
      <w:r>
        <w:rPr>
          <w:rFonts w:hint="eastAsia" w:ascii="宋体" w:hAnsi="宋体" w:eastAsia="宋体" w:cs="宋体"/>
          <w:kern w:val="0"/>
          <w:szCs w:val="21"/>
        </w:rPr>
        <w:t>我公司承诺：合同中数列产品均满足标书及使用要求，无任何负偏离。并与所供产品完全一致。</w:t>
      </w:r>
    </w:p>
    <w:bookmarkEnd w:id="2"/>
    <w:bookmarkEnd w:id="3"/>
    <w:p w14:paraId="0862BE5A">
      <w:pPr>
        <w:spacing w:line="360" w:lineRule="auto"/>
        <w:ind w:firstLine="482" w:firstLineChars="200"/>
        <w:rPr>
          <w:rStyle w:val="10"/>
          <w:rFonts w:hint="eastAsia" w:ascii="宋体" w:hAnsi="宋体" w:eastAsia="宋体" w:cs="宋体"/>
          <w:szCs w:val="21"/>
        </w:rPr>
      </w:pPr>
      <w:r>
        <w:rPr>
          <w:rStyle w:val="10"/>
          <w:rFonts w:hint="eastAsia" w:ascii="宋体" w:hAnsi="宋体" w:eastAsia="宋体" w:cs="宋体"/>
          <w:szCs w:val="21"/>
        </w:rPr>
        <w:t>1.1设备特性</w:t>
      </w:r>
    </w:p>
    <w:p w14:paraId="4F2D3F29">
      <w:pPr>
        <w:spacing w:line="360" w:lineRule="auto"/>
        <w:ind w:firstLine="482" w:firstLineChars="200"/>
        <w:rPr>
          <w:rStyle w:val="10"/>
          <w:rFonts w:hint="eastAsia" w:ascii="宋体" w:hAnsi="宋体" w:eastAsia="宋体" w:cs="宋体"/>
          <w:szCs w:val="21"/>
        </w:rPr>
      </w:pPr>
      <w:r>
        <w:rPr>
          <w:rStyle w:val="10"/>
          <w:rFonts w:hint="eastAsia" w:ascii="宋体" w:hAnsi="宋体" w:eastAsia="宋体" w:cs="宋体"/>
          <w:szCs w:val="21"/>
        </w:rPr>
        <w:t>1.2</w:t>
      </w:r>
      <w:r>
        <w:rPr>
          <w:rFonts w:hint="eastAsia" w:ascii="宋体" w:hAnsi="宋体" w:eastAsia="宋体" w:cs="宋体"/>
          <w:b/>
          <w:szCs w:val="21"/>
        </w:rPr>
        <w:t>设备用途</w:t>
      </w:r>
    </w:p>
    <w:p w14:paraId="15DCF824">
      <w:pPr>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1.3设备主要参数指标</w:t>
      </w:r>
    </w:p>
    <w:p w14:paraId="5928344D">
      <w:pPr>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1.4质量要求与安全要求</w:t>
      </w:r>
    </w:p>
    <w:p w14:paraId="766B42CA">
      <w:pPr>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1.5设备运行一般流程图</w:t>
      </w:r>
    </w:p>
    <w:p w14:paraId="0BEE30E7">
      <w:pPr>
        <w:spacing w:line="360" w:lineRule="auto"/>
        <w:ind w:firstLine="482" w:firstLineChars="200"/>
        <w:rPr>
          <w:rStyle w:val="10"/>
          <w:rFonts w:hint="eastAsia" w:ascii="宋体" w:hAnsi="宋体" w:eastAsia="宋体" w:cs="宋体"/>
          <w:szCs w:val="21"/>
        </w:rPr>
      </w:pPr>
    </w:p>
    <w:p w14:paraId="4BD6C896">
      <w:pPr>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2.售后服务内容</w:t>
      </w:r>
      <w:bookmarkStart w:id="4" w:name="_Toc390360557"/>
      <w:bookmarkStart w:id="5" w:name="_Toc373263358"/>
      <w:bookmarkStart w:id="6" w:name="_Toc390373053"/>
    </w:p>
    <w:bookmarkEnd w:id="4"/>
    <w:bookmarkEnd w:id="5"/>
    <w:bookmarkEnd w:id="6"/>
    <w:p w14:paraId="09DA04F4">
      <w:pPr>
        <w:spacing w:line="360" w:lineRule="auto"/>
        <w:ind w:firstLine="482" w:firstLineChars="200"/>
        <w:rPr>
          <w:rFonts w:hint="eastAsia" w:ascii="宋体" w:hAnsi="宋体" w:eastAsia="宋体" w:cs="宋体"/>
          <w:b/>
          <w:szCs w:val="21"/>
        </w:rPr>
      </w:pPr>
      <w:bookmarkStart w:id="7" w:name="_Toc373263359"/>
      <w:bookmarkStart w:id="8" w:name="_Toc390360558"/>
      <w:bookmarkStart w:id="9" w:name="_Toc390373054"/>
      <w:r>
        <w:rPr>
          <w:rFonts w:hint="eastAsia" w:ascii="宋体" w:hAnsi="宋体" w:eastAsia="宋体" w:cs="宋体"/>
          <w:b/>
          <w:szCs w:val="21"/>
        </w:rPr>
        <w:t>2.1技术服务、售后服务体系、故障响应时间、应急维修措施</w:t>
      </w:r>
      <w:bookmarkEnd w:id="7"/>
      <w:bookmarkEnd w:id="8"/>
      <w:bookmarkEnd w:id="9"/>
    </w:p>
    <w:p w14:paraId="0BFCABAF">
      <w:pPr>
        <w:spacing w:line="360" w:lineRule="auto"/>
        <w:ind w:right="240" w:rightChars="100" w:firstLine="480" w:firstLineChars="200"/>
        <w:outlineLvl w:val="3"/>
        <w:rPr>
          <w:rFonts w:hint="eastAsia" w:ascii="宋体" w:hAnsi="宋体" w:eastAsia="宋体" w:cs="宋体"/>
          <w:szCs w:val="21"/>
        </w:rPr>
      </w:pPr>
      <w:r>
        <w:rPr>
          <w:rFonts w:hint="eastAsia" w:ascii="宋体" w:hAnsi="宋体" w:eastAsia="宋体" w:cs="宋体"/>
          <w:szCs w:val="21"/>
        </w:rPr>
        <w:t>2.1.1技术服务措施</w:t>
      </w:r>
    </w:p>
    <w:p w14:paraId="7752FE09">
      <w:pPr>
        <w:spacing w:line="360" w:lineRule="auto"/>
        <w:ind w:right="240" w:rightChars="100" w:firstLine="480" w:firstLineChars="200"/>
        <w:outlineLvl w:val="3"/>
        <w:rPr>
          <w:rFonts w:hint="eastAsia" w:ascii="宋体" w:hAnsi="宋体" w:eastAsia="宋体" w:cs="宋体"/>
          <w:szCs w:val="21"/>
        </w:rPr>
      </w:pPr>
      <w:r>
        <w:rPr>
          <w:rFonts w:hint="eastAsia" w:ascii="宋体" w:hAnsi="宋体" w:eastAsia="宋体" w:cs="宋体"/>
          <w:szCs w:val="21"/>
        </w:rPr>
        <w:t>2.1.2售后服务体系</w:t>
      </w:r>
    </w:p>
    <w:p w14:paraId="45E89894">
      <w:pPr>
        <w:spacing w:line="360" w:lineRule="auto"/>
        <w:ind w:firstLine="480" w:firstLineChars="200"/>
        <w:jc w:val="left"/>
        <w:outlineLvl w:val="0"/>
        <w:rPr>
          <w:rFonts w:hint="eastAsia" w:ascii="宋体" w:hAnsi="宋体" w:eastAsia="宋体" w:cs="宋体"/>
          <w:szCs w:val="21"/>
        </w:rPr>
      </w:pPr>
      <w:r>
        <w:rPr>
          <w:rFonts w:hint="eastAsia" w:ascii="宋体" w:hAnsi="宋体" w:eastAsia="宋体" w:cs="宋体"/>
          <w:szCs w:val="21"/>
        </w:rPr>
        <w:t>质保期内服务</w:t>
      </w:r>
    </w:p>
    <w:p w14:paraId="0732429B">
      <w:pPr>
        <w:spacing w:line="360" w:lineRule="auto"/>
        <w:ind w:firstLine="480" w:firstLineChars="200"/>
        <w:jc w:val="left"/>
        <w:outlineLvl w:val="0"/>
        <w:rPr>
          <w:rFonts w:hint="eastAsia" w:ascii="宋体" w:hAnsi="宋体" w:eastAsia="宋体" w:cs="宋体"/>
          <w:szCs w:val="21"/>
        </w:rPr>
      </w:pPr>
      <w:r>
        <w:rPr>
          <w:rFonts w:hint="eastAsia" w:ascii="宋体" w:hAnsi="宋体" w:eastAsia="宋体" w:cs="宋体"/>
          <w:szCs w:val="21"/>
        </w:rPr>
        <w:t>质保期外服务</w:t>
      </w:r>
    </w:p>
    <w:p w14:paraId="2E31E9CF">
      <w:pPr>
        <w:spacing w:line="360" w:lineRule="auto"/>
        <w:ind w:right="240" w:rightChars="100" w:firstLine="480" w:firstLineChars="200"/>
        <w:outlineLvl w:val="3"/>
        <w:rPr>
          <w:rFonts w:hint="eastAsia" w:ascii="宋体" w:hAnsi="宋体" w:eastAsia="宋体" w:cs="宋体"/>
          <w:szCs w:val="21"/>
        </w:rPr>
      </w:pPr>
      <w:r>
        <w:rPr>
          <w:rFonts w:hint="eastAsia" w:ascii="宋体" w:hAnsi="宋体" w:eastAsia="宋体" w:cs="宋体"/>
          <w:szCs w:val="21"/>
        </w:rPr>
        <w:t>2.1.3故障响应时间</w:t>
      </w:r>
    </w:p>
    <w:p w14:paraId="4BE37833">
      <w:pPr>
        <w:spacing w:line="360" w:lineRule="auto"/>
        <w:ind w:right="240" w:rightChars="100" w:firstLine="480" w:firstLineChars="200"/>
        <w:outlineLvl w:val="3"/>
        <w:rPr>
          <w:rFonts w:hint="eastAsia" w:ascii="宋体" w:hAnsi="宋体" w:eastAsia="宋体" w:cs="宋体"/>
          <w:szCs w:val="21"/>
        </w:rPr>
      </w:pPr>
      <w:r>
        <w:rPr>
          <w:rFonts w:hint="eastAsia" w:ascii="宋体" w:hAnsi="宋体" w:eastAsia="宋体" w:cs="宋体"/>
          <w:szCs w:val="21"/>
        </w:rPr>
        <w:t>2.1.4应急维修措施</w:t>
      </w:r>
      <w:bookmarkStart w:id="10" w:name="_Toc390373055"/>
      <w:bookmarkStart w:id="11" w:name="_Toc390360559"/>
      <w:bookmarkStart w:id="12" w:name="_Toc373263360"/>
    </w:p>
    <w:p w14:paraId="708719BC">
      <w:pPr>
        <w:spacing w:line="360" w:lineRule="auto"/>
        <w:ind w:right="240" w:rightChars="100" w:firstLine="480" w:firstLineChars="200"/>
        <w:outlineLvl w:val="3"/>
        <w:rPr>
          <w:rFonts w:hint="eastAsia" w:ascii="宋体" w:hAnsi="宋体" w:eastAsia="宋体" w:cs="宋体"/>
          <w:szCs w:val="21"/>
        </w:rPr>
      </w:pPr>
      <w:r>
        <w:rPr>
          <w:rFonts w:hint="eastAsia" w:ascii="宋体" w:hAnsi="宋体" w:eastAsia="宋体" w:cs="宋体"/>
          <w:szCs w:val="21"/>
        </w:rPr>
        <w:t>2.1.5易损件、备件的供应</w:t>
      </w:r>
    </w:p>
    <w:p w14:paraId="09F34001">
      <w:pPr>
        <w:spacing w:line="360" w:lineRule="auto"/>
        <w:ind w:right="240" w:rightChars="100" w:firstLine="480" w:firstLineChars="200"/>
        <w:outlineLvl w:val="3"/>
        <w:rPr>
          <w:rFonts w:hint="eastAsia" w:ascii="宋体" w:hAnsi="宋体" w:eastAsia="宋体" w:cs="宋体"/>
          <w:szCs w:val="21"/>
        </w:rPr>
      </w:pPr>
      <w:r>
        <w:rPr>
          <w:rFonts w:hint="eastAsia" w:ascii="宋体" w:hAnsi="宋体" w:eastAsia="宋体" w:cs="宋体"/>
          <w:szCs w:val="21"/>
        </w:rPr>
        <w:t>2.1.6质保期以外技术支持或技术服务</w:t>
      </w:r>
    </w:p>
    <w:p w14:paraId="53EB1FD5">
      <w:pPr>
        <w:spacing w:line="360" w:lineRule="auto"/>
        <w:ind w:right="240" w:rightChars="100" w:firstLine="480" w:firstLineChars="200"/>
        <w:outlineLvl w:val="3"/>
        <w:rPr>
          <w:rFonts w:hint="eastAsia" w:ascii="宋体" w:hAnsi="宋体" w:eastAsia="宋体" w:cs="宋体"/>
          <w:szCs w:val="21"/>
        </w:rPr>
      </w:pPr>
      <w:r>
        <w:rPr>
          <w:rFonts w:hint="eastAsia" w:ascii="宋体" w:hAnsi="宋体" w:eastAsia="宋体" w:cs="宋体"/>
          <w:szCs w:val="21"/>
        </w:rPr>
        <w:t>2.1.7制定切实可行的操作规程和使用指南</w:t>
      </w:r>
    </w:p>
    <w:p w14:paraId="7E31146E">
      <w:pPr>
        <w:spacing w:line="360" w:lineRule="auto"/>
        <w:ind w:right="240" w:rightChars="100" w:firstLine="480" w:firstLineChars="200"/>
        <w:outlineLvl w:val="3"/>
        <w:rPr>
          <w:rFonts w:hint="eastAsia" w:ascii="宋体" w:hAnsi="宋体" w:eastAsia="宋体" w:cs="宋体"/>
          <w:szCs w:val="21"/>
        </w:rPr>
      </w:pPr>
    </w:p>
    <w:p w14:paraId="3BE9A8F0">
      <w:pPr>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3.培训服务内容</w:t>
      </w:r>
    </w:p>
    <w:p w14:paraId="0E02C519">
      <w:pPr>
        <w:spacing w:line="360" w:lineRule="auto"/>
        <w:ind w:right="240" w:rightChars="100" w:firstLine="482" w:firstLineChars="200"/>
        <w:outlineLvl w:val="3"/>
        <w:rPr>
          <w:rFonts w:hint="eastAsia" w:ascii="宋体" w:hAnsi="宋体" w:eastAsia="宋体" w:cs="宋体"/>
          <w:b/>
          <w:szCs w:val="21"/>
        </w:rPr>
      </w:pPr>
      <w:r>
        <w:rPr>
          <w:rFonts w:hint="eastAsia" w:ascii="宋体" w:hAnsi="宋体" w:eastAsia="宋体" w:cs="宋体"/>
          <w:b/>
          <w:szCs w:val="21"/>
        </w:rPr>
        <w:t>3.1培训方案</w:t>
      </w:r>
    </w:p>
    <w:p w14:paraId="1B50159E">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培训目标和要求</w:t>
      </w:r>
    </w:p>
    <w:p w14:paraId="6A5A1774">
      <w:pPr>
        <w:spacing w:line="360" w:lineRule="auto"/>
        <w:ind w:firstLine="482" w:firstLineChars="200"/>
        <w:jc w:val="left"/>
        <w:rPr>
          <w:rFonts w:hint="eastAsia" w:ascii="宋体" w:hAnsi="宋体" w:eastAsia="宋体" w:cs="宋体"/>
          <w:b/>
          <w:szCs w:val="21"/>
        </w:rPr>
      </w:pPr>
      <w:r>
        <w:rPr>
          <w:rFonts w:hint="eastAsia" w:ascii="宋体" w:hAnsi="宋体" w:eastAsia="宋体" w:cs="宋体"/>
          <w:b/>
          <w:szCs w:val="21"/>
        </w:rPr>
        <w:t>3.2培训对象</w:t>
      </w:r>
    </w:p>
    <w:p w14:paraId="1D429ACE">
      <w:pPr>
        <w:spacing w:line="360" w:lineRule="auto"/>
        <w:ind w:firstLine="482" w:firstLineChars="200"/>
        <w:rPr>
          <w:rFonts w:hint="eastAsia" w:ascii="宋体" w:hAnsi="宋体" w:eastAsia="宋体" w:cs="宋体"/>
          <w:b/>
          <w:szCs w:val="21"/>
        </w:rPr>
      </w:pPr>
      <w:r>
        <w:rPr>
          <w:rFonts w:hint="eastAsia" w:ascii="宋体" w:hAnsi="宋体" w:eastAsia="宋体" w:cs="宋体"/>
          <w:b/>
          <w:szCs w:val="21"/>
        </w:rPr>
        <w:t>3.3培训方式</w:t>
      </w:r>
    </w:p>
    <w:p w14:paraId="1F398643">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3.3.1系统使用培训：</w:t>
      </w:r>
    </w:p>
    <w:p w14:paraId="7CE07F5E">
      <w:pPr>
        <w:spacing w:line="360" w:lineRule="auto"/>
        <w:ind w:firstLine="480" w:firstLineChars="200"/>
        <w:rPr>
          <w:rFonts w:hint="eastAsia" w:ascii="宋体" w:hAnsi="宋体" w:eastAsia="宋体" w:cs="宋体"/>
          <w:bCs/>
          <w:szCs w:val="21"/>
        </w:rPr>
      </w:pPr>
      <w:r>
        <w:rPr>
          <w:rFonts w:hint="eastAsia" w:ascii="宋体" w:hAnsi="宋体" w:eastAsia="宋体" w:cs="宋体"/>
          <w:bCs/>
          <w:szCs w:val="21"/>
        </w:rPr>
        <w:t>3.3.2培训课程及培训人数：</w:t>
      </w:r>
    </w:p>
    <w:p w14:paraId="4B8340D8">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3.3.3培训教师安排</w:t>
      </w:r>
    </w:p>
    <w:p w14:paraId="055B7683">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3.3.4培训时间安排</w:t>
      </w:r>
    </w:p>
    <w:p w14:paraId="20DE437A">
      <w:pPr>
        <w:spacing w:line="360" w:lineRule="auto"/>
        <w:ind w:firstLine="480" w:firstLineChars="200"/>
        <w:outlineLvl w:val="1"/>
        <w:rPr>
          <w:rFonts w:hint="eastAsia" w:ascii="宋体" w:hAnsi="宋体" w:eastAsia="宋体" w:cs="宋体"/>
          <w:szCs w:val="21"/>
        </w:rPr>
      </w:pPr>
      <w:r>
        <w:rPr>
          <w:rFonts w:hint="eastAsia" w:ascii="宋体" w:hAnsi="宋体" w:eastAsia="宋体" w:cs="宋体"/>
          <w:szCs w:val="21"/>
        </w:rPr>
        <w:t>3.3.5培训及安全保证</w:t>
      </w:r>
    </w:p>
    <w:p w14:paraId="09CF6887">
      <w:pPr>
        <w:pStyle w:val="7"/>
        <w:spacing w:line="360" w:lineRule="auto"/>
        <w:rPr>
          <w:rFonts w:hint="eastAsia" w:ascii="宋体" w:hAnsi="宋体" w:eastAsia="宋体" w:cs="宋体"/>
          <w:snapToGrid w:val="0"/>
          <w:sz w:val="21"/>
          <w:szCs w:val="21"/>
        </w:rPr>
      </w:pPr>
      <w:r>
        <w:rPr>
          <w:rFonts w:hint="eastAsia" w:ascii="宋体" w:hAnsi="宋体" w:eastAsia="宋体" w:cs="宋体"/>
          <w:snapToGrid w:val="0"/>
          <w:sz w:val="21"/>
          <w:szCs w:val="21"/>
        </w:rPr>
        <w:t>① 为使操作人员尽快消化设备的技术特点、掌握操作方法，乙方应制订完善的培训计划，安排经验丰富技术人员，在设备安装的后期进行操作人员的培训。培训形式主要为现场培训。通过培训，使受训人员能对设备全面了解，掌握日常控制过程，有能力处理一般故障和进行日常维护，提高设备的使用质量，并消除设备因使用或操作不当而引起的故障，减少突发故障的发生，从而保证设备长期稳定的运行。</w:t>
      </w:r>
    </w:p>
    <w:p w14:paraId="74E9C846">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② 设备本体对可能造成伤害的部位均应采用防护板或防护网隔离并有醒目警示。</w:t>
      </w:r>
    </w:p>
    <w:p w14:paraId="47B51F56">
      <w:pPr>
        <w:spacing w:line="360" w:lineRule="auto"/>
        <w:ind w:firstLine="480" w:firstLineChars="200"/>
        <w:rPr>
          <w:rFonts w:hint="eastAsia" w:ascii="宋体" w:hAnsi="宋体" w:eastAsia="宋体" w:cs="宋体"/>
          <w:szCs w:val="21"/>
        </w:rPr>
      </w:pPr>
      <w:r>
        <w:rPr>
          <w:rFonts w:hint="eastAsia" w:ascii="宋体" w:hAnsi="宋体" w:eastAsia="宋体" w:cs="宋体"/>
          <w:szCs w:val="21"/>
        </w:rPr>
        <w:t>③ 所用电气元件均按照国标选配，确保稳定安全，符合三防要求。</w:t>
      </w:r>
    </w:p>
    <w:bookmarkEnd w:id="10"/>
    <w:bookmarkEnd w:id="11"/>
    <w:bookmarkEnd w:id="12"/>
    <w:p w14:paraId="0A801477">
      <w:pPr>
        <w:spacing w:line="440" w:lineRule="exact"/>
        <w:ind w:right="240" w:rightChars="100" w:firstLine="480" w:firstLineChars="200"/>
        <w:outlineLvl w:val="3"/>
        <w:rPr>
          <w:szCs w:val="21"/>
        </w:rPr>
      </w:pPr>
    </w:p>
    <w:p w14:paraId="6E9DD41F">
      <w:pPr>
        <w:spacing w:line="440" w:lineRule="exact"/>
        <w:jc w:val="left"/>
        <w:outlineLvl w:val="0"/>
        <w:rPr>
          <w:szCs w:val="21"/>
        </w:rPr>
      </w:pPr>
    </w:p>
    <w:p w14:paraId="37DFA0A0">
      <w:pPr>
        <w:spacing w:line="440" w:lineRule="exact"/>
        <w:rPr>
          <w:b/>
          <w:szCs w:val="21"/>
        </w:rPr>
      </w:pPr>
    </w:p>
    <w:p w14:paraId="1921DB3E">
      <w:pPr>
        <w:spacing w:line="440" w:lineRule="exact"/>
        <w:rPr>
          <w:b/>
          <w:szCs w:val="21"/>
        </w:rPr>
      </w:pPr>
      <w:bookmarkStart w:id="13" w:name="_Toc345966825"/>
      <w:bookmarkStart w:id="14" w:name="_Toc345966650"/>
      <w:bookmarkStart w:id="15" w:name="_Toc346025578"/>
    </w:p>
    <w:p w14:paraId="42E48714">
      <w:pPr>
        <w:pStyle w:val="14"/>
        <w:numPr>
          <w:ilvl w:val="1"/>
          <w:numId w:val="1"/>
        </w:numPr>
        <w:spacing w:line="440" w:lineRule="exact"/>
        <w:ind w:left="0" w:firstLine="0" w:firstLineChars="0"/>
        <w:rPr>
          <w:b/>
          <w:vanish/>
          <w:szCs w:val="21"/>
        </w:rPr>
      </w:pPr>
    </w:p>
    <w:p w14:paraId="541EF4E3">
      <w:pPr>
        <w:pStyle w:val="14"/>
        <w:numPr>
          <w:ilvl w:val="1"/>
          <w:numId w:val="1"/>
        </w:numPr>
        <w:spacing w:line="440" w:lineRule="exact"/>
        <w:ind w:left="0" w:firstLine="0" w:firstLineChars="0"/>
        <w:rPr>
          <w:b/>
          <w:vanish/>
          <w:szCs w:val="21"/>
        </w:rPr>
      </w:pPr>
    </w:p>
    <w:p w14:paraId="42A59483">
      <w:pPr>
        <w:pStyle w:val="14"/>
        <w:numPr>
          <w:ilvl w:val="1"/>
          <w:numId w:val="1"/>
        </w:numPr>
        <w:spacing w:line="440" w:lineRule="exact"/>
        <w:ind w:left="0" w:firstLine="0" w:firstLineChars="0"/>
        <w:rPr>
          <w:b/>
          <w:vanish/>
          <w:szCs w:val="21"/>
        </w:rPr>
      </w:pPr>
    </w:p>
    <w:p w14:paraId="653F3C94">
      <w:pPr>
        <w:pStyle w:val="14"/>
        <w:numPr>
          <w:ilvl w:val="1"/>
          <w:numId w:val="1"/>
        </w:numPr>
        <w:spacing w:line="440" w:lineRule="exact"/>
        <w:ind w:left="0" w:firstLine="0" w:firstLineChars="0"/>
        <w:rPr>
          <w:b/>
          <w:vanish/>
          <w:szCs w:val="21"/>
        </w:rPr>
      </w:pPr>
    </w:p>
    <w:bookmarkEnd w:id="13"/>
    <w:bookmarkEnd w:id="14"/>
    <w:bookmarkEnd w:id="15"/>
    <w:p w14:paraId="4603F58C">
      <w:pPr>
        <w:spacing w:line="440" w:lineRule="exact"/>
        <w:rPr>
          <w:szCs w:val="21"/>
        </w:rPr>
      </w:pPr>
    </w:p>
    <w:p w14:paraId="20EFD866">
      <w:pPr>
        <w:spacing w:line="440" w:lineRule="exact"/>
        <w:ind w:firstLine="480" w:firstLineChars="200"/>
        <w:rPr>
          <w:szCs w:val="21"/>
        </w:rPr>
      </w:pPr>
    </w:p>
    <w:p w14:paraId="2C4D810C">
      <w:pPr>
        <w:widowControl/>
        <w:spacing w:before="100" w:beforeAutospacing="1" w:after="100" w:afterAutospacing="1" w:line="320" w:lineRule="exact"/>
        <w:rPr>
          <w:rFonts w:hint="eastAsia" w:ascii="宋体" w:hAnsi="宋体" w:eastAsia="宋体" w:cs="宋体"/>
          <w:b/>
          <w:sz w:val="24"/>
        </w:rPr>
      </w:pPr>
      <w:r>
        <w:rPr>
          <w:rFonts w:hint="eastAsia" w:ascii="宋体" w:hAnsi="宋体" w:eastAsia="宋体" w:cs="宋体"/>
          <w:b/>
          <w:sz w:val="24"/>
        </w:rPr>
        <w:t>甲方使用单位：西安建筑科技大学XX学院</w:t>
      </w:r>
      <w:r>
        <w:rPr>
          <w:rFonts w:hint="eastAsia" w:ascii="宋体" w:hAnsi="宋体" w:eastAsia="宋体" w:cs="宋体"/>
          <w:b/>
          <w:sz w:val="24"/>
        </w:rPr>
        <w:tab/>
      </w:r>
      <w:r>
        <w:rPr>
          <w:rFonts w:hint="eastAsia" w:ascii="宋体" w:hAnsi="宋体" w:eastAsia="宋体" w:cs="宋体"/>
          <w:b/>
          <w:sz w:val="24"/>
        </w:rPr>
        <w:t xml:space="preserve">          乙方： </w:t>
      </w:r>
    </w:p>
    <w:p w14:paraId="345C617B">
      <w:pPr>
        <w:rPr>
          <w:rFonts w:hint="eastAsia" w:ascii="宋体" w:hAnsi="宋体" w:eastAsia="宋体" w:cs="宋体"/>
          <w:b/>
          <w:sz w:val="24"/>
        </w:rPr>
      </w:pPr>
    </w:p>
    <w:p w14:paraId="57148765">
      <w:pPr>
        <w:rPr>
          <w:rFonts w:hint="eastAsia" w:ascii="宋体" w:hAnsi="宋体" w:eastAsia="宋体" w:cs="宋体"/>
          <w:b/>
          <w:sz w:val="24"/>
        </w:rPr>
      </w:pPr>
      <w:r>
        <w:rPr>
          <w:rFonts w:hint="eastAsia" w:ascii="宋体" w:hAnsi="宋体" w:eastAsia="宋体" w:cs="宋体"/>
          <w:b/>
          <w:sz w:val="24"/>
        </w:rPr>
        <w:t>负责人：                                        负责人：</w:t>
      </w:r>
    </w:p>
    <w:p w14:paraId="499B141E">
      <w:pPr>
        <w:rPr>
          <w:b/>
          <w:sz w:val="24"/>
        </w:rPr>
      </w:pPr>
    </w:p>
    <w:p w14:paraId="2721379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auto"/>
    <w:pitch w:val="default"/>
    <w:sig w:usb0="00000000" w:usb1="00000000" w:usb2="00000000" w:usb3="00000000" w:csb0="00040000" w:csb1="00000000"/>
  </w:font>
  <w:font w:name="Wingdings 2">
    <w:panose1 w:val="05020102010507070707"/>
    <w:charset w:val="02"/>
    <w:family w:val="decorative"/>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7B445B"/>
    <w:multiLevelType w:val="multilevel"/>
    <w:tmpl w:val="207B445B"/>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164010AD"/>
    <w:rsid w:val="01306965"/>
    <w:rsid w:val="0D523741"/>
    <w:rsid w:val="10D66437"/>
    <w:rsid w:val="112D098E"/>
    <w:rsid w:val="164010AD"/>
    <w:rsid w:val="171B54BE"/>
    <w:rsid w:val="1E0A6237"/>
    <w:rsid w:val="27C15667"/>
    <w:rsid w:val="31E97269"/>
    <w:rsid w:val="35697EBA"/>
    <w:rsid w:val="4D9A686C"/>
    <w:rsid w:val="56AC3ADE"/>
    <w:rsid w:val="630B078B"/>
    <w:rsid w:val="639F01D6"/>
    <w:rsid w:val="6D3C31F9"/>
    <w:rsid w:val="6F526BC2"/>
    <w:rsid w:val="749618C5"/>
    <w:rsid w:val="784571E7"/>
    <w:rsid w:val="7A9F4C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宋体" w:hAnsi="宋体" w:eastAsia="宋体" w:cs="宋体"/>
      <w:sz w:val="24"/>
      <w:lang w:val="zh-CN" w:bidi="zh-CN"/>
    </w:rPr>
  </w:style>
  <w:style w:type="paragraph" w:styleId="4">
    <w:name w:val="Body Text Indent"/>
    <w:basedOn w:val="1"/>
    <w:qFormat/>
    <w:uiPriority w:val="0"/>
    <w:pPr>
      <w:spacing w:line="640" w:lineRule="exact"/>
      <w:ind w:firstLine="585"/>
    </w:pPr>
    <w:rPr>
      <w:rFonts w:ascii="楷体_GB2312" w:eastAsia="楷体_GB2312"/>
      <w:sz w:val="32"/>
    </w:rPr>
  </w:style>
  <w:style w:type="paragraph" w:styleId="5">
    <w:name w:val="Plain Text"/>
    <w:basedOn w:val="1"/>
    <w:qFormat/>
    <w:uiPriority w:val="99"/>
    <w:pPr>
      <w:spacing w:line="324" w:lineRule="auto"/>
    </w:pPr>
    <w:rPr>
      <w:rFonts w:ascii="宋体" w:hAnsi="Courier New"/>
    </w:rPr>
  </w:style>
  <w:style w:type="paragraph" w:styleId="6">
    <w:name w:val="footer"/>
    <w:basedOn w:val="1"/>
    <w:next w:val="3"/>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Body Text First Indent 2"/>
    <w:basedOn w:val="4"/>
    <w:qFormat/>
    <w:uiPriority w:val="0"/>
    <w:pPr>
      <w:ind w:firstLine="420" w:firstLineChars="200"/>
    </w:pPr>
  </w:style>
  <w:style w:type="character" w:styleId="10">
    <w:name w:val="Strong"/>
    <w:basedOn w:val="9"/>
    <w:qFormat/>
    <w:uiPriority w:val="22"/>
    <w:rPr>
      <w:b/>
    </w:rPr>
  </w:style>
  <w:style w:type="character" w:customStyle="1" w:styleId="11">
    <w:name w:val="NormalCharacter"/>
    <w:link w:val="12"/>
    <w:autoRedefine/>
    <w:qFormat/>
    <w:uiPriority w:val="0"/>
    <w:rPr>
      <w:rFonts w:ascii="宋体" w:hAnsi="宋体"/>
    </w:rPr>
  </w:style>
  <w:style w:type="paragraph" w:customStyle="1" w:styleId="12">
    <w:name w:val="UserStyle_64"/>
    <w:basedOn w:val="1"/>
    <w:link w:val="11"/>
    <w:autoRedefine/>
    <w:qFormat/>
    <w:uiPriority w:val="0"/>
    <w:pPr>
      <w:spacing w:line="240" w:lineRule="auto"/>
      <w:textAlignment w:val="baseline"/>
    </w:pPr>
    <w:rPr>
      <w:rFonts w:ascii="宋体" w:hAnsi="宋体"/>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 w:type="paragraph" w:styleId="14">
    <w:name w:val="List Paragraph"/>
    <w:basedOn w:val="1"/>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2051</Words>
  <Characters>2082</Characters>
  <Lines>0</Lines>
  <Paragraphs>0</Paragraphs>
  <TotalTime>0</TotalTime>
  <ScaleCrop>false</ScaleCrop>
  <LinksUpToDate>false</LinksUpToDate>
  <CharactersWithSpaces>2372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2024-05-09T10:21:00Z</dcterms:created>
  <dc:creator>々尚haha</dc:creator>
  <cp:lastModifiedBy>々尚haha</cp:lastModifiedBy>
  <dcterms:modified xsi:type="dcterms:W3CDTF">2024-11-21T11:25:09Z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A97DD11FAB6543E2B0CC4804C9365F4A_11</vt:lpwstr>
  </property>
</Properties>
</file>