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A11DB">
      <w:pPr>
        <w:snapToGrid w:val="0"/>
        <w:spacing w:line="360" w:lineRule="auto"/>
        <w:jc w:val="center"/>
        <w:rPr>
          <w:rStyle w:val="7"/>
          <w:rFonts w:hint="default"/>
          <w:color w:val="auto"/>
          <w:sz w:val="44"/>
          <w:szCs w:val="44"/>
          <w:highlight w:val="none"/>
        </w:rPr>
      </w:pPr>
      <w:bookmarkStart w:id="0" w:name="_Toc28907"/>
      <w:bookmarkStart w:id="1" w:name="_Toc10379"/>
      <w:bookmarkStart w:id="2" w:name="_Toc29289"/>
    </w:p>
    <w:p w14:paraId="5A795AF4">
      <w:pPr>
        <w:snapToGrid w:val="0"/>
        <w:spacing w:line="360" w:lineRule="auto"/>
        <w:jc w:val="center"/>
        <w:rPr>
          <w:rStyle w:val="7"/>
          <w:rFonts w:hint="default"/>
          <w:color w:val="auto"/>
          <w:sz w:val="44"/>
          <w:szCs w:val="44"/>
          <w:highlight w:val="none"/>
        </w:rPr>
      </w:pPr>
    </w:p>
    <w:p w14:paraId="02AD0A40">
      <w:pPr>
        <w:snapToGrid w:val="0"/>
        <w:spacing w:line="360" w:lineRule="auto"/>
        <w:jc w:val="center"/>
        <w:rPr>
          <w:rStyle w:val="7"/>
          <w:rFonts w:hint="default"/>
          <w:color w:val="auto"/>
          <w:sz w:val="44"/>
          <w:szCs w:val="44"/>
          <w:highlight w:val="none"/>
        </w:rPr>
      </w:pPr>
      <w:bookmarkStart w:id="21" w:name="_GoBack"/>
      <w:bookmarkEnd w:id="21"/>
      <w:r>
        <w:rPr>
          <w:rStyle w:val="7"/>
          <w:rFonts w:hint="default"/>
          <w:color w:val="auto"/>
          <w:sz w:val="44"/>
          <w:szCs w:val="44"/>
          <w:highlight w:val="none"/>
        </w:rPr>
        <w:t>西安建筑科技大学</w:t>
      </w:r>
    </w:p>
    <w:bookmarkEnd w:id="0"/>
    <w:bookmarkEnd w:id="1"/>
    <w:bookmarkEnd w:id="2"/>
    <w:p w14:paraId="525CD78F">
      <w:pPr>
        <w:snapToGrid w:val="0"/>
        <w:spacing w:line="360" w:lineRule="auto"/>
        <w:jc w:val="center"/>
        <w:outlineLvl w:val="9"/>
        <w:rPr>
          <w:rStyle w:val="7"/>
          <w:rFonts w:hint="default"/>
          <w:color w:val="auto"/>
          <w:sz w:val="44"/>
          <w:szCs w:val="44"/>
          <w:highlight w:val="none"/>
        </w:rPr>
      </w:pPr>
      <w:bookmarkStart w:id="3" w:name="_Toc23014"/>
      <w:bookmarkStart w:id="4" w:name="_Toc29748"/>
      <w:r>
        <w:rPr>
          <w:rStyle w:val="7"/>
          <w:rFonts w:hint="eastAsia"/>
          <w:color w:val="auto"/>
          <w:sz w:val="44"/>
          <w:szCs w:val="44"/>
          <w:highlight w:val="none"/>
          <w:u w:val="single"/>
          <w:lang w:val="en-US" w:eastAsia="zh-CN"/>
        </w:rPr>
        <w:t xml:space="preserve">                       </w:t>
      </w:r>
      <w:r>
        <w:rPr>
          <w:rStyle w:val="7"/>
          <w:rFonts w:hint="default"/>
          <w:color w:val="auto"/>
          <w:sz w:val="44"/>
          <w:szCs w:val="44"/>
          <w:highlight w:val="none"/>
        </w:rPr>
        <w:t>采购项目</w:t>
      </w:r>
      <w:bookmarkEnd w:id="3"/>
      <w:bookmarkEnd w:id="4"/>
    </w:p>
    <w:p w14:paraId="1D113A0A">
      <w:pPr>
        <w:snapToGrid w:val="0"/>
        <w:spacing w:line="360" w:lineRule="auto"/>
        <w:jc w:val="center"/>
        <w:rPr>
          <w:rFonts w:hint="eastAsia" w:ascii="宋体" w:hAnsi="宋体"/>
          <w:b/>
          <w:bCs/>
          <w:color w:val="auto"/>
          <w:spacing w:val="26"/>
          <w:sz w:val="84"/>
          <w:szCs w:val="84"/>
          <w:highlight w:val="none"/>
        </w:rPr>
      </w:pPr>
    </w:p>
    <w:p w14:paraId="1ACFF41F">
      <w:pPr>
        <w:snapToGrid w:val="0"/>
        <w:spacing w:line="360" w:lineRule="auto"/>
        <w:jc w:val="center"/>
        <w:rPr>
          <w:rFonts w:hint="eastAsia" w:ascii="宋体" w:hAnsi="宋体"/>
          <w:b/>
          <w:bCs/>
          <w:color w:val="auto"/>
          <w:sz w:val="72"/>
          <w:szCs w:val="72"/>
          <w:highlight w:val="none"/>
        </w:rPr>
      </w:pPr>
      <w:r>
        <w:rPr>
          <w:rFonts w:hint="eastAsia" w:ascii="宋体" w:hAnsi="宋体"/>
          <w:b/>
          <w:bCs/>
          <w:color w:val="auto"/>
          <w:sz w:val="72"/>
          <w:szCs w:val="72"/>
          <w:highlight w:val="none"/>
        </w:rPr>
        <w:t>仪器设备购置合同</w:t>
      </w:r>
    </w:p>
    <w:p w14:paraId="50F1D9F5">
      <w:pPr>
        <w:snapToGrid w:val="0"/>
        <w:spacing w:line="360" w:lineRule="auto"/>
        <w:ind w:firstLine="2570" w:firstLineChars="800"/>
        <w:rPr>
          <w:rFonts w:hint="eastAsia" w:ascii="宋体" w:hAnsi="宋体"/>
          <w:b/>
          <w:bCs/>
          <w:color w:val="auto"/>
          <w:sz w:val="32"/>
          <w:szCs w:val="32"/>
          <w:highlight w:val="none"/>
        </w:rPr>
      </w:pPr>
      <w:r>
        <w:rPr>
          <w:rFonts w:hint="eastAsia" w:ascii="宋体" w:hAnsi="宋体"/>
          <w:b/>
          <w:bCs/>
          <w:color w:val="auto"/>
          <w:sz w:val="32"/>
          <w:szCs w:val="32"/>
          <w:highlight w:val="none"/>
        </w:rPr>
        <w:t>项目编号：</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 xml:space="preserve"> </w:t>
      </w:r>
    </w:p>
    <w:p w14:paraId="33C99EFF">
      <w:pPr>
        <w:snapToGrid w:val="0"/>
        <w:spacing w:line="360" w:lineRule="auto"/>
        <w:jc w:val="center"/>
        <w:rPr>
          <w:rFonts w:hint="eastAsia" w:ascii="宋体" w:hAnsi="宋体"/>
          <w:b/>
          <w:bCs/>
          <w:color w:val="auto"/>
          <w:spacing w:val="26"/>
          <w:sz w:val="36"/>
          <w:szCs w:val="36"/>
          <w:highlight w:val="none"/>
        </w:rPr>
      </w:pPr>
    </w:p>
    <w:p w14:paraId="44118047">
      <w:pPr>
        <w:snapToGrid w:val="0"/>
        <w:spacing w:line="360" w:lineRule="auto"/>
        <w:rPr>
          <w:rFonts w:hint="eastAsia" w:ascii="宋体" w:hAnsi="宋体"/>
          <w:b/>
          <w:color w:val="auto"/>
          <w:sz w:val="32"/>
          <w:szCs w:val="32"/>
          <w:highlight w:val="none"/>
        </w:rPr>
      </w:pPr>
    </w:p>
    <w:p w14:paraId="70A2B6E1">
      <w:pPr>
        <w:snapToGrid w:val="0"/>
        <w:spacing w:line="360" w:lineRule="auto"/>
        <w:rPr>
          <w:rFonts w:hint="eastAsia" w:ascii="宋体" w:hAnsi="宋体"/>
          <w:b/>
          <w:color w:val="auto"/>
          <w:sz w:val="32"/>
          <w:szCs w:val="32"/>
          <w:highlight w:val="none"/>
        </w:rPr>
      </w:pPr>
    </w:p>
    <w:p w14:paraId="23310158">
      <w:pPr>
        <w:snapToGrid w:val="0"/>
        <w:spacing w:line="360" w:lineRule="auto"/>
        <w:rPr>
          <w:rFonts w:hint="eastAsia" w:ascii="宋体" w:hAnsi="宋体"/>
          <w:b/>
          <w:color w:val="auto"/>
          <w:sz w:val="32"/>
          <w:szCs w:val="32"/>
          <w:highlight w:val="none"/>
        </w:rPr>
      </w:pPr>
    </w:p>
    <w:p w14:paraId="7837D540">
      <w:pPr>
        <w:snapToGrid w:val="0"/>
        <w:spacing w:line="360" w:lineRule="auto"/>
        <w:rPr>
          <w:rFonts w:hint="eastAsia" w:ascii="宋体" w:hAnsi="宋体"/>
          <w:b/>
          <w:color w:val="auto"/>
          <w:sz w:val="32"/>
          <w:szCs w:val="32"/>
          <w:highlight w:val="none"/>
        </w:rPr>
      </w:pPr>
    </w:p>
    <w:p w14:paraId="3AF5353C">
      <w:pPr>
        <w:snapToGrid w:val="0"/>
        <w:spacing w:line="360" w:lineRule="auto"/>
        <w:ind w:firstLine="1205" w:firstLineChars="400"/>
        <w:rPr>
          <w:rFonts w:hint="eastAsia" w:ascii="宋体" w:hAnsi="宋体"/>
          <w:b/>
          <w:bCs/>
          <w:color w:val="auto"/>
          <w:sz w:val="30"/>
          <w:szCs w:val="30"/>
          <w:highlight w:val="none"/>
        </w:rPr>
      </w:pPr>
      <w:r>
        <w:rPr>
          <w:rFonts w:hint="eastAsia" w:ascii="宋体" w:hAnsi="宋体"/>
          <w:b/>
          <w:bCs/>
          <w:color w:val="auto"/>
          <w:sz w:val="30"/>
          <w:szCs w:val="30"/>
          <w:highlight w:val="none"/>
        </w:rPr>
        <w:t>甲方：</w:t>
      </w:r>
      <w:r>
        <w:rPr>
          <w:rFonts w:hint="eastAsia" w:ascii="宋体" w:hAnsi="宋体"/>
          <w:b/>
          <w:bCs/>
          <w:color w:val="auto"/>
          <w:sz w:val="30"/>
          <w:szCs w:val="30"/>
          <w:highlight w:val="none"/>
          <w:u w:val="single"/>
        </w:rPr>
        <w:t xml:space="preserve">      西安建筑科技大学       </w:t>
      </w:r>
    </w:p>
    <w:p w14:paraId="3826CBFF">
      <w:pPr>
        <w:snapToGrid w:val="0"/>
        <w:spacing w:line="360" w:lineRule="auto"/>
        <w:ind w:firstLine="1205" w:firstLineChars="400"/>
        <w:rPr>
          <w:rFonts w:hint="eastAsia" w:ascii="宋体" w:hAnsi="宋体"/>
          <w:b/>
          <w:bCs/>
          <w:color w:val="auto"/>
          <w:sz w:val="30"/>
          <w:szCs w:val="30"/>
          <w:highlight w:val="none"/>
        </w:rPr>
      </w:pPr>
      <w:r>
        <w:rPr>
          <w:rFonts w:hint="eastAsia" w:ascii="宋体" w:hAnsi="宋体"/>
          <w:b/>
          <w:bCs/>
          <w:color w:val="auto"/>
          <w:sz w:val="30"/>
          <w:szCs w:val="30"/>
          <w:highlight w:val="none"/>
        </w:rPr>
        <w:t>乙方：</w:t>
      </w:r>
      <w:r>
        <w:rPr>
          <w:rFonts w:hint="eastAsia" w:ascii="宋体" w:hAnsi="宋体"/>
          <w:b/>
          <w:bCs/>
          <w:color w:val="auto"/>
          <w:sz w:val="30"/>
          <w:szCs w:val="30"/>
          <w:highlight w:val="none"/>
          <w:u w:val="single"/>
        </w:rPr>
        <w:t xml:space="preserve">                             </w:t>
      </w:r>
    </w:p>
    <w:p w14:paraId="46153255">
      <w:pPr>
        <w:snapToGrid w:val="0"/>
        <w:spacing w:line="360" w:lineRule="auto"/>
        <w:jc w:val="center"/>
        <w:rPr>
          <w:rFonts w:hint="eastAsia" w:ascii="宋体" w:hAnsi="宋体"/>
          <w:b/>
          <w:bCs/>
          <w:color w:val="auto"/>
          <w:sz w:val="30"/>
          <w:szCs w:val="30"/>
          <w:highlight w:val="none"/>
        </w:rPr>
      </w:pPr>
      <w:r>
        <w:rPr>
          <w:rFonts w:hint="eastAsia" w:ascii="宋体" w:hAnsi="宋体"/>
          <w:b/>
          <w:bCs/>
          <w:color w:val="auto"/>
          <w:sz w:val="30"/>
          <w:szCs w:val="30"/>
          <w:highlight w:val="none"/>
        </w:rPr>
        <w:t xml:space="preserve">  </w:t>
      </w:r>
    </w:p>
    <w:p w14:paraId="2B2FDFBE">
      <w:pPr>
        <w:snapToGrid w:val="0"/>
        <w:spacing w:line="360" w:lineRule="auto"/>
        <w:jc w:val="center"/>
        <w:rPr>
          <w:rFonts w:hint="eastAsia" w:ascii="宋体" w:hAnsi="宋体"/>
          <w:b/>
          <w:bCs/>
          <w:color w:val="auto"/>
          <w:spacing w:val="26"/>
          <w:sz w:val="30"/>
          <w:szCs w:val="30"/>
          <w:highlight w:val="none"/>
        </w:rPr>
      </w:pPr>
      <w:r>
        <w:rPr>
          <w:rFonts w:hint="eastAsia" w:ascii="宋体" w:hAnsi="宋体"/>
          <w:b/>
          <w:bCs/>
          <w:color w:val="auto"/>
          <w:spacing w:val="26"/>
          <w:sz w:val="30"/>
          <w:szCs w:val="30"/>
          <w:highlight w:val="none"/>
        </w:rPr>
        <w:t xml:space="preserve"> 二〇二四年</w:t>
      </w:r>
      <w:r>
        <w:rPr>
          <w:rFonts w:hint="eastAsia" w:ascii="宋体" w:hAnsi="宋体"/>
          <w:b/>
          <w:bCs/>
          <w:color w:val="auto"/>
          <w:spacing w:val="26"/>
          <w:sz w:val="30"/>
          <w:szCs w:val="30"/>
          <w:highlight w:val="none"/>
          <w:u w:val="single"/>
        </w:rPr>
        <w:t xml:space="preserve">  </w:t>
      </w:r>
      <w:r>
        <w:rPr>
          <w:rFonts w:hint="eastAsia" w:ascii="宋体" w:hAnsi="宋体"/>
          <w:b/>
          <w:bCs/>
          <w:color w:val="auto"/>
          <w:spacing w:val="26"/>
          <w:sz w:val="30"/>
          <w:szCs w:val="30"/>
          <w:highlight w:val="none"/>
        </w:rPr>
        <w:t>月</w:t>
      </w:r>
      <w:r>
        <w:rPr>
          <w:rFonts w:hint="eastAsia" w:ascii="宋体" w:hAnsi="宋体"/>
          <w:b/>
          <w:bCs/>
          <w:color w:val="auto"/>
          <w:spacing w:val="26"/>
          <w:sz w:val="30"/>
          <w:szCs w:val="30"/>
          <w:highlight w:val="none"/>
          <w:u w:val="single"/>
        </w:rPr>
        <w:t xml:space="preserve">  </w:t>
      </w:r>
      <w:r>
        <w:rPr>
          <w:rFonts w:hint="eastAsia" w:ascii="宋体" w:hAnsi="宋体"/>
          <w:b/>
          <w:bCs/>
          <w:color w:val="auto"/>
          <w:spacing w:val="26"/>
          <w:sz w:val="30"/>
          <w:szCs w:val="30"/>
          <w:highlight w:val="none"/>
        </w:rPr>
        <w:t>日</w:t>
      </w:r>
    </w:p>
    <w:p w14:paraId="01834D56">
      <w:pPr>
        <w:snapToGrid w:val="0"/>
        <w:spacing w:line="360" w:lineRule="auto"/>
        <w:rPr>
          <w:color w:val="auto"/>
          <w:highlight w:val="none"/>
        </w:rPr>
      </w:pPr>
      <w:r>
        <w:rPr>
          <w:color w:val="auto"/>
          <w:highlight w:val="none"/>
        </w:rPr>
        <w:br w:type="page"/>
      </w:r>
    </w:p>
    <w:p w14:paraId="7BCAB52F">
      <w:pPr>
        <w:adjustRightInd w:val="0"/>
        <w:snapToGrid w:val="0"/>
        <w:jc w:val="center"/>
        <w:rPr>
          <w:rFonts w:hint="eastAsia" w:eastAsia="黑体"/>
          <w:color w:val="auto"/>
          <w:sz w:val="36"/>
          <w:szCs w:val="36"/>
        </w:rPr>
      </w:pPr>
      <w:r>
        <w:rPr>
          <w:rFonts w:eastAsia="黑体"/>
          <w:color w:val="auto"/>
          <w:sz w:val="36"/>
          <w:szCs w:val="36"/>
        </w:rPr>
        <w:t>仪器设备购置合同</w:t>
      </w:r>
    </w:p>
    <w:p w14:paraId="1B9D552C">
      <w:pPr>
        <w:adjustRightInd w:val="0"/>
        <w:snapToGrid w:val="0"/>
        <w:jc w:val="center"/>
        <w:rPr>
          <w:rFonts w:eastAsia="黑体"/>
          <w:color w:val="auto"/>
          <w:sz w:val="36"/>
          <w:szCs w:val="36"/>
        </w:rPr>
      </w:pPr>
    </w:p>
    <w:p w14:paraId="3803934C">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14:paraId="112AA2E1">
      <w:pPr>
        <w:spacing w:line="360" w:lineRule="auto"/>
        <w:ind w:left="555"/>
        <w:outlineLvl w:val="9"/>
        <w:rPr>
          <w:b/>
          <w:color w:val="auto"/>
          <w:szCs w:val="21"/>
        </w:rPr>
      </w:pPr>
      <w:r>
        <w:rPr>
          <w:b/>
          <w:color w:val="auto"/>
          <w:szCs w:val="21"/>
        </w:rPr>
        <w:t>1</w:t>
      </w:r>
      <w:r>
        <w:rPr>
          <w:color w:val="auto"/>
          <w:szCs w:val="21"/>
        </w:rPr>
        <w:t>.</w:t>
      </w:r>
      <w:r>
        <w:rPr>
          <w:b/>
          <w:color w:val="auto"/>
          <w:szCs w:val="21"/>
        </w:rPr>
        <w:t xml:space="preserve"> 合同内容</w:t>
      </w:r>
    </w:p>
    <w:p w14:paraId="13266F1E">
      <w:pPr>
        <w:spacing w:line="360" w:lineRule="auto"/>
        <w:ind w:firstLine="560"/>
        <w:outlineLvl w:val="9"/>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4B2FF04">
      <w:pPr>
        <w:spacing w:line="360" w:lineRule="auto"/>
        <w:ind w:firstLine="420" w:firstLineChars="200"/>
        <w:outlineLvl w:val="9"/>
        <w:rPr>
          <w:color w:val="auto"/>
          <w:szCs w:val="21"/>
        </w:rPr>
      </w:pPr>
      <w:r>
        <w:rPr>
          <w:color w:val="auto"/>
          <w:szCs w:val="21"/>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622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4AD81175">
            <w:pPr>
              <w:spacing w:line="360" w:lineRule="auto"/>
              <w:jc w:val="center"/>
              <w:outlineLvl w:val="9"/>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14:paraId="19ED6E59">
            <w:pPr>
              <w:spacing w:line="360" w:lineRule="auto"/>
              <w:jc w:val="center"/>
              <w:outlineLvl w:val="9"/>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14:paraId="000AF9D5">
            <w:pPr>
              <w:spacing w:line="360" w:lineRule="auto"/>
              <w:jc w:val="center"/>
              <w:outlineLvl w:val="9"/>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14:paraId="13122B48">
            <w:pPr>
              <w:spacing w:line="360" w:lineRule="auto"/>
              <w:jc w:val="center"/>
              <w:outlineLvl w:val="9"/>
              <w:rPr>
                <w:b/>
                <w:color w:val="auto"/>
                <w:szCs w:val="21"/>
              </w:rPr>
            </w:pPr>
            <w:r>
              <w:rPr>
                <w:b/>
                <w:color w:val="auto"/>
                <w:szCs w:val="21"/>
              </w:rPr>
              <w:t>数量</w:t>
            </w:r>
          </w:p>
          <w:p w14:paraId="5DD434BD">
            <w:pPr>
              <w:spacing w:line="360" w:lineRule="auto"/>
              <w:jc w:val="center"/>
              <w:outlineLvl w:val="9"/>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14:paraId="5DA9BD9F">
            <w:pPr>
              <w:spacing w:line="360" w:lineRule="auto"/>
              <w:jc w:val="center"/>
              <w:outlineLvl w:val="9"/>
              <w:rPr>
                <w:b/>
                <w:color w:val="auto"/>
                <w:szCs w:val="21"/>
              </w:rPr>
            </w:pPr>
            <w:r>
              <w:rPr>
                <w:b/>
                <w:color w:val="auto"/>
                <w:szCs w:val="21"/>
              </w:rPr>
              <w:t>单价</w:t>
            </w:r>
          </w:p>
          <w:p w14:paraId="00F5B1A2">
            <w:pPr>
              <w:spacing w:line="360" w:lineRule="auto"/>
              <w:jc w:val="center"/>
              <w:outlineLvl w:val="9"/>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14:paraId="3857450D">
            <w:pPr>
              <w:spacing w:line="360" w:lineRule="auto"/>
              <w:jc w:val="center"/>
              <w:outlineLvl w:val="9"/>
              <w:rPr>
                <w:b/>
                <w:color w:val="auto"/>
                <w:szCs w:val="21"/>
              </w:rPr>
            </w:pPr>
            <w:r>
              <w:rPr>
                <w:b/>
                <w:color w:val="auto"/>
                <w:szCs w:val="21"/>
              </w:rPr>
              <w:t>合计</w:t>
            </w:r>
          </w:p>
          <w:p w14:paraId="01E6C6EF">
            <w:pPr>
              <w:spacing w:line="360" w:lineRule="auto"/>
              <w:jc w:val="center"/>
              <w:outlineLvl w:val="9"/>
              <w:rPr>
                <w:b/>
                <w:color w:val="auto"/>
                <w:szCs w:val="21"/>
              </w:rPr>
            </w:pPr>
            <w:r>
              <w:rPr>
                <w:b/>
                <w:color w:val="auto"/>
                <w:szCs w:val="21"/>
              </w:rPr>
              <w:t>（万元）</w:t>
            </w:r>
          </w:p>
        </w:tc>
        <w:tc>
          <w:tcPr>
            <w:tcW w:w="978" w:type="dxa"/>
            <w:noWrap w:val="0"/>
            <w:vAlign w:val="center"/>
          </w:tcPr>
          <w:p w14:paraId="29B503CA">
            <w:pPr>
              <w:spacing w:line="360" w:lineRule="auto"/>
              <w:jc w:val="center"/>
              <w:outlineLvl w:val="9"/>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14:paraId="58425F87">
            <w:pPr>
              <w:spacing w:line="360" w:lineRule="auto"/>
              <w:jc w:val="center"/>
              <w:outlineLvl w:val="9"/>
              <w:rPr>
                <w:b/>
                <w:color w:val="auto"/>
                <w:szCs w:val="21"/>
              </w:rPr>
            </w:pPr>
            <w:r>
              <w:rPr>
                <w:b/>
                <w:color w:val="auto"/>
                <w:szCs w:val="21"/>
              </w:rPr>
              <w:t>备注</w:t>
            </w:r>
          </w:p>
        </w:tc>
      </w:tr>
      <w:tr w14:paraId="4757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5F34CA79">
            <w:pPr>
              <w:spacing w:line="360" w:lineRule="auto"/>
              <w:jc w:val="center"/>
              <w:outlineLvl w:val="9"/>
              <w:rPr>
                <w:color w:val="auto"/>
                <w:szCs w:val="21"/>
              </w:rPr>
            </w:pPr>
            <w:r>
              <w:rPr>
                <w:color w:val="auto"/>
                <w:szCs w:val="21"/>
              </w:rPr>
              <w:t>1</w:t>
            </w:r>
          </w:p>
        </w:tc>
        <w:tc>
          <w:tcPr>
            <w:tcW w:w="1805" w:type="dxa"/>
            <w:noWrap w:val="0"/>
            <w:tcMar>
              <w:top w:w="20" w:type="dxa"/>
              <w:left w:w="20" w:type="dxa"/>
              <w:bottom w:w="0" w:type="dxa"/>
              <w:right w:w="20" w:type="dxa"/>
            </w:tcMar>
            <w:vAlign w:val="center"/>
          </w:tcPr>
          <w:p w14:paraId="567C030A">
            <w:pPr>
              <w:spacing w:line="360" w:lineRule="auto"/>
              <w:jc w:val="center"/>
              <w:outlineLvl w:val="9"/>
              <w:rPr>
                <w:color w:val="auto"/>
                <w:szCs w:val="21"/>
              </w:rPr>
            </w:pPr>
          </w:p>
        </w:tc>
        <w:tc>
          <w:tcPr>
            <w:tcW w:w="1980" w:type="dxa"/>
            <w:noWrap w:val="0"/>
            <w:tcMar>
              <w:top w:w="20" w:type="dxa"/>
              <w:left w:w="20" w:type="dxa"/>
              <w:bottom w:w="0" w:type="dxa"/>
              <w:right w:w="20" w:type="dxa"/>
            </w:tcMar>
            <w:vAlign w:val="center"/>
          </w:tcPr>
          <w:p w14:paraId="7A616F06">
            <w:pPr>
              <w:spacing w:line="360" w:lineRule="auto"/>
              <w:jc w:val="center"/>
              <w:outlineLvl w:val="9"/>
              <w:rPr>
                <w:color w:val="auto"/>
                <w:szCs w:val="21"/>
              </w:rPr>
            </w:pPr>
          </w:p>
        </w:tc>
        <w:tc>
          <w:tcPr>
            <w:tcW w:w="886" w:type="dxa"/>
            <w:noWrap w:val="0"/>
            <w:tcMar>
              <w:top w:w="20" w:type="dxa"/>
              <w:left w:w="20" w:type="dxa"/>
              <w:bottom w:w="0" w:type="dxa"/>
              <w:right w:w="20" w:type="dxa"/>
            </w:tcMar>
            <w:vAlign w:val="center"/>
          </w:tcPr>
          <w:p w14:paraId="581240B7">
            <w:pPr>
              <w:spacing w:line="360" w:lineRule="auto"/>
              <w:jc w:val="center"/>
              <w:outlineLvl w:val="9"/>
              <w:rPr>
                <w:color w:val="auto"/>
                <w:szCs w:val="21"/>
              </w:rPr>
            </w:pPr>
          </w:p>
        </w:tc>
        <w:tc>
          <w:tcPr>
            <w:tcW w:w="985" w:type="dxa"/>
            <w:noWrap w:val="0"/>
            <w:tcMar>
              <w:top w:w="20" w:type="dxa"/>
              <w:left w:w="20" w:type="dxa"/>
              <w:bottom w:w="0" w:type="dxa"/>
              <w:right w:w="20" w:type="dxa"/>
            </w:tcMar>
            <w:vAlign w:val="center"/>
          </w:tcPr>
          <w:p w14:paraId="3FDFFDEF">
            <w:pPr>
              <w:spacing w:line="360" w:lineRule="auto"/>
              <w:jc w:val="center"/>
              <w:outlineLvl w:val="9"/>
              <w:rPr>
                <w:color w:val="auto"/>
                <w:szCs w:val="21"/>
              </w:rPr>
            </w:pPr>
          </w:p>
        </w:tc>
        <w:tc>
          <w:tcPr>
            <w:tcW w:w="984" w:type="dxa"/>
            <w:noWrap w:val="0"/>
            <w:tcMar>
              <w:top w:w="20" w:type="dxa"/>
              <w:left w:w="20" w:type="dxa"/>
              <w:bottom w:w="0" w:type="dxa"/>
              <w:right w:w="20" w:type="dxa"/>
            </w:tcMar>
            <w:vAlign w:val="center"/>
          </w:tcPr>
          <w:p w14:paraId="085A92F6">
            <w:pPr>
              <w:spacing w:line="360" w:lineRule="auto"/>
              <w:jc w:val="center"/>
              <w:outlineLvl w:val="9"/>
              <w:rPr>
                <w:color w:val="auto"/>
                <w:szCs w:val="21"/>
              </w:rPr>
            </w:pPr>
          </w:p>
        </w:tc>
        <w:tc>
          <w:tcPr>
            <w:tcW w:w="978" w:type="dxa"/>
            <w:noWrap w:val="0"/>
            <w:vAlign w:val="center"/>
          </w:tcPr>
          <w:p w14:paraId="00ADD1E3">
            <w:pPr>
              <w:spacing w:line="360" w:lineRule="auto"/>
              <w:jc w:val="center"/>
              <w:outlineLvl w:val="9"/>
              <w:rPr>
                <w:color w:val="auto"/>
                <w:szCs w:val="21"/>
              </w:rPr>
            </w:pPr>
          </w:p>
        </w:tc>
        <w:tc>
          <w:tcPr>
            <w:tcW w:w="580" w:type="dxa"/>
            <w:noWrap w:val="0"/>
            <w:tcMar>
              <w:top w:w="20" w:type="dxa"/>
              <w:left w:w="20" w:type="dxa"/>
              <w:bottom w:w="0" w:type="dxa"/>
              <w:right w:w="20" w:type="dxa"/>
            </w:tcMar>
            <w:vAlign w:val="center"/>
          </w:tcPr>
          <w:p w14:paraId="5E2AF674">
            <w:pPr>
              <w:spacing w:line="360" w:lineRule="auto"/>
              <w:jc w:val="center"/>
              <w:outlineLvl w:val="9"/>
              <w:rPr>
                <w:color w:val="auto"/>
                <w:szCs w:val="21"/>
              </w:rPr>
            </w:pPr>
          </w:p>
        </w:tc>
      </w:tr>
      <w:tr w14:paraId="43BF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0EA68564">
            <w:pPr>
              <w:spacing w:line="360" w:lineRule="auto"/>
              <w:jc w:val="center"/>
              <w:outlineLvl w:val="9"/>
              <w:rPr>
                <w:color w:val="auto"/>
                <w:szCs w:val="21"/>
              </w:rPr>
            </w:pPr>
            <w:r>
              <w:rPr>
                <w:color w:val="auto"/>
                <w:szCs w:val="21"/>
              </w:rPr>
              <w:t>2</w:t>
            </w:r>
          </w:p>
        </w:tc>
        <w:tc>
          <w:tcPr>
            <w:tcW w:w="1805" w:type="dxa"/>
            <w:noWrap w:val="0"/>
            <w:tcMar>
              <w:top w:w="20" w:type="dxa"/>
              <w:left w:w="20" w:type="dxa"/>
              <w:bottom w:w="0" w:type="dxa"/>
              <w:right w:w="20" w:type="dxa"/>
            </w:tcMar>
            <w:vAlign w:val="center"/>
          </w:tcPr>
          <w:p w14:paraId="36A38FCE">
            <w:pPr>
              <w:spacing w:line="360" w:lineRule="auto"/>
              <w:jc w:val="center"/>
              <w:outlineLvl w:val="9"/>
              <w:rPr>
                <w:color w:val="auto"/>
                <w:szCs w:val="21"/>
              </w:rPr>
            </w:pPr>
          </w:p>
        </w:tc>
        <w:tc>
          <w:tcPr>
            <w:tcW w:w="1980" w:type="dxa"/>
            <w:noWrap w:val="0"/>
            <w:tcMar>
              <w:top w:w="20" w:type="dxa"/>
              <w:left w:w="20" w:type="dxa"/>
              <w:bottom w:w="0" w:type="dxa"/>
              <w:right w:w="20" w:type="dxa"/>
            </w:tcMar>
            <w:vAlign w:val="center"/>
          </w:tcPr>
          <w:p w14:paraId="485B4959">
            <w:pPr>
              <w:spacing w:line="360" w:lineRule="auto"/>
              <w:jc w:val="center"/>
              <w:outlineLvl w:val="9"/>
              <w:rPr>
                <w:color w:val="auto"/>
                <w:szCs w:val="21"/>
              </w:rPr>
            </w:pPr>
          </w:p>
        </w:tc>
        <w:tc>
          <w:tcPr>
            <w:tcW w:w="886" w:type="dxa"/>
            <w:noWrap w:val="0"/>
            <w:tcMar>
              <w:top w:w="20" w:type="dxa"/>
              <w:left w:w="20" w:type="dxa"/>
              <w:bottom w:w="0" w:type="dxa"/>
              <w:right w:w="20" w:type="dxa"/>
            </w:tcMar>
            <w:vAlign w:val="center"/>
          </w:tcPr>
          <w:p w14:paraId="4FC42C08">
            <w:pPr>
              <w:spacing w:line="360" w:lineRule="auto"/>
              <w:jc w:val="center"/>
              <w:outlineLvl w:val="9"/>
              <w:rPr>
                <w:color w:val="auto"/>
                <w:szCs w:val="21"/>
              </w:rPr>
            </w:pPr>
          </w:p>
        </w:tc>
        <w:tc>
          <w:tcPr>
            <w:tcW w:w="985" w:type="dxa"/>
            <w:noWrap w:val="0"/>
            <w:tcMar>
              <w:top w:w="20" w:type="dxa"/>
              <w:left w:w="20" w:type="dxa"/>
              <w:bottom w:w="0" w:type="dxa"/>
              <w:right w:w="20" w:type="dxa"/>
            </w:tcMar>
            <w:vAlign w:val="center"/>
          </w:tcPr>
          <w:p w14:paraId="52938C26">
            <w:pPr>
              <w:spacing w:line="360" w:lineRule="auto"/>
              <w:jc w:val="center"/>
              <w:outlineLvl w:val="9"/>
              <w:rPr>
                <w:color w:val="auto"/>
                <w:szCs w:val="21"/>
              </w:rPr>
            </w:pPr>
          </w:p>
        </w:tc>
        <w:tc>
          <w:tcPr>
            <w:tcW w:w="984" w:type="dxa"/>
            <w:noWrap w:val="0"/>
            <w:tcMar>
              <w:top w:w="20" w:type="dxa"/>
              <w:left w:w="20" w:type="dxa"/>
              <w:bottom w:w="0" w:type="dxa"/>
              <w:right w:w="20" w:type="dxa"/>
            </w:tcMar>
            <w:vAlign w:val="center"/>
          </w:tcPr>
          <w:p w14:paraId="78E4E359">
            <w:pPr>
              <w:spacing w:line="360" w:lineRule="auto"/>
              <w:jc w:val="center"/>
              <w:outlineLvl w:val="9"/>
              <w:rPr>
                <w:color w:val="auto"/>
                <w:szCs w:val="21"/>
              </w:rPr>
            </w:pPr>
          </w:p>
        </w:tc>
        <w:tc>
          <w:tcPr>
            <w:tcW w:w="978" w:type="dxa"/>
            <w:noWrap w:val="0"/>
            <w:vAlign w:val="center"/>
          </w:tcPr>
          <w:p w14:paraId="68817075">
            <w:pPr>
              <w:spacing w:line="360" w:lineRule="auto"/>
              <w:jc w:val="center"/>
              <w:outlineLvl w:val="9"/>
              <w:rPr>
                <w:color w:val="auto"/>
                <w:kern w:val="0"/>
                <w:szCs w:val="21"/>
              </w:rPr>
            </w:pPr>
          </w:p>
        </w:tc>
        <w:tc>
          <w:tcPr>
            <w:tcW w:w="580" w:type="dxa"/>
            <w:noWrap w:val="0"/>
            <w:tcMar>
              <w:top w:w="20" w:type="dxa"/>
              <w:left w:w="20" w:type="dxa"/>
              <w:bottom w:w="0" w:type="dxa"/>
              <w:right w:w="20" w:type="dxa"/>
            </w:tcMar>
            <w:vAlign w:val="center"/>
          </w:tcPr>
          <w:p w14:paraId="16661EF2">
            <w:pPr>
              <w:spacing w:line="360" w:lineRule="auto"/>
              <w:jc w:val="center"/>
              <w:outlineLvl w:val="9"/>
              <w:rPr>
                <w:color w:val="auto"/>
                <w:szCs w:val="21"/>
              </w:rPr>
            </w:pPr>
          </w:p>
        </w:tc>
      </w:tr>
      <w:tr w14:paraId="04184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EBA46AB">
            <w:pPr>
              <w:spacing w:line="360" w:lineRule="auto"/>
              <w:jc w:val="center"/>
              <w:outlineLvl w:val="9"/>
              <w:rPr>
                <w:color w:val="auto"/>
                <w:szCs w:val="21"/>
              </w:rPr>
            </w:pPr>
            <w:r>
              <w:rPr>
                <w:color w:val="auto"/>
                <w:szCs w:val="21"/>
              </w:rPr>
              <w:t>3</w:t>
            </w:r>
          </w:p>
        </w:tc>
        <w:tc>
          <w:tcPr>
            <w:tcW w:w="1805" w:type="dxa"/>
            <w:noWrap w:val="0"/>
            <w:tcMar>
              <w:top w:w="20" w:type="dxa"/>
              <w:left w:w="20" w:type="dxa"/>
              <w:bottom w:w="0" w:type="dxa"/>
              <w:right w:w="20" w:type="dxa"/>
            </w:tcMar>
            <w:vAlign w:val="center"/>
          </w:tcPr>
          <w:p w14:paraId="17C9EA78">
            <w:pPr>
              <w:spacing w:line="360" w:lineRule="auto"/>
              <w:jc w:val="center"/>
              <w:outlineLvl w:val="9"/>
              <w:rPr>
                <w:color w:val="auto"/>
                <w:szCs w:val="21"/>
              </w:rPr>
            </w:pPr>
          </w:p>
        </w:tc>
        <w:tc>
          <w:tcPr>
            <w:tcW w:w="1980" w:type="dxa"/>
            <w:noWrap w:val="0"/>
            <w:tcMar>
              <w:top w:w="20" w:type="dxa"/>
              <w:left w:w="20" w:type="dxa"/>
              <w:bottom w:w="0" w:type="dxa"/>
              <w:right w:w="20" w:type="dxa"/>
            </w:tcMar>
            <w:vAlign w:val="center"/>
          </w:tcPr>
          <w:p w14:paraId="5280E9CD">
            <w:pPr>
              <w:spacing w:line="360" w:lineRule="auto"/>
              <w:jc w:val="center"/>
              <w:outlineLvl w:val="9"/>
              <w:rPr>
                <w:color w:val="auto"/>
                <w:szCs w:val="21"/>
              </w:rPr>
            </w:pPr>
          </w:p>
        </w:tc>
        <w:tc>
          <w:tcPr>
            <w:tcW w:w="886" w:type="dxa"/>
            <w:noWrap w:val="0"/>
            <w:tcMar>
              <w:top w:w="20" w:type="dxa"/>
              <w:left w:w="20" w:type="dxa"/>
              <w:bottom w:w="0" w:type="dxa"/>
              <w:right w:w="20" w:type="dxa"/>
            </w:tcMar>
            <w:vAlign w:val="center"/>
          </w:tcPr>
          <w:p w14:paraId="073ED855">
            <w:pPr>
              <w:spacing w:line="360" w:lineRule="auto"/>
              <w:jc w:val="center"/>
              <w:outlineLvl w:val="9"/>
              <w:rPr>
                <w:color w:val="auto"/>
                <w:szCs w:val="21"/>
              </w:rPr>
            </w:pPr>
          </w:p>
        </w:tc>
        <w:tc>
          <w:tcPr>
            <w:tcW w:w="985" w:type="dxa"/>
            <w:noWrap w:val="0"/>
            <w:tcMar>
              <w:top w:w="20" w:type="dxa"/>
              <w:left w:w="20" w:type="dxa"/>
              <w:bottom w:w="0" w:type="dxa"/>
              <w:right w:w="20" w:type="dxa"/>
            </w:tcMar>
            <w:vAlign w:val="center"/>
          </w:tcPr>
          <w:p w14:paraId="349023FC">
            <w:pPr>
              <w:spacing w:line="360" w:lineRule="auto"/>
              <w:jc w:val="center"/>
              <w:outlineLvl w:val="9"/>
              <w:rPr>
                <w:color w:val="auto"/>
                <w:szCs w:val="21"/>
              </w:rPr>
            </w:pPr>
          </w:p>
        </w:tc>
        <w:tc>
          <w:tcPr>
            <w:tcW w:w="984" w:type="dxa"/>
            <w:noWrap w:val="0"/>
            <w:tcMar>
              <w:top w:w="20" w:type="dxa"/>
              <w:left w:w="20" w:type="dxa"/>
              <w:bottom w:w="0" w:type="dxa"/>
              <w:right w:w="20" w:type="dxa"/>
            </w:tcMar>
            <w:vAlign w:val="center"/>
          </w:tcPr>
          <w:p w14:paraId="55DAF2EC">
            <w:pPr>
              <w:spacing w:line="360" w:lineRule="auto"/>
              <w:jc w:val="center"/>
              <w:outlineLvl w:val="9"/>
              <w:rPr>
                <w:color w:val="auto"/>
                <w:szCs w:val="21"/>
              </w:rPr>
            </w:pPr>
          </w:p>
        </w:tc>
        <w:tc>
          <w:tcPr>
            <w:tcW w:w="978" w:type="dxa"/>
            <w:noWrap w:val="0"/>
            <w:vAlign w:val="center"/>
          </w:tcPr>
          <w:p w14:paraId="52ECBA9C">
            <w:pPr>
              <w:spacing w:line="360" w:lineRule="auto"/>
              <w:jc w:val="center"/>
              <w:outlineLvl w:val="9"/>
              <w:rPr>
                <w:color w:val="auto"/>
                <w:szCs w:val="21"/>
              </w:rPr>
            </w:pPr>
          </w:p>
        </w:tc>
        <w:tc>
          <w:tcPr>
            <w:tcW w:w="580" w:type="dxa"/>
            <w:noWrap w:val="0"/>
            <w:tcMar>
              <w:top w:w="20" w:type="dxa"/>
              <w:left w:w="20" w:type="dxa"/>
              <w:bottom w:w="0" w:type="dxa"/>
              <w:right w:w="20" w:type="dxa"/>
            </w:tcMar>
            <w:vAlign w:val="center"/>
          </w:tcPr>
          <w:p w14:paraId="74D34E70">
            <w:pPr>
              <w:spacing w:line="360" w:lineRule="auto"/>
              <w:jc w:val="center"/>
              <w:outlineLvl w:val="9"/>
              <w:rPr>
                <w:color w:val="auto"/>
                <w:szCs w:val="21"/>
              </w:rPr>
            </w:pPr>
          </w:p>
        </w:tc>
      </w:tr>
      <w:tr w14:paraId="1E3D6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0DD30C46">
            <w:pPr>
              <w:spacing w:line="360" w:lineRule="auto"/>
              <w:jc w:val="center"/>
              <w:outlineLvl w:val="9"/>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14:paraId="68415090">
            <w:pPr>
              <w:spacing w:line="360" w:lineRule="auto"/>
              <w:jc w:val="left"/>
              <w:outlineLvl w:val="9"/>
              <w:rPr>
                <w:color w:val="auto"/>
                <w:szCs w:val="21"/>
              </w:rPr>
            </w:pPr>
            <w:r>
              <w:rPr>
                <w:color w:val="auto"/>
                <w:szCs w:val="21"/>
              </w:rPr>
              <w:t xml:space="preserve">大写： </w:t>
            </w:r>
          </w:p>
        </w:tc>
      </w:tr>
      <w:tr w14:paraId="77BE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0690F7DC">
            <w:pPr>
              <w:spacing w:line="360" w:lineRule="auto"/>
              <w:jc w:val="center"/>
              <w:outlineLvl w:val="9"/>
              <w:rPr>
                <w:color w:val="auto"/>
                <w:szCs w:val="21"/>
              </w:rPr>
            </w:pPr>
          </w:p>
        </w:tc>
        <w:tc>
          <w:tcPr>
            <w:tcW w:w="4413" w:type="dxa"/>
            <w:gridSpan w:val="5"/>
            <w:noWrap w:val="0"/>
            <w:tcMar>
              <w:top w:w="20" w:type="dxa"/>
              <w:left w:w="20" w:type="dxa"/>
              <w:bottom w:w="0" w:type="dxa"/>
              <w:right w:w="20" w:type="dxa"/>
            </w:tcMar>
            <w:vAlign w:val="center"/>
          </w:tcPr>
          <w:p w14:paraId="4FF19BDF">
            <w:pPr>
              <w:spacing w:line="360" w:lineRule="auto"/>
              <w:jc w:val="left"/>
              <w:outlineLvl w:val="9"/>
              <w:rPr>
                <w:color w:val="auto"/>
                <w:szCs w:val="21"/>
              </w:rPr>
            </w:pPr>
            <w:r>
              <w:rPr>
                <w:color w:val="auto"/>
                <w:szCs w:val="21"/>
              </w:rPr>
              <w:t>小写：   元</w:t>
            </w:r>
          </w:p>
        </w:tc>
      </w:tr>
    </w:tbl>
    <w:p w14:paraId="72D423E7">
      <w:pPr>
        <w:snapToGrid w:val="0"/>
        <w:spacing w:line="360" w:lineRule="auto"/>
        <w:ind w:firstLine="420" w:firstLineChars="200"/>
        <w:outlineLvl w:val="9"/>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6C6DC869">
      <w:pPr>
        <w:snapToGrid w:val="0"/>
        <w:spacing w:line="360" w:lineRule="auto"/>
        <w:ind w:firstLine="420" w:firstLineChars="200"/>
        <w:outlineLvl w:val="9"/>
        <w:rPr>
          <w:color w:val="auto"/>
          <w:szCs w:val="21"/>
        </w:rPr>
      </w:pPr>
      <w:r>
        <w:rPr>
          <w:color w:val="auto"/>
          <w:szCs w:val="21"/>
        </w:rPr>
        <w:t>1.3 合同总额为一次性包死价格，不受市场价格的变化和影响，在合同不发生变更时作为付款结算的依据。</w:t>
      </w:r>
    </w:p>
    <w:p w14:paraId="4049320B">
      <w:pPr>
        <w:snapToGrid w:val="0"/>
        <w:spacing w:line="360" w:lineRule="auto"/>
        <w:ind w:firstLine="420" w:firstLineChars="200"/>
        <w:outlineLvl w:val="9"/>
        <w:rPr>
          <w:color w:val="auto"/>
          <w:szCs w:val="21"/>
        </w:rPr>
      </w:pPr>
      <w:r>
        <w:rPr>
          <w:color w:val="auto"/>
          <w:szCs w:val="21"/>
        </w:rPr>
        <w:t>1.4 设备的技术参数要求</w:t>
      </w:r>
    </w:p>
    <w:p w14:paraId="1827B475">
      <w:pPr>
        <w:snapToGrid w:val="0"/>
        <w:spacing w:line="360" w:lineRule="auto"/>
        <w:ind w:firstLine="420" w:firstLineChars="200"/>
        <w:outlineLvl w:val="9"/>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D3A1C2A">
      <w:pPr>
        <w:snapToGrid w:val="0"/>
        <w:spacing w:line="360" w:lineRule="auto"/>
        <w:ind w:firstLine="420" w:firstLineChars="200"/>
        <w:outlineLvl w:val="9"/>
        <w:rPr>
          <w:color w:val="auto"/>
          <w:szCs w:val="21"/>
        </w:rPr>
      </w:pPr>
      <w:r>
        <w:rPr>
          <w:color w:val="auto"/>
          <w:szCs w:val="21"/>
        </w:rPr>
        <w:t>1.4.2乙方应向甲方提供有关标准的中文文本。</w:t>
      </w:r>
    </w:p>
    <w:p w14:paraId="35EEA317">
      <w:pPr>
        <w:snapToGrid w:val="0"/>
        <w:spacing w:line="360" w:lineRule="auto"/>
        <w:ind w:firstLine="420" w:firstLineChars="200"/>
        <w:outlineLvl w:val="9"/>
        <w:rPr>
          <w:color w:val="auto"/>
          <w:szCs w:val="21"/>
        </w:rPr>
      </w:pPr>
      <w:r>
        <w:rPr>
          <w:color w:val="auto"/>
          <w:szCs w:val="21"/>
        </w:rPr>
        <w:t>1.4.3除非技术规范中另有规定，计量单位均采用中华人民共和国法定计量单位。</w:t>
      </w:r>
    </w:p>
    <w:p w14:paraId="1DE8DC55">
      <w:pPr>
        <w:snapToGrid w:val="0"/>
        <w:spacing w:line="360" w:lineRule="auto"/>
        <w:ind w:firstLine="422" w:firstLineChars="200"/>
        <w:outlineLvl w:val="9"/>
        <w:rPr>
          <w:b/>
          <w:color w:val="auto"/>
          <w:szCs w:val="21"/>
        </w:rPr>
      </w:pPr>
      <w:r>
        <w:rPr>
          <w:b/>
          <w:color w:val="auto"/>
          <w:szCs w:val="21"/>
        </w:rPr>
        <w:t xml:space="preserve">2. 包装运输要求 </w:t>
      </w:r>
    </w:p>
    <w:p w14:paraId="6C07E5EF">
      <w:pPr>
        <w:spacing w:line="360" w:lineRule="auto"/>
        <w:ind w:left="105" w:firstLine="420" w:firstLineChars="200"/>
        <w:outlineLvl w:val="9"/>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ED66902">
      <w:pPr>
        <w:spacing w:line="360" w:lineRule="auto"/>
        <w:ind w:firstLine="422" w:firstLineChars="200"/>
        <w:outlineLvl w:val="9"/>
        <w:rPr>
          <w:b/>
          <w:color w:val="auto"/>
          <w:szCs w:val="21"/>
        </w:rPr>
      </w:pPr>
      <w:r>
        <w:rPr>
          <w:b/>
          <w:color w:val="auto"/>
          <w:szCs w:val="21"/>
        </w:rPr>
        <w:t>3.交货时间及交货地点</w:t>
      </w:r>
    </w:p>
    <w:p w14:paraId="3015731B">
      <w:pPr>
        <w:spacing w:line="360" w:lineRule="auto"/>
        <w:ind w:firstLine="420" w:firstLineChars="200"/>
        <w:outlineLvl w:val="9"/>
        <w:rPr>
          <w:color w:val="auto"/>
          <w:szCs w:val="21"/>
        </w:rPr>
      </w:pPr>
      <w:r>
        <w:rPr>
          <w:color w:val="auto"/>
          <w:szCs w:val="21"/>
        </w:rPr>
        <w:t>3.1本项目为交钥匙工程，乙方要提供整套合格产品，切实做好安全防护相关工作。产品交货、安装地点均为甲方指定地点。</w:t>
      </w:r>
    </w:p>
    <w:p w14:paraId="240A5096">
      <w:pPr>
        <w:spacing w:line="360" w:lineRule="auto"/>
        <w:ind w:firstLine="420" w:firstLineChars="200"/>
        <w:outlineLvl w:val="9"/>
        <w:rPr>
          <w:color w:val="auto"/>
          <w:szCs w:val="21"/>
        </w:rPr>
      </w:pPr>
      <w:r>
        <w:rPr>
          <w:color w:val="auto"/>
          <w:szCs w:val="21"/>
        </w:rPr>
        <w:t>3.2 合同签订后</w:t>
      </w:r>
      <w:r>
        <w:rPr>
          <w:color w:val="auto"/>
          <w:szCs w:val="21"/>
          <w:u w:val="single"/>
        </w:rPr>
        <w:t xml:space="preserve">     </w:t>
      </w:r>
      <w:r>
        <w:rPr>
          <w:color w:val="auto"/>
          <w:szCs w:val="21"/>
        </w:rPr>
        <w:t>个工作日内，乙方负责将产品运输到指定地点，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14:paraId="649A3DB8">
      <w:pPr>
        <w:spacing w:line="360" w:lineRule="auto"/>
        <w:ind w:firstLine="422" w:firstLineChars="200"/>
        <w:outlineLvl w:val="9"/>
        <w:rPr>
          <w:b/>
          <w:color w:val="auto"/>
          <w:szCs w:val="21"/>
        </w:rPr>
      </w:pPr>
      <w:r>
        <w:rPr>
          <w:b/>
          <w:color w:val="auto"/>
          <w:szCs w:val="21"/>
        </w:rPr>
        <w:t>4.产品质量保证</w:t>
      </w:r>
    </w:p>
    <w:p w14:paraId="2582DBDB">
      <w:pPr>
        <w:spacing w:line="360" w:lineRule="auto"/>
        <w:ind w:firstLine="420" w:firstLineChars="200"/>
        <w:outlineLvl w:val="9"/>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936F937">
      <w:pPr>
        <w:spacing w:line="360" w:lineRule="auto"/>
        <w:ind w:firstLine="420" w:firstLineChars="200"/>
        <w:outlineLvl w:val="9"/>
        <w:rPr>
          <w:color w:val="auto"/>
          <w:szCs w:val="21"/>
        </w:rPr>
      </w:pPr>
      <w:r>
        <w:rPr>
          <w:color w:val="auto"/>
          <w:szCs w:val="21"/>
        </w:rPr>
        <w:t>4.2 乙方提供的设备及配套产品必须等同于或优于合同技术指标要求，并能按国家标准供应、检测、调试，确保产品技术指标满足使用要求。</w:t>
      </w:r>
    </w:p>
    <w:p w14:paraId="2C5AE210">
      <w:pPr>
        <w:spacing w:line="360" w:lineRule="auto"/>
        <w:ind w:firstLine="420" w:firstLineChars="200"/>
        <w:outlineLvl w:val="9"/>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153449E">
      <w:pPr>
        <w:spacing w:line="360" w:lineRule="auto"/>
        <w:ind w:firstLine="420" w:firstLineChars="200"/>
        <w:outlineLvl w:val="9"/>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4F8490F">
      <w:pPr>
        <w:spacing w:line="360" w:lineRule="auto"/>
        <w:ind w:firstLine="420" w:firstLineChars="200"/>
        <w:outlineLvl w:val="9"/>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3C7767C">
      <w:pPr>
        <w:spacing w:line="360" w:lineRule="auto"/>
        <w:ind w:firstLine="420" w:firstLineChars="200"/>
        <w:outlineLvl w:val="9"/>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0956DF0">
      <w:pPr>
        <w:spacing w:line="360" w:lineRule="auto"/>
        <w:ind w:firstLine="422" w:firstLineChars="200"/>
        <w:outlineLvl w:val="9"/>
        <w:rPr>
          <w:b/>
          <w:color w:val="auto"/>
          <w:szCs w:val="21"/>
        </w:rPr>
      </w:pPr>
      <w:r>
        <w:rPr>
          <w:b/>
          <w:color w:val="auto"/>
          <w:szCs w:val="21"/>
        </w:rPr>
        <w:t>5.技术服务承诺</w:t>
      </w:r>
    </w:p>
    <w:p w14:paraId="1502F2A1">
      <w:pPr>
        <w:spacing w:line="360" w:lineRule="auto"/>
        <w:ind w:left="105" w:firstLine="315" w:firstLineChars="150"/>
        <w:outlineLvl w:val="9"/>
        <w:rPr>
          <w:color w:val="auto"/>
          <w:szCs w:val="21"/>
        </w:rPr>
      </w:pPr>
      <w:r>
        <w:rPr>
          <w:color w:val="auto"/>
          <w:szCs w:val="21"/>
        </w:rPr>
        <w:t>5.1乙方应严格按照供货时间，及时给甲方供货。</w:t>
      </w:r>
    </w:p>
    <w:p w14:paraId="3B490BCE">
      <w:pPr>
        <w:spacing w:line="360" w:lineRule="auto"/>
        <w:ind w:left="105" w:firstLine="315" w:firstLineChars="150"/>
        <w:outlineLvl w:val="9"/>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14:paraId="2080D17F">
      <w:pPr>
        <w:spacing w:line="360" w:lineRule="auto"/>
        <w:ind w:left="105" w:firstLine="315" w:firstLineChars="150"/>
        <w:outlineLvl w:val="9"/>
        <w:rPr>
          <w:b/>
          <w:color w:val="auto"/>
          <w:szCs w:val="21"/>
        </w:rPr>
      </w:pPr>
      <w:r>
        <w:rPr>
          <w:color w:val="auto"/>
          <w:szCs w:val="21"/>
        </w:rPr>
        <w:t>5.3人员培训：乙方终身免费为甲方培训设备使用人员，培训内容包括：设备操作、维护、简单维修等。</w:t>
      </w:r>
    </w:p>
    <w:p w14:paraId="64AEA690">
      <w:pPr>
        <w:spacing w:line="360" w:lineRule="auto"/>
        <w:ind w:firstLine="420" w:firstLineChars="200"/>
        <w:outlineLvl w:val="9"/>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14:paraId="60E08E81">
      <w:pPr>
        <w:spacing w:line="360" w:lineRule="auto"/>
        <w:ind w:firstLine="420" w:firstLineChars="200"/>
        <w:outlineLvl w:val="9"/>
        <w:rPr>
          <w:color w:val="auto"/>
          <w:szCs w:val="21"/>
        </w:rPr>
      </w:pPr>
      <w:r>
        <w:rPr>
          <w:color w:val="auto"/>
          <w:szCs w:val="21"/>
        </w:rPr>
        <w:t>5.5具体服务详见乙方投标文件中乙方的承诺书。</w:t>
      </w:r>
    </w:p>
    <w:p w14:paraId="226F238E">
      <w:pPr>
        <w:snapToGrid w:val="0"/>
        <w:spacing w:line="360" w:lineRule="auto"/>
        <w:ind w:firstLine="422" w:firstLineChars="200"/>
        <w:outlineLvl w:val="9"/>
        <w:rPr>
          <w:b/>
          <w:color w:val="auto"/>
          <w:szCs w:val="21"/>
        </w:rPr>
      </w:pPr>
      <w:r>
        <w:rPr>
          <w:b/>
          <w:color w:val="auto"/>
          <w:szCs w:val="21"/>
        </w:rPr>
        <w:t>6.验收方法及标准</w:t>
      </w:r>
    </w:p>
    <w:p w14:paraId="71EA0EAF">
      <w:pPr>
        <w:snapToGrid w:val="0"/>
        <w:spacing w:line="360" w:lineRule="auto"/>
        <w:ind w:firstLine="420" w:firstLineChars="200"/>
        <w:outlineLvl w:val="9"/>
        <w:rPr>
          <w:color w:val="auto"/>
          <w:szCs w:val="21"/>
        </w:rPr>
      </w:pPr>
      <w:r>
        <w:rPr>
          <w:color w:val="auto"/>
          <w:szCs w:val="21"/>
        </w:rPr>
        <w:t>6.1开箱验收</w:t>
      </w:r>
    </w:p>
    <w:p w14:paraId="6F2AC4B5">
      <w:pPr>
        <w:snapToGrid w:val="0"/>
        <w:spacing w:line="360" w:lineRule="auto"/>
        <w:ind w:firstLine="420" w:firstLineChars="200"/>
        <w:outlineLvl w:val="9"/>
        <w:rPr>
          <w:color w:val="auto"/>
          <w:szCs w:val="21"/>
        </w:rPr>
      </w:pPr>
      <w:r>
        <w:rPr>
          <w:color w:val="auto"/>
          <w:szCs w:val="21"/>
        </w:rPr>
        <w:t>6.1.1产品运抵现场后，双方应及时开箱验收，并制作验收记录，以确认与本合同约定的数量、型号等是否一致。</w:t>
      </w:r>
    </w:p>
    <w:p w14:paraId="4B31B9BE">
      <w:pPr>
        <w:snapToGrid w:val="0"/>
        <w:spacing w:line="360" w:lineRule="auto"/>
        <w:ind w:firstLine="420" w:firstLineChars="200"/>
        <w:outlineLvl w:val="9"/>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718BD116">
      <w:pPr>
        <w:snapToGrid w:val="0"/>
        <w:spacing w:line="360" w:lineRule="auto"/>
        <w:ind w:firstLine="420" w:firstLineChars="200"/>
        <w:outlineLvl w:val="9"/>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430E949C">
      <w:pPr>
        <w:snapToGrid w:val="0"/>
        <w:spacing w:line="360" w:lineRule="auto"/>
        <w:ind w:firstLine="420" w:firstLineChars="200"/>
        <w:outlineLvl w:val="9"/>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0B12C2A1">
      <w:pPr>
        <w:snapToGrid w:val="0"/>
        <w:spacing w:line="360" w:lineRule="auto"/>
        <w:ind w:firstLine="420" w:firstLineChars="200"/>
        <w:outlineLvl w:val="9"/>
        <w:rPr>
          <w:color w:val="auto"/>
          <w:szCs w:val="21"/>
        </w:rPr>
      </w:pPr>
      <w:r>
        <w:rPr>
          <w:color w:val="auto"/>
          <w:szCs w:val="21"/>
        </w:rPr>
        <w:t>6.2  检验验收</w:t>
      </w:r>
    </w:p>
    <w:p w14:paraId="3B2BE5D6">
      <w:pPr>
        <w:snapToGrid w:val="0"/>
        <w:spacing w:line="360" w:lineRule="auto"/>
        <w:ind w:firstLine="420" w:firstLineChars="200"/>
        <w:outlineLvl w:val="9"/>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14:paraId="67F601CF">
      <w:pPr>
        <w:snapToGrid w:val="0"/>
        <w:spacing w:line="360" w:lineRule="auto"/>
        <w:ind w:firstLine="420" w:firstLineChars="200"/>
        <w:outlineLvl w:val="9"/>
        <w:rPr>
          <w:color w:val="auto"/>
          <w:szCs w:val="21"/>
        </w:rPr>
      </w:pPr>
      <w:r>
        <w:rPr>
          <w:color w:val="auto"/>
          <w:szCs w:val="21"/>
        </w:rPr>
        <w:t>6.2.2 在具体实施合同规定的检验验收之前，乙方需提前提交相应的测试计划（包括测试程序、测试内容和检验标准、试验时间安排等）供甲方确认。</w:t>
      </w:r>
    </w:p>
    <w:p w14:paraId="050D618B">
      <w:pPr>
        <w:snapToGrid w:val="0"/>
        <w:spacing w:line="360" w:lineRule="auto"/>
        <w:ind w:firstLine="420" w:firstLineChars="200"/>
        <w:outlineLvl w:val="9"/>
        <w:rPr>
          <w:color w:val="auto"/>
          <w:szCs w:val="21"/>
        </w:rPr>
      </w:pPr>
      <w:r>
        <w:rPr>
          <w:color w:val="auto"/>
          <w:szCs w:val="21"/>
        </w:rPr>
        <w:t>6.2.3  除需甲方确认的试验验收外，乙方还应对所有检验验收测试的结果、步骤、原始数据等作妥善记录。如甲方要求，乙方应提供这些记录给甲方。</w:t>
      </w:r>
    </w:p>
    <w:p w14:paraId="660D4E92">
      <w:pPr>
        <w:snapToGrid w:val="0"/>
        <w:spacing w:line="360" w:lineRule="auto"/>
        <w:ind w:firstLine="420" w:firstLineChars="200"/>
        <w:outlineLvl w:val="9"/>
        <w:rPr>
          <w:color w:val="auto"/>
          <w:szCs w:val="21"/>
        </w:rPr>
      </w:pPr>
      <w:r>
        <w:rPr>
          <w:color w:val="auto"/>
          <w:szCs w:val="21"/>
        </w:rPr>
        <w:t>6.2.4  检验测试出现全部或部分未达到本合同所约定的技术指标，甲方有权选择下列任一处理方式：</w:t>
      </w:r>
    </w:p>
    <w:p w14:paraId="257BE25B">
      <w:pPr>
        <w:snapToGrid w:val="0"/>
        <w:spacing w:line="360" w:lineRule="auto"/>
        <w:ind w:firstLine="420" w:firstLineChars="200"/>
        <w:outlineLvl w:val="9"/>
        <w:rPr>
          <w:color w:val="auto"/>
          <w:szCs w:val="21"/>
        </w:rPr>
      </w:pPr>
      <w:r>
        <w:rPr>
          <w:color w:val="auto"/>
          <w:szCs w:val="21"/>
        </w:rPr>
        <w:t>a.重新测试直至合格为止；</w:t>
      </w:r>
    </w:p>
    <w:p w14:paraId="69B1AAC7">
      <w:pPr>
        <w:snapToGrid w:val="0"/>
        <w:spacing w:line="360" w:lineRule="auto"/>
        <w:ind w:firstLine="420" w:firstLineChars="200"/>
        <w:outlineLvl w:val="9"/>
        <w:rPr>
          <w:color w:val="auto"/>
          <w:szCs w:val="21"/>
        </w:rPr>
      </w:pPr>
      <w:r>
        <w:rPr>
          <w:color w:val="auto"/>
          <w:szCs w:val="21"/>
        </w:rPr>
        <w:t>b.要求乙方对货物进行免费更换，然后重新测试直至合格为止；</w:t>
      </w:r>
    </w:p>
    <w:p w14:paraId="3BBF92DB">
      <w:pPr>
        <w:snapToGrid w:val="0"/>
        <w:spacing w:line="360" w:lineRule="auto"/>
        <w:ind w:firstLine="420" w:firstLineChars="200"/>
        <w:outlineLvl w:val="9"/>
        <w:rPr>
          <w:color w:val="auto"/>
          <w:szCs w:val="21"/>
        </w:rPr>
      </w:pPr>
      <w:r>
        <w:rPr>
          <w:color w:val="auto"/>
          <w:szCs w:val="21"/>
        </w:rPr>
        <w:t>无论选择何种方式，甲方因此而发生的因乙方原因引起的所有费用均由乙方负担。</w:t>
      </w:r>
    </w:p>
    <w:p w14:paraId="2659D83A">
      <w:pPr>
        <w:snapToGrid w:val="0"/>
        <w:spacing w:line="360" w:lineRule="auto"/>
        <w:ind w:firstLine="420" w:firstLineChars="200"/>
        <w:outlineLvl w:val="9"/>
        <w:rPr>
          <w:color w:val="auto"/>
          <w:szCs w:val="21"/>
        </w:rPr>
      </w:pPr>
      <w:r>
        <w:rPr>
          <w:color w:val="auto"/>
          <w:szCs w:val="21"/>
        </w:rPr>
        <w:t>6.3  使用过程检验</w:t>
      </w:r>
    </w:p>
    <w:p w14:paraId="01D021CD">
      <w:pPr>
        <w:snapToGrid w:val="0"/>
        <w:spacing w:line="360" w:lineRule="auto"/>
        <w:ind w:firstLine="420" w:firstLineChars="200"/>
        <w:outlineLvl w:val="9"/>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DC1AAC1">
      <w:pPr>
        <w:snapToGrid w:val="0"/>
        <w:spacing w:line="360" w:lineRule="auto"/>
        <w:ind w:firstLine="420" w:firstLineChars="200"/>
        <w:outlineLvl w:val="9"/>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14:paraId="730041F6">
      <w:pPr>
        <w:snapToGrid w:val="0"/>
        <w:spacing w:line="360" w:lineRule="auto"/>
        <w:ind w:firstLine="420" w:firstLineChars="200"/>
        <w:outlineLvl w:val="9"/>
        <w:rPr>
          <w:color w:val="auto"/>
          <w:szCs w:val="21"/>
        </w:rPr>
      </w:pPr>
      <w:r>
        <w:rPr>
          <w:rFonts w:hint="eastAsia"/>
          <w:color w:val="auto"/>
          <w:szCs w:val="21"/>
        </w:rPr>
        <w:t>6.4  所有验收合格，但不能免除乙方应该承担的质保责任。</w:t>
      </w:r>
    </w:p>
    <w:p w14:paraId="2E21430A">
      <w:pPr>
        <w:snapToGrid w:val="0"/>
        <w:spacing w:line="360" w:lineRule="auto"/>
        <w:ind w:firstLine="422" w:firstLineChars="200"/>
        <w:outlineLvl w:val="9"/>
        <w:rPr>
          <w:b/>
          <w:color w:val="auto"/>
          <w:szCs w:val="21"/>
        </w:rPr>
      </w:pPr>
      <w:r>
        <w:rPr>
          <w:b/>
          <w:color w:val="auto"/>
          <w:szCs w:val="21"/>
        </w:rPr>
        <w:t>7.合同款项支付方式</w:t>
      </w:r>
    </w:p>
    <w:p w14:paraId="58DAA40F">
      <w:pPr>
        <w:snapToGrid w:val="0"/>
        <w:spacing w:line="360" w:lineRule="auto"/>
        <w:ind w:firstLine="420" w:firstLineChars="200"/>
        <w:outlineLvl w:val="9"/>
        <w:rPr>
          <w:color w:val="auto"/>
          <w:szCs w:val="21"/>
        </w:rPr>
      </w:pPr>
      <w:r>
        <w:rPr>
          <w:color w:val="auto"/>
          <w:szCs w:val="21"/>
        </w:rPr>
        <w:t>7.1履约保证金</w:t>
      </w:r>
    </w:p>
    <w:p w14:paraId="09E369F1">
      <w:pPr>
        <w:snapToGrid w:val="0"/>
        <w:spacing w:line="360" w:lineRule="auto"/>
        <w:ind w:firstLine="420" w:firstLineChars="200"/>
        <w:outlineLvl w:val="9"/>
        <w:rPr>
          <w:color w:val="auto"/>
          <w:szCs w:val="21"/>
        </w:rPr>
      </w:pPr>
      <w:r>
        <w:rPr>
          <w:color w:val="auto"/>
          <w:szCs w:val="21"/>
        </w:rPr>
        <w:t>7.1.1</w:t>
      </w:r>
      <w:r>
        <w:rPr>
          <w:rFonts w:hint="eastAsia"/>
          <w:color w:val="auto"/>
          <w:szCs w:val="21"/>
        </w:rPr>
        <w:t>合同签订前，乙方须向甲方提交合同总价的10%作为履约保证金；</w:t>
      </w:r>
    </w:p>
    <w:p w14:paraId="30659ABE">
      <w:pPr>
        <w:snapToGrid w:val="0"/>
        <w:spacing w:line="360" w:lineRule="auto"/>
        <w:ind w:firstLine="420" w:firstLineChars="200"/>
        <w:outlineLvl w:val="9"/>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14:paraId="71E773A3">
      <w:pPr>
        <w:snapToGrid w:val="0"/>
        <w:spacing w:line="360" w:lineRule="auto"/>
        <w:ind w:firstLine="420" w:firstLineChars="200"/>
        <w:outlineLvl w:val="9"/>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14:paraId="2E42A320">
      <w:pPr>
        <w:snapToGrid w:val="0"/>
        <w:spacing w:line="360" w:lineRule="auto"/>
        <w:ind w:firstLine="422" w:firstLineChars="200"/>
        <w:outlineLvl w:val="9"/>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1743BE20">
      <w:pPr>
        <w:snapToGrid w:val="0"/>
        <w:spacing w:line="360" w:lineRule="auto"/>
        <w:ind w:firstLine="422" w:firstLineChars="200"/>
        <w:outlineLvl w:val="9"/>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国产设备：（请在确定支付方式前面的</w:t>
      </w:r>
      <w:r>
        <w:rPr>
          <w:rFonts w:hint="default" w:ascii="Times New Roman" w:hAnsi="Times New Roman" w:eastAsia="宋体" w:cs="Times New Roman"/>
          <w:b/>
          <w:bCs/>
          <w:color w:val="auto"/>
          <w:szCs w:val="21"/>
          <w:lang w:val="en-US" w:eastAsia="zh-CN"/>
        </w:rPr>
        <w:t>“</w:t>
      </w:r>
      <w:r>
        <w:rPr>
          <w:rFonts w:hint="default" w:ascii="Times New Roman" w:hAnsi="Times New Roman" w:eastAsia="宋体" w:cs="Times New Roman"/>
          <w:b/>
          <w:bCs/>
          <w:color w:val="auto"/>
          <w:szCs w:val="21"/>
          <w:lang w:val="en-US" w:eastAsia="zh-CN"/>
        </w:rPr>
        <w:sym w:font="Wingdings 2" w:char="00A3"/>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内打</w:t>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w:t>
      </w:r>
    </w:p>
    <w:p w14:paraId="1433E853">
      <w:pPr>
        <w:snapToGrid w:val="0"/>
        <w:spacing w:line="360" w:lineRule="auto"/>
        <w:ind w:firstLine="422" w:firstLineChars="200"/>
        <w:outlineLvl w:val="9"/>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日前无法验收合格的项目）</w:t>
      </w:r>
    </w:p>
    <w:p w14:paraId="6A90006A">
      <w:pPr>
        <w:snapToGrid w:val="0"/>
        <w:spacing w:line="360" w:lineRule="auto"/>
        <w:ind w:firstLine="422" w:firstLineChars="200"/>
        <w:outlineLvl w:val="9"/>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合同签订前，乙方须在甲方指定的银行开立一般结算账户。合同签订后，甲方通过银行电汇付给乙方全额货款。</w:t>
      </w:r>
    </w:p>
    <w:p w14:paraId="76C198A3">
      <w:pPr>
        <w:snapToGrid w:val="0"/>
        <w:spacing w:line="360" w:lineRule="auto"/>
        <w:ind w:firstLine="422" w:firstLineChars="200"/>
        <w:outlineLvl w:val="9"/>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日前验收合格的项目）</w:t>
      </w:r>
    </w:p>
    <w:p w14:paraId="25A4FF9D">
      <w:pPr>
        <w:snapToGrid w:val="0"/>
        <w:spacing w:line="360" w:lineRule="auto"/>
        <w:ind w:firstLine="422" w:firstLineChars="200"/>
        <w:outlineLvl w:val="9"/>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w:t>
      </w:r>
    </w:p>
    <w:p w14:paraId="15A1F189">
      <w:pPr>
        <w:snapToGrid w:val="0"/>
        <w:spacing w:line="360" w:lineRule="auto"/>
        <w:ind w:firstLine="422" w:firstLineChars="200"/>
        <w:outlineLvl w:val="9"/>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进口设备：</w:t>
      </w:r>
    </w:p>
    <w:p w14:paraId="3B089CEE">
      <w:pPr>
        <w:snapToGrid w:val="0"/>
        <w:spacing w:line="360" w:lineRule="auto"/>
        <w:ind w:firstLine="422" w:firstLineChars="200"/>
        <w:outlineLvl w:val="9"/>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信用证，其中</w:t>
      </w:r>
      <w:r>
        <w:rPr>
          <w:rFonts w:hint="default" w:ascii="Times New Roman" w:hAnsi="Times New Roman" w:eastAsia="宋体" w:cs="Times New Roman"/>
          <w:b/>
          <w:bCs/>
          <w:color w:val="auto"/>
          <w:szCs w:val="21"/>
          <w:lang w:val="en-US" w:eastAsia="zh-CN"/>
        </w:rPr>
        <w:t>90%</w:t>
      </w:r>
      <w:r>
        <w:rPr>
          <w:rFonts w:hint="eastAsia" w:ascii="Times New Roman" w:hAnsi="Times New Roman" w:eastAsia="宋体" w:cs="Times New Roman"/>
          <w:b/>
          <w:bCs/>
          <w:color w:val="auto"/>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lang w:val="en-US" w:eastAsia="zh-CN"/>
        </w:rPr>
        <w:t>10%</w:t>
      </w:r>
      <w:r>
        <w:rPr>
          <w:rFonts w:hint="eastAsia" w:ascii="Times New Roman" w:hAnsi="Times New Roman" w:eastAsia="宋体" w:cs="Times New Roman"/>
          <w:b/>
          <w:bCs/>
          <w:color w:val="auto"/>
          <w:szCs w:val="21"/>
          <w:lang w:val="en-US" w:eastAsia="zh-CN"/>
        </w:rPr>
        <w:t>货款在设备验收合格后凭甲方签署的验收报告原件解付。</w:t>
      </w:r>
    </w:p>
    <w:p w14:paraId="32E80A67">
      <w:pPr>
        <w:snapToGrid w:val="0"/>
        <w:spacing w:line="360" w:lineRule="auto"/>
        <w:ind w:firstLine="420" w:firstLineChars="200"/>
        <w:outlineLvl w:val="9"/>
        <w:rPr>
          <w:color w:val="auto"/>
          <w:szCs w:val="21"/>
        </w:rPr>
      </w:pPr>
      <w:r>
        <w:rPr>
          <w:color w:val="auto"/>
          <w:szCs w:val="21"/>
        </w:rPr>
        <w:t>7.</w:t>
      </w:r>
      <w:r>
        <w:rPr>
          <w:rFonts w:hint="eastAsia"/>
          <w:color w:val="auto"/>
          <w:szCs w:val="21"/>
          <w:lang w:val="en-US" w:eastAsia="zh-CN"/>
        </w:rPr>
        <w:t>3</w:t>
      </w:r>
      <w:r>
        <w:rPr>
          <w:rFonts w:hint="eastAsia"/>
          <w:color w:val="auto"/>
          <w:szCs w:val="21"/>
        </w:rPr>
        <w:t>最终结算时，乙方须向甲方出具合同总价款的增值税专用发票。</w:t>
      </w:r>
    </w:p>
    <w:p w14:paraId="79A60A59">
      <w:pPr>
        <w:snapToGrid w:val="0"/>
        <w:spacing w:line="360" w:lineRule="auto"/>
        <w:ind w:firstLine="422" w:firstLineChars="200"/>
        <w:outlineLvl w:val="9"/>
        <w:rPr>
          <w:b/>
          <w:color w:val="auto"/>
          <w:szCs w:val="21"/>
        </w:rPr>
      </w:pPr>
      <w:r>
        <w:rPr>
          <w:b/>
          <w:color w:val="auto"/>
          <w:szCs w:val="21"/>
        </w:rPr>
        <w:t>8.安全生产和文明施工</w:t>
      </w:r>
    </w:p>
    <w:p w14:paraId="70FBF3D3">
      <w:pPr>
        <w:snapToGrid w:val="0"/>
        <w:spacing w:line="360" w:lineRule="auto"/>
        <w:ind w:firstLine="420" w:firstLineChars="200"/>
        <w:outlineLvl w:val="9"/>
        <w:rPr>
          <w:color w:val="auto"/>
          <w:szCs w:val="21"/>
        </w:rPr>
      </w:pPr>
      <w:r>
        <w:rPr>
          <w:color w:val="auto"/>
          <w:szCs w:val="21"/>
        </w:rPr>
        <w:t>8.1 现场安全文明施工由乙方编制专项详细方案并严格执行。</w:t>
      </w:r>
    </w:p>
    <w:p w14:paraId="6E32F3CA">
      <w:pPr>
        <w:snapToGrid w:val="0"/>
        <w:spacing w:line="360" w:lineRule="auto"/>
        <w:ind w:firstLine="420" w:firstLineChars="200"/>
        <w:outlineLvl w:val="9"/>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2CA72F7E">
      <w:pPr>
        <w:snapToGrid w:val="0"/>
        <w:spacing w:line="360" w:lineRule="auto"/>
        <w:ind w:firstLine="420" w:firstLineChars="200"/>
        <w:outlineLvl w:val="9"/>
        <w:rPr>
          <w:color w:val="auto"/>
          <w:szCs w:val="21"/>
        </w:rPr>
      </w:pPr>
      <w:r>
        <w:rPr>
          <w:color w:val="auto"/>
          <w:szCs w:val="21"/>
        </w:rPr>
        <w:t>8.3 在设备安装施工全过程中，乙方应服从甲方的各项管理，并对乙方施工人员进行安全管理。</w:t>
      </w:r>
    </w:p>
    <w:p w14:paraId="7054A734">
      <w:pPr>
        <w:snapToGrid w:val="0"/>
        <w:spacing w:line="360" w:lineRule="auto"/>
        <w:ind w:firstLine="420" w:firstLineChars="200"/>
        <w:outlineLvl w:val="9"/>
        <w:rPr>
          <w:color w:val="auto"/>
          <w:szCs w:val="21"/>
        </w:rPr>
      </w:pPr>
      <w:r>
        <w:rPr>
          <w:color w:val="auto"/>
          <w:szCs w:val="21"/>
        </w:rPr>
        <w:t>8.4 确保现场建筑物及相关设施设备完好无损，如施工过程中出现损坏，乙方负责修复赔偿。</w:t>
      </w:r>
    </w:p>
    <w:p w14:paraId="1BD4B13E">
      <w:pPr>
        <w:snapToGrid w:val="0"/>
        <w:spacing w:line="360" w:lineRule="auto"/>
        <w:ind w:firstLine="420" w:firstLineChars="200"/>
        <w:outlineLvl w:val="9"/>
        <w:rPr>
          <w:color w:val="auto"/>
          <w:szCs w:val="21"/>
        </w:rPr>
      </w:pPr>
      <w:r>
        <w:rPr>
          <w:color w:val="auto"/>
          <w:szCs w:val="21"/>
        </w:rPr>
        <w:t>8.5 乙方应对安装施工人员相关岗位上岗资格进行审查，并对相关后果负责。</w:t>
      </w:r>
    </w:p>
    <w:p w14:paraId="0CE5B38C">
      <w:pPr>
        <w:snapToGrid w:val="0"/>
        <w:spacing w:line="360" w:lineRule="auto"/>
        <w:ind w:firstLine="422" w:firstLineChars="200"/>
        <w:outlineLvl w:val="9"/>
        <w:rPr>
          <w:b/>
          <w:color w:val="auto"/>
          <w:szCs w:val="21"/>
        </w:rPr>
      </w:pPr>
      <w:r>
        <w:rPr>
          <w:b/>
          <w:color w:val="auto"/>
          <w:szCs w:val="21"/>
        </w:rPr>
        <w:t>9.索赔</w:t>
      </w:r>
    </w:p>
    <w:p w14:paraId="5F68FFC1">
      <w:pPr>
        <w:snapToGrid w:val="0"/>
        <w:spacing w:line="360" w:lineRule="auto"/>
        <w:ind w:firstLine="420" w:firstLineChars="200"/>
        <w:outlineLvl w:val="9"/>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0A7C3FB">
      <w:pPr>
        <w:snapToGrid w:val="0"/>
        <w:spacing w:line="360" w:lineRule="auto"/>
        <w:ind w:firstLine="420" w:firstLineChars="200"/>
        <w:outlineLvl w:val="9"/>
        <w:rPr>
          <w:color w:val="auto"/>
          <w:szCs w:val="21"/>
        </w:rPr>
      </w:pPr>
      <w:bookmarkStart w:id="5" w:name="_Ref467378076"/>
      <w:r>
        <w:rPr>
          <w:color w:val="auto"/>
          <w:szCs w:val="21"/>
        </w:rPr>
        <w:t>9.2在验收合格前，乙方对甲方提出的索赔负有责任，乙方应按照甲方同意的下列一种或多种方式解决索赔事宜：</w:t>
      </w:r>
      <w:bookmarkEnd w:id="5"/>
    </w:p>
    <w:p w14:paraId="36530B46">
      <w:pPr>
        <w:snapToGrid w:val="0"/>
        <w:spacing w:line="360" w:lineRule="auto"/>
        <w:ind w:firstLine="420" w:firstLineChars="200"/>
        <w:outlineLvl w:val="9"/>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569A3B3">
      <w:pPr>
        <w:snapToGrid w:val="0"/>
        <w:spacing w:line="360" w:lineRule="auto"/>
        <w:ind w:firstLine="420" w:firstLineChars="200"/>
        <w:outlineLvl w:val="9"/>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14:paraId="2C4862F0">
      <w:pPr>
        <w:snapToGrid w:val="0"/>
        <w:spacing w:line="360" w:lineRule="auto"/>
        <w:ind w:firstLine="420" w:firstLineChars="200"/>
        <w:outlineLvl w:val="9"/>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36C88F98">
      <w:pPr>
        <w:snapToGrid w:val="0"/>
        <w:spacing w:line="360" w:lineRule="auto"/>
        <w:ind w:firstLine="420" w:firstLineChars="200"/>
        <w:outlineLvl w:val="9"/>
        <w:rPr>
          <w:color w:val="auto"/>
          <w:szCs w:val="21"/>
        </w:rPr>
      </w:pPr>
      <w:bookmarkStart w:id="6" w:name="_Ref127159050"/>
      <w:r>
        <w:rPr>
          <w:color w:val="auto"/>
          <w:szCs w:val="21"/>
        </w:rPr>
        <w:t>9.3乙方收到甲方发出的索赔通知之日起5个工作日内未作答复的，甲方可从合同款或履约保证金中扣回索赔金额，如金额不足以补偿索赔金额，乙方应补足差额部分。</w:t>
      </w:r>
      <w:bookmarkEnd w:id="6"/>
    </w:p>
    <w:p w14:paraId="4DE99572">
      <w:pPr>
        <w:snapToGrid w:val="0"/>
        <w:spacing w:line="360" w:lineRule="auto"/>
        <w:ind w:firstLine="422" w:firstLineChars="200"/>
        <w:outlineLvl w:val="9"/>
        <w:rPr>
          <w:b/>
          <w:color w:val="auto"/>
          <w:szCs w:val="21"/>
        </w:rPr>
      </w:pPr>
      <w:r>
        <w:rPr>
          <w:b/>
          <w:color w:val="auto"/>
          <w:szCs w:val="21"/>
        </w:rPr>
        <w:t>10.违约责任</w:t>
      </w:r>
    </w:p>
    <w:p w14:paraId="4D943807">
      <w:pPr>
        <w:snapToGrid w:val="0"/>
        <w:spacing w:line="360" w:lineRule="auto"/>
        <w:ind w:firstLine="420" w:firstLineChars="200"/>
        <w:outlineLvl w:val="9"/>
        <w:rPr>
          <w:color w:val="auto"/>
          <w:szCs w:val="21"/>
        </w:rPr>
      </w:pPr>
      <w:r>
        <w:rPr>
          <w:color w:val="auto"/>
          <w:szCs w:val="21"/>
        </w:rPr>
        <w:t>10.1 合同生效后，甲乙双方应按合同规定认真履约。合同履约责任只涉及合同甲乙双方，不考虑第三方因素。</w:t>
      </w:r>
    </w:p>
    <w:p w14:paraId="28004E25">
      <w:pPr>
        <w:snapToGrid w:val="0"/>
        <w:spacing w:line="360" w:lineRule="auto"/>
        <w:ind w:firstLine="420" w:firstLineChars="200"/>
        <w:outlineLvl w:val="9"/>
        <w:rPr>
          <w:color w:val="auto"/>
          <w:szCs w:val="21"/>
        </w:rPr>
      </w:pPr>
      <w:r>
        <w:rPr>
          <w:color w:val="auto"/>
          <w:szCs w:val="21"/>
        </w:rPr>
        <w:t>10.2 除不可抗力原因外，如遇下列情况之一者，乙方所缴纳的履约</w:t>
      </w:r>
      <w:r>
        <w:rPr>
          <w:rFonts w:hint="eastAsia"/>
          <w:color w:val="auto"/>
          <w:szCs w:val="21"/>
          <w:lang w:val="en-US" w:eastAsia="zh-CN"/>
        </w:rPr>
        <w:t>保证</w:t>
      </w:r>
      <w:r>
        <w:rPr>
          <w:color w:val="auto"/>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0C1E9513">
      <w:pPr>
        <w:snapToGrid w:val="0"/>
        <w:spacing w:line="360" w:lineRule="auto"/>
        <w:ind w:firstLine="420" w:firstLineChars="200"/>
        <w:outlineLvl w:val="9"/>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14:paraId="4FEEE86D">
      <w:pPr>
        <w:snapToGrid w:val="0"/>
        <w:spacing w:line="360" w:lineRule="auto"/>
        <w:ind w:firstLine="420" w:firstLineChars="200"/>
        <w:outlineLvl w:val="9"/>
        <w:rPr>
          <w:color w:val="auto"/>
          <w:szCs w:val="21"/>
        </w:rPr>
      </w:pPr>
      <w:r>
        <w:rPr>
          <w:color w:val="auto"/>
          <w:szCs w:val="21"/>
        </w:rPr>
        <w:t>10.4 在合同规定的供货期内乙方未全部交货，除应如数补齐外，还应承担合同总款的10％违约金。</w:t>
      </w:r>
    </w:p>
    <w:p w14:paraId="24D0F23A">
      <w:pPr>
        <w:snapToGrid w:val="0"/>
        <w:spacing w:line="360" w:lineRule="auto"/>
        <w:ind w:firstLine="420" w:firstLineChars="200"/>
        <w:outlineLvl w:val="9"/>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14:paraId="6C1466EE">
      <w:pPr>
        <w:snapToGrid w:val="0"/>
        <w:spacing w:line="360" w:lineRule="auto"/>
        <w:ind w:firstLine="420" w:firstLineChars="200"/>
        <w:outlineLvl w:val="9"/>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747A4887">
      <w:pPr>
        <w:snapToGrid w:val="0"/>
        <w:spacing w:line="360" w:lineRule="auto"/>
        <w:ind w:firstLine="420" w:firstLineChars="200"/>
        <w:outlineLvl w:val="9"/>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CCB0A11">
      <w:pPr>
        <w:snapToGrid w:val="0"/>
        <w:spacing w:line="360" w:lineRule="auto"/>
        <w:ind w:firstLine="422" w:firstLineChars="200"/>
        <w:outlineLvl w:val="9"/>
        <w:rPr>
          <w:b/>
          <w:color w:val="auto"/>
          <w:szCs w:val="21"/>
        </w:rPr>
      </w:pPr>
      <w:r>
        <w:rPr>
          <w:b/>
          <w:color w:val="auto"/>
          <w:szCs w:val="21"/>
        </w:rPr>
        <w:t>11.合同争议的解决</w:t>
      </w:r>
    </w:p>
    <w:p w14:paraId="3475880C">
      <w:pPr>
        <w:snapToGrid w:val="0"/>
        <w:spacing w:line="360" w:lineRule="auto"/>
        <w:ind w:firstLine="420" w:firstLineChars="200"/>
        <w:outlineLvl w:val="9"/>
        <w:rPr>
          <w:color w:val="auto"/>
          <w:szCs w:val="21"/>
        </w:rPr>
      </w:pPr>
      <w:r>
        <w:rPr>
          <w:color w:val="auto"/>
          <w:szCs w:val="21"/>
        </w:rPr>
        <w:t>11.1甲乙双方由于本合同的履行而发生任何争议时，双方可先通过协商解决。</w:t>
      </w:r>
    </w:p>
    <w:p w14:paraId="39A2ACC2">
      <w:pPr>
        <w:snapToGrid w:val="0"/>
        <w:spacing w:line="360" w:lineRule="auto"/>
        <w:ind w:firstLine="420" w:firstLineChars="200"/>
        <w:outlineLvl w:val="9"/>
        <w:rPr>
          <w:color w:val="auto"/>
          <w:szCs w:val="21"/>
        </w:rPr>
      </w:pPr>
      <w:r>
        <w:rPr>
          <w:color w:val="auto"/>
          <w:szCs w:val="21"/>
        </w:rPr>
        <w:t>11.2任何一方不愿通过协商或通过协商仍不能解决争议，则双方中任何一方均应向甲方所在地人民法院起诉。</w:t>
      </w:r>
    </w:p>
    <w:p w14:paraId="36FFEA65">
      <w:pPr>
        <w:snapToGrid w:val="0"/>
        <w:spacing w:line="360" w:lineRule="auto"/>
        <w:ind w:firstLine="422" w:firstLineChars="200"/>
        <w:outlineLvl w:val="9"/>
        <w:rPr>
          <w:b/>
          <w:color w:val="auto"/>
          <w:szCs w:val="21"/>
        </w:rPr>
      </w:pPr>
      <w:r>
        <w:rPr>
          <w:b/>
          <w:color w:val="auto"/>
          <w:szCs w:val="21"/>
        </w:rPr>
        <w:t>12.违约解除合同</w:t>
      </w:r>
    </w:p>
    <w:p w14:paraId="03B019CB">
      <w:pPr>
        <w:spacing w:line="360" w:lineRule="auto"/>
        <w:ind w:firstLine="420" w:firstLineChars="200"/>
        <w:outlineLvl w:val="9"/>
        <w:rPr>
          <w:color w:val="auto"/>
          <w:szCs w:val="21"/>
        </w:rPr>
      </w:pPr>
      <w:r>
        <w:rPr>
          <w:color w:val="auto"/>
          <w:szCs w:val="21"/>
        </w:rPr>
        <w:t>12.1出现下列情形之一的，视为乙方违约。甲方可向乙方发出书面通知，部分或全部终止合同，同时保留向乙方索赔的权利。</w:t>
      </w:r>
    </w:p>
    <w:p w14:paraId="6A76EA9A">
      <w:pPr>
        <w:spacing w:line="360" w:lineRule="auto"/>
        <w:ind w:firstLine="420" w:firstLineChars="200"/>
        <w:outlineLvl w:val="9"/>
        <w:rPr>
          <w:color w:val="auto"/>
          <w:szCs w:val="21"/>
        </w:rPr>
      </w:pPr>
      <w:r>
        <w:rPr>
          <w:color w:val="auto"/>
          <w:szCs w:val="21"/>
        </w:rPr>
        <w:t xml:space="preserve">12.1.1乙方未能在合同规定的限期或甲方同意延长的限期内，提供全部或部分货物的； </w:t>
      </w:r>
    </w:p>
    <w:p w14:paraId="70149BC1">
      <w:pPr>
        <w:spacing w:line="360" w:lineRule="auto"/>
        <w:ind w:firstLine="420" w:firstLineChars="200"/>
        <w:outlineLvl w:val="9"/>
        <w:rPr>
          <w:color w:val="auto"/>
          <w:szCs w:val="21"/>
        </w:rPr>
      </w:pPr>
      <w:r>
        <w:rPr>
          <w:color w:val="auto"/>
          <w:szCs w:val="21"/>
        </w:rPr>
        <w:t>12.1.2乙方未能履行合同规定的其它主要义务的；</w:t>
      </w:r>
    </w:p>
    <w:p w14:paraId="57FCA591">
      <w:pPr>
        <w:spacing w:line="360" w:lineRule="auto"/>
        <w:ind w:firstLine="420" w:firstLineChars="200"/>
        <w:outlineLvl w:val="9"/>
        <w:rPr>
          <w:color w:val="auto"/>
          <w:szCs w:val="21"/>
        </w:rPr>
      </w:pPr>
      <w:r>
        <w:rPr>
          <w:color w:val="auto"/>
          <w:szCs w:val="21"/>
        </w:rPr>
        <w:t>12.1.3乙方在本合同履行过程中有欺诈行为的。</w:t>
      </w:r>
    </w:p>
    <w:p w14:paraId="59354B6D">
      <w:pPr>
        <w:spacing w:line="360" w:lineRule="auto"/>
        <w:ind w:firstLine="420" w:firstLineChars="200"/>
        <w:outlineLvl w:val="9"/>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C5C9F98">
      <w:pPr>
        <w:snapToGrid w:val="0"/>
        <w:spacing w:line="360" w:lineRule="auto"/>
        <w:ind w:firstLine="422" w:firstLineChars="200"/>
        <w:outlineLvl w:val="9"/>
        <w:rPr>
          <w:b/>
          <w:color w:val="auto"/>
          <w:szCs w:val="21"/>
        </w:rPr>
      </w:pPr>
      <w:r>
        <w:rPr>
          <w:b/>
          <w:color w:val="auto"/>
          <w:szCs w:val="21"/>
        </w:rPr>
        <w:t>13.其它事项</w:t>
      </w:r>
    </w:p>
    <w:p w14:paraId="37A67992">
      <w:pPr>
        <w:snapToGrid w:val="0"/>
        <w:spacing w:line="360" w:lineRule="auto"/>
        <w:ind w:firstLine="420" w:firstLineChars="200"/>
        <w:outlineLvl w:val="9"/>
        <w:rPr>
          <w:color w:val="auto"/>
          <w:szCs w:val="21"/>
        </w:rPr>
      </w:pPr>
      <w:r>
        <w:rPr>
          <w:color w:val="auto"/>
          <w:szCs w:val="21"/>
        </w:rPr>
        <w:t>13.1 合同经双方签字盖章后生效。本合同一式五份，甲方执四份，乙方执一份，执行完毕后自行失效。</w:t>
      </w:r>
    </w:p>
    <w:p w14:paraId="15486C5B">
      <w:pPr>
        <w:spacing w:line="360" w:lineRule="auto"/>
        <w:ind w:firstLine="411" w:firstLineChars="196"/>
        <w:outlineLvl w:val="9"/>
        <w:rPr>
          <w:color w:val="auto"/>
          <w:szCs w:val="21"/>
        </w:rPr>
      </w:pPr>
      <w:r>
        <w:rPr>
          <w:color w:val="auto"/>
          <w:szCs w:val="21"/>
        </w:rPr>
        <w:t>13.2 合同的附件、投标文件均作为本合同不可分割的内容，且具有同等法律效力。合同的附件由甲方使用单位负责审核并签章。</w:t>
      </w:r>
    </w:p>
    <w:p w14:paraId="5BDDEE0B">
      <w:pPr>
        <w:snapToGrid w:val="0"/>
        <w:spacing w:line="360" w:lineRule="auto"/>
        <w:ind w:firstLine="420" w:firstLineChars="200"/>
        <w:outlineLvl w:val="9"/>
        <w:rPr>
          <w:color w:val="auto"/>
          <w:szCs w:val="21"/>
        </w:rPr>
      </w:pPr>
      <w:r>
        <w:rPr>
          <w:color w:val="auto"/>
          <w:szCs w:val="21"/>
        </w:rPr>
        <w:t>13.3 在本合同执行过程中，甲、乙双方协商签订的补充合同与原合同具有同等法律效力。</w:t>
      </w:r>
    </w:p>
    <w:p w14:paraId="4E581458">
      <w:pPr>
        <w:snapToGrid w:val="0"/>
        <w:spacing w:line="360" w:lineRule="auto"/>
        <w:ind w:firstLine="420" w:firstLineChars="200"/>
        <w:outlineLvl w:val="9"/>
        <w:rPr>
          <w:color w:val="auto"/>
          <w:szCs w:val="21"/>
        </w:rPr>
      </w:pPr>
      <w:r>
        <w:rPr>
          <w:color w:val="auto"/>
          <w:szCs w:val="21"/>
        </w:rPr>
        <w:t>13.4 未尽事宜，双方协商解决。</w:t>
      </w:r>
    </w:p>
    <w:p w14:paraId="00796813">
      <w:pPr>
        <w:snapToGrid w:val="0"/>
        <w:spacing w:line="440" w:lineRule="exact"/>
        <w:ind w:firstLine="420" w:firstLineChars="200"/>
        <w:outlineLvl w:val="9"/>
        <w:rPr>
          <w:color w:val="auto"/>
          <w:szCs w:val="21"/>
        </w:rPr>
      </w:pPr>
    </w:p>
    <w:p w14:paraId="2BDA50BD">
      <w:pPr>
        <w:snapToGrid w:val="0"/>
        <w:spacing w:line="480" w:lineRule="exact"/>
        <w:outlineLvl w:val="9"/>
        <w:rPr>
          <w:b/>
          <w:color w:val="auto"/>
          <w:szCs w:val="21"/>
        </w:rPr>
      </w:pPr>
      <w:r>
        <w:rPr>
          <w:b/>
          <w:color w:val="auto"/>
          <w:szCs w:val="21"/>
        </w:rPr>
        <w:t>合同签订地点：西安建筑科技大学</w:t>
      </w:r>
    </w:p>
    <w:p w14:paraId="75067C4A">
      <w:pPr>
        <w:snapToGrid w:val="0"/>
        <w:spacing w:line="480" w:lineRule="exact"/>
        <w:outlineLvl w:val="9"/>
        <w:rPr>
          <w:b/>
          <w:color w:val="auto"/>
          <w:szCs w:val="21"/>
        </w:rPr>
      </w:pPr>
      <w:r>
        <w:rPr>
          <w:b/>
          <w:color w:val="auto"/>
          <w:szCs w:val="21"/>
        </w:rPr>
        <w:t>合同签订时间：      年    月    日</w:t>
      </w:r>
    </w:p>
    <w:p w14:paraId="7C62E540">
      <w:pPr>
        <w:snapToGrid w:val="0"/>
        <w:spacing w:line="480" w:lineRule="exact"/>
        <w:outlineLvl w:val="9"/>
        <w:rPr>
          <w:b/>
          <w:color w:val="auto"/>
          <w:szCs w:val="21"/>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0DF16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E967865">
            <w:pPr>
              <w:outlineLvl w:val="9"/>
              <w:rPr>
                <w:b/>
                <w:color w:val="auto"/>
                <w:szCs w:val="21"/>
              </w:rPr>
            </w:pPr>
            <w:r>
              <w:rPr>
                <w:b/>
                <w:color w:val="auto"/>
                <w:szCs w:val="21"/>
              </w:rPr>
              <w:t>甲  方（盖章）：西安建筑科技大学</w:t>
            </w:r>
          </w:p>
        </w:tc>
        <w:tc>
          <w:tcPr>
            <w:tcW w:w="4503" w:type="dxa"/>
            <w:noWrap w:val="0"/>
            <w:vAlign w:val="center"/>
          </w:tcPr>
          <w:p w14:paraId="1D7E3289">
            <w:pPr>
              <w:outlineLvl w:val="9"/>
              <w:rPr>
                <w:color w:val="auto"/>
                <w:szCs w:val="21"/>
              </w:rPr>
            </w:pPr>
            <w:r>
              <w:rPr>
                <w:b/>
                <w:color w:val="auto"/>
                <w:szCs w:val="21"/>
              </w:rPr>
              <w:t>乙  方（盖章）：</w:t>
            </w:r>
          </w:p>
        </w:tc>
      </w:tr>
      <w:tr w14:paraId="00A8B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8485276">
            <w:pPr>
              <w:outlineLvl w:val="9"/>
              <w:rPr>
                <w:color w:val="auto"/>
                <w:szCs w:val="21"/>
              </w:rPr>
            </w:pPr>
            <w:r>
              <w:rPr>
                <w:b/>
                <w:color w:val="auto"/>
                <w:szCs w:val="21"/>
              </w:rPr>
              <w:t>地  址：西安市雁塔路13号</w:t>
            </w:r>
          </w:p>
        </w:tc>
        <w:tc>
          <w:tcPr>
            <w:tcW w:w="4503" w:type="dxa"/>
            <w:noWrap w:val="0"/>
            <w:vAlign w:val="center"/>
          </w:tcPr>
          <w:p w14:paraId="7C1A963C">
            <w:pPr>
              <w:outlineLvl w:val="9"/>
              <w:rPr>
                <w:color w:val="auto"/>
                <w:szCs w:val="21"/>
              </w:rPr>
            </w:pPr>
            <w:r>
              <w:rPr>
                <w:b/>
                <w:color w:val="auto"/>
                <w:szCs w:val="21"/>
              </w:rPr>
              <w:t>地  址：</w:t>
            </w:r>
          </w:p>
        </w:tc>
      </w:tr>
      <w:tr w14:paraId="1AE18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0D4929">
            <w:pPr>
              <w:outlineLvl w:val="9"/>
              <w:rPr>
                <w:color w:val="auto"/>
                <w:szCs w:val="21"/>
              </w:rPr>
            </w:pPr>
            <w:r>
              <w:rPr>
                <w:b/>
                <w:color w:val="auto"/>
                <w:szCs w:val="21"/>
              </w:rPr>
              <w:t>法定代表人（签字）：</w:t>
            </w:r>
          </w:p>
        </w:tc>
        <w:tc>
          <w:tcPr>
            <w:tcW w:w="4503" w:type="dxa"/>
            <w:noWrap w:val="0"/>
            <w:vAlign w:val="center"/>
          </w:tcPr>
          <w:p w14:paraId="65237C3A">
            <w:pPr>
              <w:outlineLvl w:val="9"/>
              <w:rPr>
                <w:color w:val="auto"/>
                <w:szCs w:val="21"/>
              </w:rPr>
            </w:pPr>
            <w:r>
              <w:rPr>
                <w:b/>
                <w:color w:val="auto"/>
                <w:szCs w:val="21"/>
              </w:rPr>
              <w:t>法定代表人（签字）：</w:t>
            </w:r>
          </w:p>
        </w:tc>
      </w:tr>
      <w:tr w14:paraId="1A5E1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DB78F5C">
            <w:pPr>
              <w:outlineLvl w:val="9"/>
              <w:rPr>
                <w:color w:val="auto"/>
                <w:szCs w:val="21"/>
              </w:rPr>
            </w:pPr>
            <w:r>
              <w:rPr>
                <w:b/>
                <w:color w:val="auto"/>
                <w:szCs w:val="21"/>
              </w:rPr>
              <w:t>委托代理人（签字）：</w:t>
            </w:r>
          </w:p>
        </w:tc>
        <w:tc>
          <w:tcPr>
            <w:tcW w:w="4503" w:type="dxa"/>
            <w:noWrap w:val="0"/>
            <w:vAlign w:val="center"/>
          </w:tcPr>
          <w:p w14:paraId="4DF8876F">
            <w:pPr>
              <w:outlineLvl w:val="9"/>
              <w:rPr>
                <w:color w:val="auto"/>
                <w:szCs w:val="21"/>
              </w:rPr>
            </w:pPr>
            <w:r>
              <w:rPr>
                <w:b/>
                <w:color w:val="auto"/>
                <w:szCs w:val="21"/>
              </w:rPr>
              <w:t>委托代理人（签字）：</w:t>
            </w:r>
          </w:p>
        </w:tc>
      </w:tr>
      <w:tr w14:paraId="7D9E3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10F65AF">
            <w:pPr>
              <w:outlineLvl w:val="9"/>
              <w:rPr>
                <w:color w:val="auto"/>
                <w:szCs w:val="21"/>
              </w:rPr>
            </w:pPr>
            <w:r>
              <w:rPr>
                <w:b/>
                <w:color w:val="auto"/>
                <w:szCs w:val="21"/>
              </w:rPr>
              <w:t>开户名：西安建筑科技大学</w:t>
            </w:r>
          </w:p>
        </w:tc>
        <w:tc>
          <w:tcPr>
            <w:tcW w:w="4503" w:type="dxa"/>
            <w:noWrap w:val="0"/>
            <w:vAlign w:val="center"/>
          </w:tcPr>
          <w:p w14:paraId="6FFA1B92">
            <w:pPr>
              <w:outlineLvl w:val="9"/>
              <w:rPr>
                <w:color w:val="auto"/>
                <w:szCs w:val="21"/>
              </w:rPr>
            </w:pPr>
            <w:r>
              <w:rPr>
                <w:b/>
                <w:color w:val="auto"/>
                <w:szCs w:val="21"/>
              </w:rPr>
              <w:t>开户名：</w:t>
            </w:r>
          </w:p>
        </w:tc>
      </w:tr>
      <w:tr w14:paraId="2DB6B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7B36B9C">
            <w:pPr>
              <w:outlineLvl w:val="9"/>
              <w:rPr>
                <w:b/>
                <w:color w:val="auto"/>
                <w:szCs w:val="21"/>
              </w:rPr>
            </w:pPr>
            <w:r>
              <w:rPr>
                <w:b/>
                <w:color w:val="auto"/>
                <w:szCs w:val="21"/>
              </w:rPr>
              <w:t>开户行：工行雁塔路支行</w:t>
            </w:r>
          </w:p>
          <w:p w14:paraId="3713947B">
            <w:pPr>
              <w:outlineLvl w:val="9"/>
              <w:rPr>
                <w:color w:val="auto"/>
                <w:szCs w:val="21"/>
              </w:rPr>
            </w:pPr>
            <w:r>
              <w:rPr>
                <w:b/>
                <w:color w:val="auto"/>
                <w:szCs w:val="21"/>
              </w:rPr>
              <w:t>税  号: 1261000043523106XB</w:t>
            </w:r>
          </w:p>
        </w:tc>
        <w:tc>
          <w:tcPr>
            <w:tcW w:w="4503" w:type="dxa"/>
            <w:noWrap w:val="0"/>
            <w:vAlign w:val="center"/>
          </w:tcPr>
          <w:p w14:paraId="6AE571C5">
            <w:pPr>
              <w:outlineLvl w:val="9"/>
              <w:rPr>
                <w:color w:val="auto"/>
                <w:szCs w:val="21"/>
              </w:rPr>
            </w:pPr>
            <w:r>
              <w:rPr>
                <w:b/>
                <w:color w:val="auto"/>
                <w:szCs w:val="21"/>
              </w:rPr>
              <w:t>开户行：</w:t>
            </w:r>
          </w:p>
        </w:tc>
      </w:tr>
      <w:tr w14:paraId="296B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141953F">
            <w:pPr>
              <w:outlineLvl w:val="9"/>
              <w:rPr>
                <w:color w:val="auto"/>
                <w:szCs w:val="21"/>
              </w:rPr>
            </w:pPr>
            <w:r>
              <w:rPr>
                <w:b/>
                <w:color w:val="auto"/>
                <w:szCs w:val="21"/>
              </w:rPr>
              <w:t>帐  号：3700023009026400639</w:t>
            </w:r>
          </w:p>
        </w:tc>
        <w:tc>
          <w:tcPr>
            <w:tcW w:w="4503" w:type="dxa"/>
            <w:noWrap w:val="0"/>
            <w:vAlign w:val="center"/>
          </w:tcPr>
          <w:p w14:paraId="7580E020">
            <w:pPr>
              <w:outlineLvl w:val="9"/>
              <w:rPr>
                <w:color w:val="auto"/>
                <w:szCs w:val="21"/>
              </w:rPr>
            </w:pPr>
            <w:r>
              <w:rPr>
                <w:b/>
                <w:color w:val="auto"/>
                <w:szCs w:val="21"/>
              </w:rPr>
              <w:t>帐  号：</w:t>
            </w:r>
          </w:p>
        </w:tc>
      </w:tr>
      <w:tr w14:paraId="10ED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BF0123E">
            <w:pPr>
              <w:outlineLvl w:val="9"/>
              <w:rPr>
                <w:rFonts w:hint="eastAsia" w:eastAsia="宋体"/>
                <w:color w:val="auto"/>
                <w:szCs w:val="21"/>
                <w:lang w:val="en-US" w:eastAsia="zh-CN"/>
              </w:rPr>
            </w:pPr>
            <w:r>
              <w:rPr>
                <w:b/>
                <w:color w:val="auto"/>
                <w:szCs w:val="21"/>
              </w:rPr>
              <w:t>联系人：</w:t>
            </w:r>
            <w:r>
              <w:rPr>
                <w:color w:val="auto"/>
                <w:szCs w:val="21"/>
              </w:rPr>
              <w:t xml:space="preserve"> </w:t>
            </w:r>
          </w:p>
        </w:tc>
        <w:tc>
          <w:tcPr>
            <w:tcW w:w="4503" w:type="dxa"/>
            <w:noWrap w:val="0"/>
            <w:vAlign w:val="center"/>
          </w:tcPr>
          <w:p w14:paraId="194826CA">
            <w:pPr>
              <w:outlineLvl w:val="9"/>
              <w:rPr>
                <w:color w:val="auto"/>
                <w:szCs w:val="21"/>
              </w:rPr>
            </w:pPr>
            <w:r>
              <w:rPr>
                <w:b/>
                <w:color w:val="auto"/>
                <w:szCs w:val="21"/>
              </w:rPr>
              <w:t>联系人：</w:t>
            </w:r>
          </w:p>
        </w:tc>
      </w:tr>
      <w:tr w14:paraId="3906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FF3044C">
            <w:pPr>
              <w:outlineLvl w:val="9"/>
              <w:rPr>
                <w:color w:val="auto"/>
                <w:szCs w:val="21"/>
              </w:rPr>
            </w:pPr>
            <w:r>
              <w:rPr>
                <w:b/>
                <w:color w:val="auto"/>
                <w:szCs w:val="21"/>
              </w:rPr>
              <w:t>联系电话：</w:t>
            </w:r>
          </w:p>
        </w:tc>
        <w:tc>
          <w:tcPr>
            <w:tcW w:w="4503" w:type="dxa"/>
            <w:noWrap w:val="0"/>
            <w:vAlign w:val="center"/>
          </w:tcPr>
          <w:p w14:paraId="01F65FCE">
            <w:pPr>
              <w:outlineLvl w:val="9"/>
              <w:rPr>
                <w:color w:val="auto"/>
                <w:szCs w:val="21"/>
              </w:rPr>
            </w:pPr>
            <w:r>
              <w:rPr>
                <w:b/>
                <w:color w:val="auto"/>
                <w:szCs w:val="21"/>
              </w:rPr>
              <w:t>联系电话：</w:t>
            </w:r>
          </w:p>
        </w:tc>
      </w:tr>
    </w:tbl>
    <w:p w14:paraId="39C1A11F">
      <w:pPr>
        <w:ind w:firstLine="235" w:firstLineChars="98"/>
        <w:outlineLvl w:val="9"/>
        <w:rPr>
          <w:b/>
          <w:color w:val="auto"/>
          <w:sz w:val="32"/>
          <w:szCs w:val="32"/>
        </w:rPr>
      </w:pPr>
      <w:r>
        <w:rPr>
          <w:rFonts w:hint="eastAsia" w:ascii="宋体" w:hAnsi="宋体"/>
          <w:color w:val="auto"/>
          <w:sz w:val="24"/>
          <w:highlight w:val="none"/>
        </w:rPr>
        <w:br w:type="page"/>
      </w:r>
      <w:r>
        <w:rPr>
          <w:b/>
          <w:color w:val="auto"/>
          <w:sz w:val="32"/>
          <w:szCs w:val="32"/>
        </w:rPr>
        <w:t>附件：技术协议</w:t>
      </w:r>
    </w:p>
    <w:p w14:paraId="7868BEAE">
      <w:pPr>
        <w:spacing w:line="440" w:lineRule="exact"/>
        <w:outlineLvl w:val="9"/>
        <w:rPr>
          <w:b/>
          <w:color w:val="auto"/>
          <w:sz w:val="30"/>
          <w:szCs w:val="30"/>
        </w:rPr>
      </w:pPr>
      <w:bookmarkStart w:id="7" w:name="_Toc390373038"/>
      <w:bookmarkStart w:id="8" w:name="_Toc390360542"/>
      <w:r>
        <w:rPr>
          <w:b/>
          <w:color w:val="auto"/>
          <w:sz w:val="32"/>
          <w:szCs w:val="32"/>
        </w:rPr>
        <w:t>1.</w:t>
      </w:r>
      <w:r>
        <w:rPr>
          <w:b/>
          <w:color w:val="auto"/>
          <w:sz w:val="30"/>
          <w:szCs w:val="30"/>
        </w:rPr>
        <w:t>中标产品技术参数明细</w:t>
      </w:r>
    </w:p>
    <w:p w14:paraId="3EEA1977">
      <w:pPr>
        <w:spacing w:line="440" w:lineRule="exact"/>
        <w:outlineLvl w:val="9"/>
        <w:rPr>
          <w:b/>
          <w:color w:val="auto"/>
          <w:sz w:val="32"/>
          <w:szCs w:val="32"/>
        </w:rPr>
      </w:pPr>
      <w:r>
        <w:rPr>
          <w:color w:val="auto"/>
          <w:kern w:val="0"/>
          <w:szCs w:val="21"/>
        </w:rPr>
        <w:t>我公司承诺：合同中数列产品均满足标书及使用要求，无任何负偏离。并与所供产品完全一致。</w:t>
      </w:r>
    </w:p>
    <w:bookmarkEnd w:id="7"/>
    <w:bookmarkEnd w:id="8"/>
    <w:p w14:paraId="388045BC">
      <w:pPr>
        <w:spacing w:line="440" w:lineRule="exact"/>
        <w:outlineLvl w:val="9"/>
        <w:rPr>
          <w:rStyle w:val="6"/>
          <w:color w:val="auto"/>
          <w:szCs w:val="21"/>
        </w:rPr>
      </w:pPr>
      <w:r>
        <w:rPr>
          <w:rStyle w:val="6"/>
          <w:color w:val="auto"/>
          <w:szCs w:val="21"/>
        </w:rPr>
        <w:t>1.1设备特性</w:t>
      </w:r>
    </w:p>
    <w:p w14:paraId="4F539B4F">
      <w:pPr>
        <w:spacing w:line="440" w:lineRule="exact"/>
        <w:outlineLvl w:val="9"/>
        <w:rPr>
          <w:rStyle w:val="6"/>
          <w:color w:val="auto"/>
          <w:szCs w:val="21"/>
        </w:rPr>
      </w:pPr>
      <w:r>
        <w:rPr>
          <w:rStyle w:val="6"/>
          <w:color w:val="auto"/>
          <w:szCs w:val="21"/>
        </w:rPr>
        <w:t>1.2</w:t>
      </w:r>
      <w:r>
        <w:rPr>
          <w:b/>
          <w:color w:val="auto"/>
          <w:szCs w:val="21"/>
        </w:rPr>
        <w:t>设备用途</w:t>
      </w:r>
    </w:p>
    <w:p w14:paraId="460E4E4A">
      <w:pPr>
        <w:spacing w:line="440" w:lineRule="exact"/>
        <w:outlineLvl w:val="9"/>
        <w:rPr>
          <w:b/>
          <w:color w:val="auto"/>
          <w:szCs w:val="21"/>
        </w:rPr>
      </w:pPr>
      <w:r>
        <w:rPr>
          <w:b/>
          <w:color w:val="auto"/>
          <w:szCs w:val="21"/>
        </w:rPr>
        <w:t>1.3设备主要参数指标</w:t>
      </w:r>
    </w:p>
    <w:p w14:paraId="6C5ED0BB">
      <w:pPr>
        <w:spacing w:line="440" w:lineRule="exact"/>
        <w:outlineLvl w:val="9"/>
        <w:rPr>
          <w:b/>
          <w:color w:val="auto"/>
          <w:szCs w:val="21"/>
        </w:rPr>
      </w:pPr>
      <w:r>
        <w:rPr>
          <w:b/>
          <w:color w:val="auto"/>
          <w:szCs w:val="21"/>
        </w:rPr>
        <w:t>1.4质量要求与安全要求</w:t>
      </w:r>
    </w:p>
    <w:p w14:paraId="3309DB17">
      <w:pPr>
        <w:spacing w:line="440" w:lineRule="exact"/>
        <w:outlineLvl w:val="9"/>
        <w:rPr>
          <w:b/>
          <w:color w:val="auto"/>
          <w:szCs w:val="21"/>
        </w:rPr>
      </w:pPr>
      <w:r>
        <w:rPr>
          <w:b/>
          <w:color w:val="auto"/>
          <w:szCs w:val="21"/>
        </w:rPr>
        <w:t>1.5设备运行一般流程图</w:t>
      </w:r>
    </w:p>
    <w:p w14:paraId="033F6C4C">
      <w:pPr>
        <w:spacing w:line="440" w:lineRule="exact"/>
        <w:outlineLvl w:val="9"/>
        <w:rPr>
          <w:rStyle w:val="6"/>
          <w:bCs w:val="0"/>
          <w:color w:val="auto"/>
          <w:szCs w:val="21"/>
        </w:rPr>
      </w:pPr>
    </w:p>
    <w:p w14:paraId="3078DFE3">
      <w:pPr>
        <w:spacing w:line="440" w:lineRule="exact"/>
        <w:outlineLvl w:val="9"/>
        <w:rPr>
          <w:b/>
          <w:color w:val="auto"/>
          <w:sz w:val="30"/>
          <w:szCs w:val="30"/>
        </w:rPr>
      </w:pPr>
      <w:r>
        <w:rPr>
          <w:b/>
          <w:color w:val="auto"/>
          <w:sz w:val="30"/>
          <w:szCs w:val="30"/>
        </w:rPr>
        <w:t>2.售后服务内容</w:t>
      </w:r>
      <w:bookmarkStart w:id="9" w:name="_Toc390360557"/>
      <w:bookmarkStart w:id="10" w:name="_Toc390373053"/>
      <w:bookmarkStart w:id="11" w:name="_Toc373263358"/>
    </w:p>
    <w:bookmarkEnd w:id="9"/>
    <w:bookmarkEnd w:id="10"/>
    <w:bookmarkEnd w:id="11"/>
    <w:p w14:paraId="0A5E0A0D">
      <w:pPr>
        <w:spacing w:line="440" w:lineRule="exact"/>
        <w:outlineLvl w:val="9"/>
        <w:rPr>
          <w:b/>
          <w:color w:val="auto"/>
          <w:szCs w:val="21"/>
        </w:rPr>
      </w:pPr>
      <w:bookmarkStart w:id="12" w:name="_Toc390360558"/>
      <w:bookmarkStart w:id="13" w:name="_Toc373263359"/>
      <w:bookmarkStart w:id="14" w:name="_Toc390373054"/>
      <w:r>
        <w:rPr>
          <w:b/>
          <w:color w:val="auto"/>
          <w:szCs w:val="21"/>
        </w:rPr>
        <w:t>2.1技术服务、售后服务体系、故障响应时间、应急维修措施</w:t>
      </w:r>
      <w:bookmarkEnd w:id="12"/>
      <w:bookmarkEnd w:id="13"/>
      <w:bookmarkEnd w:id="14"/>
    </w:p>
    <w:p w14:paraId="558912A0">
      <w:pPr>
        <w:spacing w:line="440" w:lineRule="exact"/>
        <w:ind w:right="210" w:rightChars="100" w:firstLine="420" w:firstLineChars="200"/>
        <w:outlineLvl w:val="9"/>
        <w:rPr>
          <w:color w:val="auto"/>
          <w:szCs w:val="21"/>
        </w:rPr>
      </w:pPr>
      <w:r>
        <w:rPr>
          <w:color w:val="auto"/>
          <w:szCs w:val="21"/>
        </w:rPr>
        <w:t>2.1.1技术服务措施</w:t>
      </w:r>
    </w:p>
    <w:p w14:paraId="1C5DC912">
      <w:pPr>
        <w:spacing w:line="440" w:lineRule="exact"/>
        <w:ind w:right="210" w:rightChars="100" w:firstLine="420" w:firstLineChars="200"/>
        <w:outlineLvl w:val="9"/>
        <w:rPr>
          <w:color w:val="auto"/>
          <w:szCs w:val="21"/>
        </w:rPr>
      </w:pPr>
      <w:r>
        <w:rPr>
          <w:color w:val="auto"/>
          <w:szCs w:val="21"/>
        </w:rPr>
        <w:t>2.1.2售后服务体系</w:t>
      </w:r>
    </w:p>
    <w:p w14:paraId="6DA2D01E">
      <w:pPr>
        <w:spacing w:line="440" w:lineRule="exact"/>
        <w:ind w:firstLine="420" w:firstLineChars="200"/>
        <w:jc w:val="left"/>
        <w:outlineLvl w:val="9"/>
        <w:rPr>
          <w:color w:val="auto"/>
          <w:szCs w:val="21"/>
        </w:rPr>
      </w:pPr>
      <w:r>
        <w:rPr>
          <w:color w:val="auto"/>
          <w:szCs w:val="21"/>
        </w:rPr>
        <w:t>质保期内服务</w:t>
      </w:r>
    </w:p>
    <w:p w14:paraId="0D232E4B">
      <w:pPr>
        <w:spacing w:line="440" w:lineRule="exact"/>
        <w:ind w:firstLine="420" w:firstLineChars="200"/>
        <w:jc w:val="left"/>
        <w:outlineLvl w:val="9"/>
        <w:rPr>
          <w:color w:val="auto"/>
          <w:szCs w:val="21"/>
        </w:rPr>
      </w:pPr>
      <w:r>
        <w:rPr>
          <w:color w:val="auto"/>
          <w:szCs w:val="21"/>
        </w:rPr>
        <w:t>质保期外服务</w:t>
      </w:r>
    </w:p>
    <w:p w14:paraId="1A1618AD">
      <w:pPr>
        <w:spacing w:line="440" w:lineRule="exact"/>
        <w:ind w:right="210" w:rightChars="100" w:firstLine="420" w:firstLineChars="200"/>
        <w:outlineLvl w:val="9"/>
        <w:rPr>
          <w:color w:val="auto"/>
          <w:szCs w:val="21"/>
        </w:rPr>
      </w:pPr>
      <w:r>
        <w:rPr>
          <w:color w:val="auto"/>
          <w:szCs w:val="21"/>
        </w:rPr>
        <w:t>2.1.3故障响应时间</w:t>
      </w:r>
    </w:p>
    <w:p w14:paraId="02A21F45">
      <w:pPr>
        <w:spacing w:line="440" w:lineRule="exact"/>
        <w:ind w:right="210" w:rightChars="100" w:firstLine="420" w:firstLineChars="200"/>
        <w:outlineLvl w:val="9"/>
        <w:rPr>
          <w:color w:val="auto"/>
          <w:szCs w:val="21"/>
        </w:rPr>
      </w:pPr>
      <w:r>
        <w:rPr>
          <w:color w:val="auto"/>
          <w:szCs w:val="21"/>
        </w:rPr>
        <w:t>2.1.4应急维修措施</w:t>
      </w:r>
      <w:bookmarkStart w:id="15" w:name="_Toc390373055"/>
      <w:bookmarkStart w:id="16" w:name="_Toc373263360"/>
      <w:bookmarkStart w:id="17" w:name="_Toc390360559"/>
    </w:p>
    <w:p w14:paraId="62186A0F">
      <w:pPr>
        <w:spacing w:line="440" w:lineRule="exact"/>
        <w:ind w:right="210" w:rightChars="100" w:firstLine="420" w:firstLineChars="200"/>
        <w:outlineLvl w:val="9"/>
        <w:rPr>
          <w:color w:val="auto"/>
          <w:szCs w:val="21"/>
        </w:rPr>
      </w:pPr>
      <w:r>
        <w:rPr>
          <w:color w:val="auto"/>
          <w:szCs w:val="21"/>
        </w:rPr>
        <w:t>2.1.5易损件、备件的供应</w:t>
      </w:r>
    </w:p>
    <w:p w14:paraId="4C349F38">
      <w:pPr>
        <w:spacing w:line="440" w:lineRule="exact"/>
        <w:ind w:right="210" w:rightChars="100" w:firstLine="420" w:firstLineChars="200"/>
        <w:outlineLvl w:val="9"/>
        <w:rPr>
          <w:color w:val="auto"/>
          <w:szCs w:val="21"/>
        </w:rPr>
      </w:pPr>
      <w:r>
        <w:rPr>
          <w:color w:val="auto"/>
          <w:szCs w:val="21"/>
        </w:rPr>
        <w:t>2.1.6质保期以外技术支持或技术服务</w:t>
      </w:r>
    </w:p>
    <w:p w14:paraId="59026C46">
      <w:pPr>
        <w:spacing w:line="440" w:lineRule="exact"/>
        <w:ind w:right="210" w:rightChars="100" w:firstLine="420" w:firstLineChars="200"/>
        <w:outlineLvl w:val="9"/>
        <w:rPr>
          <w:color w:val="auto"/>
          <w:szCs w:val="21"/>
        </w:rPr>
      </w:pPr>
      <w:r>
        <w:rPr>
          <w:color w:val="auto"/>
          <w:szCs w:val="21"/>
        </w:rPr>
        <w:t>2.1.7制定切实可行的操作规程和使用指南</w:t>
      </w:r>
    </w:p>
    <w:p w14:paraId="06F0E10B">
      <w:pPr>
        <w:spacing w:line="440" w:lineRule="exact"/>
        <w:ind w:right="210" w:rightChars="100" w:firstLine="420" w:firstLineChars="200"/>
        <w:outlineLvl w:val="9"/>
        <w:rPr>
          <w:color w:val="auto"/>
          <w:szCs w:val="21"/>
        </w:rPr>
      </w:pPr>
    </w:p>
    <w:p w14:paraId="4155740F">
      <w:pPr>
        <w:spacing w:line="440" w:lineRule="exact"/>
        <w:outlineLvl w:val="9"/>
        <w:rPr>
          <w:b/>
          <w:color w:val="auto"/>
          <w:sz w:val="30"/>
          <w:szCs w:val="30"/>
        </w:rPr>
      </w:pPr>
      <w:r>
        <w:rPr>
          <w:b/>
          <w:color w:val="auto"/>
          <w:sz w:val="30"/>
          <w:szCs w:val="30"/>
        </w:rPr>
        <w:t>3.培训服务内容</w:t>
      </w:r>
    </w:p>
    <w:p w14:paraId="65D7BB86">
      <w:pPr>
        <w:spacing w:line="440" w:lineRule="exact"/>
        <w:ind w:right="210" w:rightChars="100"/>
        <w:outlineLvl w:val="9"/>
        <w:rPr>
          <w:b/>
          <w:color w:val="auto"/>
          <w:szCs w:val="21"/>
        </w:rPr>
      </w:pPr>
      <w:r>
        <w:rPr>
          <w:b/>
          <w:color w:val="auto"/>
          <w:szCs w:val="21"/>
        </w:rPr>
        <w:t>3.1培训方案</w:t>
      </w:r>
    </w:p>
    <w:p w14:paraId="397AA418">
      <w:pPr>
        <w:spacing w:line="440" w:lineRule="exact"/>
        <w:ind w:firstLine="420" w:firstLineChars="200"/>
        <w:outlineLvl w:val="9"/>
        <w:rPr>
          <w:color w:val="auto"/>
          <w:szCs w:val="21"/>
        </w:rPr>
      </w:pPr>
      <w:r>
        <w:rPr>
          <w:color w:val="auto"/>
          <w:szCs w:val="21"/>
        </w:rPr>
        <w:t>培训目标和要求</w:t>
      </w:r>
    </w:p>
    <w:p w14:paraId="76F21948">
      <w:pPr>
        <w:spacing w:line="440" w:lineRule="exact"/>
        <w:jc w:val="left"/>
        <w:outlineLvl w:val="9"/>
        <w:rPr>
          <w:b/>
          <w:color w:val="auto"/>
          <w:szCs w:val="21"/>
        </w:rPr>
      </w:pPr>
      <w:r>
        <w:rPr>
          <w:b/>
          <w:color w:val="auto"/>
          <w:szCs w:val="21"/>
        </w:rPr>
        <w:t>3.2培训对象</w:t>
      </w:r>
    </w:p>
    <w:p w14:paraId="18CFB351">
      <w:pPr>
        <w:spacing w:line="440" w:lineRule="exact"/>
        <w:outlineLvl w:val="9"/>
        <w:rPr>
          <w:b/>
          <w:color w:val="auto"/>
          <w:szCs w:val="21"/>
        </w:rPr>
      </w:pPr>
      <w:r>
        <w:rPr>
          <w:b/>
          <w:color w:val="auto"/>
          <w:szCs w:val="21"/>
        </w:rPr>
        <w:t>3.3培训方式</w:t>
      </w:r>
    </w:p>
    <w:p w14:paraId="7D1BFCA6">
      <w:pPr>
        <w:spacing w:line="440" w:lineRule="exact"/>
        <w:ind w:firstLine="420" w:firstLineChars="200"/>
        <w:outlineLvl w:val="9"/>
        <w:rPr>
          <w:color w:val="auto"/>
          <w:szCs w:val="21"/>
        </w:rPr>
      </w:pPr>
      <w:r>
        <w:rPr>
          <w:color w:val="auto"/>
          <w:szCs w:val="21"/>
        </w:rPr>
        <w:t>3.3.1系统使用培训：</w:t>
      </w:r>
    </w:p>
    <w:p w14:paraId="1EB5189E">
      <w:pPr>
        <w:spacing w:line="440" w:lineRule="exact"/>
        <w:ind w:firstLine="420" w:firstLineChars="200"/>
        <w:outlineLvl w:val="9"/>
        <w:rPr>
          <w:bCs/>
          <w:color w:val="auto"/>
          <w:szCs w:val="21"/>
        </w:rPr>
      </w:pPr>
      <w:r>
        <w:rPr>
          <w:bCs/>
          <w:color w:val="auto"/>
          <w:szCs w:val="21"/>
        </w:rPr>
        <w:t>3.3.2培训课程及培训人数：</w:t>
      </w:r>
    </w:p>
    <w:p w14:paraId="4900772E">
      <w:pPr>
        <w:spacing w:line="440" w:lineRule="exact"/>
        <w:ind w:firstLine="420" w:firstLineChars="200"/>
        <w:outlineLvl w:val="9"/>
        <w:rPr>
          <w:color w:val="auto"/>
          <w:szCs w:val="21"/>
        </w:rPr>
      </w:pPr>
      <w:r>
        <w:rPr>
          <w:color w:val="auto"/>
          <w:szCs w:val="21"/>
        </w:rPr>
        <w:t>3.3.3培训教师安排</w:t>
      </w:r>
    </w:p>
    <w:p w14:paraId="108125B6">
      <w:pPr>
        <w:spacing w:line="440" w:lineRule="exact"/>
        <w:ind w:firstLine="420" w:firstLineChars="200"/>
        <w:outlineLvl w:val="9"/>
        <w:rPr>
          <w:color w:val="auto"/>
          <w:szCs w:val="21"/>
        </w:rPr>
      </w:pPr>
      <w:r>
        <w:rPr>
          <w:color w:val="auto"/>
          <w:szCs w:val="21"/>
        </w:rPr>
        <w:t>3.3.4培训时间安排</w:t>
      </w:r>
    </w:p>
    <w:p w14:paraId="4AE77ADB">
      <w:pPr>
        <w:spacing w:line="440" w:lineRule="exact"/>
        <w:ind w:firstLine="420" w:firstLineChars="200"/>
        <w:outlineLvl w:val="9"/>
        <w:rPr>
          <w:color w:val="auto"/>
          <w:szCs w:val="21"/>
        </w:rPr>
      </w:pPr>
      <w:r>
        <w:rPr>
          <w:color w:val="auto"/>
          <w:szCs w:val="21"/>
        </w:rPr>
        <w:t>3.3.5培训及安全保证</w:t>
      </w:r>
    </w:p>
    <w:p w14:paraId="5E136AD5">
      <w:pPr>
        <w:pStyle w:val="3"/>
        <w:spacing w:after="0" w:line="440" w:lineRule="exact"/>
        <w:ind w:left="0" w:leftChars="0"/>
        <w:outlineLvl w:val="9"/>
        <w:rPr>
          <w:snapToGrid w:val="0"/>
          <w:color w:val="auto"/>
          <w:szCs w:val="21"/>
        </w:rPr>
      </w:pPr>
      <w:r>
        <w:rPr>
          <w:rFonts w:hint="eastAsia" w:ascii="宋体" w:hAnsi="宋体" w:cs="宋体"/>
          <w:snapToGrid w:val="0"/>
          <w:color w:val="auto"/>
          <w:szCs w:val="21"/>
        </w:rPr>
        <w:t>①</w:t>
      </w:r>
      <w:r>
        <w:rPr>
          <w:snapToGrid w:val="0"/>
          <w:color w:val="auto"/>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907D89B">
      <w:pPr>
        <w:spacing w:line="440" w:lineRule="exact"/>
        <w:ind w:firstLine="420" w:firstLineChars="200"/>
        <w:outlineLvl w:val="9"/>
        <w:rPr>
          <w:color w:val="auto"/>
          <w:szCs w:val="21"/>
        </w:rPr>
      </w:pPr>
      <w:r>
        <w:rPr>
          <w:rFonts w:hint="eastAsia" w:ascii="宋体" w:hAnsi="宋体" w:cs="宋体"/>
          <w:color w:val="auto"/>
          <w:szCs w:val="21"/>
        </w:rPr>
        <w:t>②</w:t>
      </w:r>
      <w:r>
        <w:rPr>
          <w:color w:val="auto"/>
          <w:szCs w:val="21"/>
        </w:rPr>
        <w:t xml:space="preserve"> 设备本体对可能造成伤害的部位均应采用防护板或防护网隔离并有醒目警示。</w:t>
      </w:r>
    </w:p>
    <w:p w14:paraId="21B15AF4">
      <w:pPr>
        <w:spacing w:line="440" w:lineRule="exact"/>
        <w:ind w:firstLine="420" w:firstLineChars="200"/>
        <w:outlineLvl w:val="9"/>
        <w:rPr>
          <w:color w:val="auto"/>
          <w:szCs w:val="21"/>
        </w:rPr>
      </w:pPr>
      <w:r>
        <w:rPr>
          <w:rFonts w:hint="eastAsia" w:ascii="宋体" w:hAnsi="宋体" w:cs="宋体"/>
          <w:color w:val="auto"/>
          <w:szCs w:val="21"/>
        </w:rPr>
        <w:t>③</w:t>
      </w:r>
      <w:r>
        <w:rPr>
          <w:color w:val="auto"/>
          <w:szCs w:val="21"/>
        </w:rPr>
        <w:t xml:space="preserve"> 所用电气元件均按照国标选配，确保稳定安全，符合三防要求。</w:t>
      </w:r>
    </w:p>
    <w:bookmarkEnd w:id="15"/>
    <w:bookmarkEnd w:id="16"/>
    <w:bookmarkEnd w:id="17"/>
    <w:p w14:paraId="2D94E8AA">
      <w:pPr>
        <w:spacing w:line="440" w:lineRule="exact"/>
        <w:ind w:right="210" w:rightChars="100" w:firstLine="420" w:firstLineChars="200"/>
        <w:outlineLvl w:val="9"/>
        <w:rPr>
          <w:color w:val="auto"/>
          <w:szCs w:val="21"/>
        </w:rPr>
      </w:pPr>
    </w:p>
    <w:p w14:paraId="727C6078">
      <w:pPr>
        <w:spacing w:line="440" w:lineRule="exact"/>
        <w:jc w:val="left"/>
        <w:outlineLvl w:val="9"/>
        <w:rPr>
          <w:color w:val="auto"/>
          <w:szCs w:val="21"/>
        </w:rPr>
      </w:pPr>
    </w:p>
    <w:p w14:paraId="7B244641">
      <w:pPr>
        <w:spacing w:line="440" w:lineRule="exact"/>
        <w:outlineLvl w:val="9"/>
        <w:rPr>
          <w:b/>
          <w:color w:val="auto"/>
          <w:szCs w:val="21"/>
        </w:rPr>
      </w:pPr>
    </w:p>
    <w:p w14:paraId="0E2B906C">
      <w:pPr>
        <w:spacing w:line="440" w:lineRule="exact"/>
        <w:outlineLvl w:val="9"/>
        <w:rPr>
          <w:b/>
          <w:color w:val="auto"/>
          <w:szCs w:val="21"/>
        </w:rPr>
      </w:pPr>
      <w:bookmarkStart w:id="18" w:name="_Toc346025578"/>
      <w:bookmarkStart w:id="19" w:name="_Toc345966650"/>
      <w:bookmarkStart w:id="20" w:name="_Toc345966825"/>
    </w:p>
    <w:p w14:paraId="52EB16B2">
      <w:pPr>
        <w:pStyle w:val="9"/>
        <w:numPr>
          <w:ilvl w:val="1"/>
          <w:numId w:val="1"/>
        </w:numPr>
        <w:spacing w:line="440" w:lineRule="exact"/>
        <w:ind w:left="0" w:firstLine="0" w:firstLineChars="0"/>
        <w:outlineLvl w:val="9"/>
        <w:rPr>
          <w:b/>
          <w:vanish/>
          <w:color w:val="auto"/>
          <w:szCs w:val="21"/>
        </w:rPr>
      </w:pPr>
    </w:p>
    <w:p w14:paraId="4366DAD6">
      <w:pPr>
        <w:pStyle w:val="9"/>
        <w:numPr>
          <w:ilvl w:val="1"/>
          <w:numId w:val="1"/>
        </w:numPr>
        <w:spacing w:line="440" w:lineRule="exact"/>
        <w:ind w:left="0" w:firstLine="0" w:firstLineChars="0"/>
        <w:outlineLvl w:val="9"/>
        <w:rPr>
          <w:b/>
          <w:vanish/>
          <w:color w:val="auto"/>
          <w:szCs w:val="21"/>
        </w:rPr>
      </w:pPr>
    </w:p>
    <w:p w14:paraId="710C44F5">
      <w:pPr>
        <w:pStyle w:val="9"/>
        <w:numPr>
          <w:ilvl w:val="1"/>
          <w:numId w:val="1"/>
        </w:numPr>
        <w:spacing w:line="440" w:lineRule="exact"/>
        <w:ind w:left="0" w:firstLine="0" w:firstLineChars="0"/>
        <w:outlineLvl w:val="9"/>
        <w:rPr>
          <w:b/>
          <w:vanish/>
          <w:color w:val="auto"/>
          <w:szCs w:val="21"/>
        </w:rPr>
      </w:pPr>
    </w:p>
    <w:p w14:paraId="0E4265A7">
      <w:pPr>
        <w:pStyle w:val="9"/>
        <w:numPr>
          <w:ilvl w:val="1"/>
          <w:numId w:val="1"/>
        </w:numPr>
        <w:spacing w:line="440" w:lineRule="exact"/>
        <w:ind w:left="0" w:firstLine="0" w:firstLineChars="0"/>
        <w:outlineLvl w:val="9"/>
        <w:rPr>
          <w:b/>
          <w:vanish/>
          <w:color w:val="auto"/>
          <w:szCs w:val="21"/>
        </w:rPr>
      </w:pPr>
    </w:p>
    <w:bookmarkEnd w:id="18"/>
    <w:bookmarkEnd w:id="19"/>
    <w:bookmarkEnd w:id="20"/>
    <w:p w14:paraId="0A45CA8E">
      <w:pPr>
        <w:spacing w:line="440" w:lineRule="exact"/>
        <w:outlineLvl w:val="9"/>
        <w:rPr>
          <w:color w:val="auto"/>
          <w:szCs w:val="21"/>
        </w:rPr>
      </w:pPr>
    </w:p>
    <w:p w14:paraId="0494979B">
      <w:pPr>
        <w:spacing w:line="440" w:lineRule="exact"/>
        <w:ind w:firstLine="420" w:firstLineChars="200"/>
        <w:outlineLvl w:val="9"/>
        <w:rPr>
          <w:color w:val="auto"/>
          <w:szCs w:val="21"/>
        </w:rPr>
      </w:pPr>
    </w:p>
    <w:p w14:paraId="3B7802F3">
      <w:pPr>
        <w:widowControl/>
        <w:spacing w:before="100" w:beforeAutospacing="1" w:after="100" w:afterAutospacing="1" w:line="320" w:lineRule="exact"/>
        <w:outlineLvl w:val="9"/>
        <w:rPr>
          <w:b/>
          <w:color w:val="auto"/>
          <w:sz w:val="24"/>
        </w:rPr>
      </w:pPr>
      <w:r>
        <w:rPr>
          <w:b/>
          <w:color w:val="auto"/>
          <w:sz w:val="24"/>
        </w:rPr>
        <w:t>甲方使用单位：西安建筑科技大学XX学院</w:t>
      </w:r>
      <w:r>
        <w:rPr>
          <w:b/>
          <w:color w:val="auto"/>
          <w:sz w:val="24"/>
        </w:rPr>
        <w:tab/>
      </w:r>
      <w:r>
        <w:rPr>
          <w:b/>
          <w:color w:val="auto"/>
          <w:sz w:val="24"/>
        </w:rPr>
        <w:t xml:space="preserve">          乙方： </w:t>
      </w:r>
    </w:p>
    <w:p w14:paraId="0CA0C4F3">
      <w:pPr>
        <w:outlineLvl w:val="9"/>
        <w:rPr>
          <w:b/>
          <w:color w:val="auto"/>
          <w:sz w:val="24"/>
        </w:rPr>
      </w:pPr>
    </w:p>
    <w:p w14:paraId="1CBCFE35">
      <w:pPr>
        <w:outlineLvl w:val="9"/>
        <w:rPr>
          <w:b/>
          <w:color w:val="auto"/>
          <w:sz w:val="24"/>
        </w:rPr>
      </w:pPr>
      <w:r>
        <w:rPr>
          <w:b/>
          <w:color w:val="auto"/>
          <w:sz w:val="24"/>
        </w:rPr>
        <w:t>负责人：                                        负责人：</w:t>
      </w:r>
    </w:p>
    <w:p w14:paraId="3F9507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D017B"/>
    <w:rsid w:val="220821C8"/>
    <w:rsid w:val="342931F0"/>
    <w:rsid w:val="4C4A5008"/>
    <w:rsid w:val="5CA73DB1"/>
    <w:rsid w:val="6A0F6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szCs w:val="20"/>
    </w:rPr>
  </w:style>
  <w:style w:type="character" w:styleId="6">
    <w:name w:val="Strong"/>
    <w:qFormat/>
    <w:uiPriority w:val="22"/>
    <w:rPr>
      <w:b/>
      <w:bCs/>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2024-11-22T10:41:39Z</dcterms:created>
  <dc:creator>Administrator</dc:creator>
  <cp:lastModifiedBy>important</cp:lastModifiedBy>
  <dcterms:modified xsi:type="dcterms:W3CDTF">2024-11-22T10:41:54Z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F1822D3A05D24208AFA6D5C044D2F2F6_12</vt:lpwstr>
  </property>
</Properties>
</file>