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交通数据可视化平台设备采购项目</w:t>
      </w:r>
    </w:p>
    <w:p>
      <w:pPr>
        <w:pStyle w:val="null3"/>
        <w:jc w:val="center"/>
        <w:outlineLvl w:val="2"/>
      </w:pPr>
      <w:r>
        <w:rPr>
          <w:sz w:val="28"/>
          <w:b/>
        </w:rPr>
        <w:t>采购项目编号：</w:t>
      </w:r>
      <w:r>
        <w:rPr>
          <w:sz w:val="28"/>
          <w:b/>
        </w:rPr>
        <w:t>SXWZ2024ZB-XJD-310</w:t>
      </w:r>
      <w:r>
        <w:br/>
      </w:r>
      <w:r>
        <w:br/>
      </w:r>
      <w:r>
        <w:br/>
      </w:r>
    </w:p>
    <w:p>
      <w:pPr>
        <w:pStyle w:val="null3"/>
        <w:jc w:val="center"/>
        <w:outlineLvl w:val="2"/>
      </w:pPr>
      <w:r>
        <w:rPr>
          <w:sz w:val="28"/>
          <w:b/>
        </w:rPr>
        <w:t>西安建筑科技大学</w:t>
      </w:r>
    </w:p>
    <w:p>
      <w:pPr>
        <w:pStyle w:val="null3"/>
        <w:jc w:val="center"/>
        <w:outlineLvl w:val="2"/>
      </w:pPr>
      <w:r>
        <w:rPr>
          <w:sz w:val="28"/>
          <w:b/>
        </w:rPr>
        <w:t>陕西万泽招标有限公司</w:t>
      </w:r>
      <w:r>
        <w:rPr>
          <w:sz w:val="28"/>
          <w:b/>
        </w:rPr>
        <w:t>共同编制</w:t>
      </w:r>
    </w:p>
    <w:p>
      <w:pPr>
        <w:pStyle w:val="null3"/>
        <w:jc w:val="center"/>
        <w:outlineLvl w:val="2"/>
      </w:pPr>
      <w:r>
        <w:rPr>
          <w:sz w:val="28"/>
          <w:b/>
        </w:rPr>
        <w:t>2024年11月22日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陕西万泽招标有限公司</w:t>
      </w:r>
      <w:r>
        <w:rPr/>
        <w:t>（以下简称“代理机构”）受</w:t>
      </w:r>
      <w:r>
        <w:rPr/>
        <w:t>西安建筑科技大学</w:t>
      </w:r>
      <w:r>
        <w:rPr/>
        <w:t>委托，拟对</w:t>
      </w:r>
      <w:r>
        <w:rPr/>
        <w:t>交通数据可视化平台设备采购项目</w:t>
      </w:r>
      <w:r>
        <w:rPr/>
        <w:t>进行国内公开招标，兹邀请符合本次招标要求的供应商参加投标。</w:t>
      </w:r>
    </w:p>
    <w:p>
      <w:pPr>
        <w:pStyle w:val="null3"/>
        <w:outlineLvl w:val="2"/>
      </w:pPr>
      <w:r>
        <w:rPr>
          <w:sz w:val="28"/>
          <w:b/>
        </w:rPr>
        <w:t>一、采购项目编号：</w:t>
      </w:r>
      <w:r>
        <w:rPr>
          <w:sz w:val="28"/>
          <w:b/>
        </w:rPr>
        <w:t>SXWZ2024ZB-XJD-310</w:t>
      </w:r>
    </w:p>
    <w:p>
      <w:pPr>
        <w:pStyle w:val="null3"/>
        <w:outlineLvl w:val="2"/>
      </w:pPr>
      <w:r>
        <w:rPr>
          <w:sz w:val="28"/>
          <w:b/>
        </w:rPr>
        <w:t>二、采购项目名称：</w:t>
      </w:r>
      <w:r>
        <w:rPr>
          <w:sz w:val="28"/>
          <w:b/>
        </w:rPr>
        <w:t>交通数据可视化平台设备采购项目</w:t>
      </w:r>
    </w:p>
    <w:p>
      <w:pPr>
        <w:pStyle w:val="null3"/>
        <w:outlineLvl w:val="2"/>
      </w:pPr>
      <w:r>
        <w:rPr>
          <w:sz w:val="28"/>
          <w:b/>
        </w:rPr>
        <w:t>三、招标项目简介</w:t>
      </w:r>
    </w:p>
    <w:p>
      <w:pPr>
        <w:pStyle w:val="null3"/>
        <w:ind w:firstLine="480"/>
      </w:pPr>
      <w:r>
        <w:rPr/>
        <w:t>西安建筑科技大学交通数据可视化平台设备采购项目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1、投标主体：具有独立承担民事责任能力的法人、其他组织或自然人，并出具合法有效的营业执照或事业单位法人证书等国家规定的相关证明，自然人参与的提供其身份证明。</w:t>
      </w:r>
    </w:p>
    <w:p>
      <w:pPr>
        <w:pStyle w:val="null3"/>
      </w:pPr>
      <w:r>
        <w:rPr/>
        <w:t>2、社会保障资金缴纳证明：投标人须提供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t>3、税收缴纳证明：投标人须提供2024年1月至今已缴纳的至少一个月纳税证明或完税证明，依法免税的单位应提供相关证明材料。（以税款所属期限为准）</w:t>
      </w:r>
    </w:p>
    <w:p>
      <w:pPr>
        <w:pStyle w:val="null3"/>
      </w:pPr>
      <w:r>
        <w:rPr/>
        <w:t>4、财务状况证明：提供经会计师事务所审计的2023年财务审计报告，或在开标日期前六个月内其基本开户银行出具的资信证明。</w:t>
      </w:r>
    </w:p>
    <w:p>
      <w:pPr>
        <w:pStyle w:val="null3"/>
      </w:pPr>
      <w:r>
        <w:rPr/>
        <w:t>5、书面声明：投标人应出具参加本次政府采购活动前3年内在经营活动中没有重大违法违纪，以及未被列入失信被执行人、重大税收违法案件当事人名单、政府采购严重违法失信行为记录名单的书面声明。</w:t>
      </w:r>
    </w:p>
    <w:p>
      <w:pPr>
        <w:pStyle w:val="null3"/>
      </w:pPr>
      <w:r>
        <w:rPr/>
        <w:t>6、法定代表人或授权代表：非法定代表人参加投标，须提供法定代表人授权委托书及被授权人身份证原件；法定代表人参加投标时,只须提供法定代表人身份证原件。</w:t>
      </w:r>
    </w:p>
    <w:p>
      <w:pPr>
        <w:pStyle w:val="null3"/>
      </w:pPr>
      <w:r>
        <w:rPr/>
        <w:t>7、特殊资质证书：投标人具有电子与智能化工程专业承包二级及以上资质。</w:t>
      </w:r>
    </w:p>
    <w:p>
      <w:pPr>
        <w:pStyle w:val="null3"/>
      </w:pPr>
      <w:r>
        <w:rPr/>
        <w:t>8、是否联合体投标：本项目不接受联合体参与。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西安建筑科技大学 闫老师</w:t>
      </w:r>
    </w:p>
    <w:p>
      <w:pPr>
        <w:pStyle w:val="null3"/>
      </w:pPr>
      <w:r>
        <w:rPr/>
        <w:t xml:space="preserve"> 联系电话： </w:t>
      </w:r>
      <w:r>
        <w:rPr/>
        <w:t>029-82201427</w:t>
      </w:r>
    </w:p>
    <w:p>
      <w:pPr>
        <w:pStyle w:val="null3"/>
        <w:outlineLvl w:val="2"/>
      </w:pPr>
      <w:r>
        <w:rPr>
          <w:sz w:val="28"/>
          <w:b/>
        </w:rPr>
        <w:t>代理机构：</w:t>
      </w:r>
      <w:r>
        <w:rPr>
          <w:sz w:val="28"/>
          <w:b/>
        </w:rPr>
        <w:t>陕西万泽招标有限公司</w:t>
      </w:r>
    </w:p>
    <w:p>
      <w:pPr>
        <w:pStyle w:val="null3"/>
      </w:pPr>
      <w:r>
        <w:rPr/>
        <w:t xml:space="preserve"> 地址： </w:t>
      </w:r>
      <w:r>
        <w:rPr/>
        <w:t>陕西省西安市高新区唐延路35号旺座现代城C座 2502室</w:t>
      </w:r>
    </w:p>
    <w:p>
      <w:pPr>
        <w:pStyle w:val="null3"/>
      </w:pPr>
      <w:r>
        <w:rPr/>
        <w:t xml:space="preserve"> 邮编： </w:t>
      </w:r>
      <w:r>
        <w:rPr/>
        <w:t>710065</w:t>
      </w:r>
    </w:p>
    <w:p>
      <w:pPr>
        <w:pStyle w:val="null3"/>
      </w:pPr>
      <w:r>
        <w:rPr/>
        <w:t xml:space="preserve"> 联系人： </w:t>
      </w:r>
      <w:r>
        <w:rPr/>
        <w:t>招标二部 崔方明 刘嘉辉 王增辉</w:t>
      </w:r>
    </w:p>
    <w:p>
      <w:pPr>
        <w:pStyle w:val="null3"/>
      </w:pPr>
      <w:r>
        <w:rPr/>
        <w:t xml:space="preserve"> 联系电话： </w:t>
      </w:r>
      <w:r>
        <w:rPr/>
        <w:t>029-88319689-8004</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采购包1：4,200,000.00元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采购包1保证金金额：70,000.00元</w:t>
            </w:r>
          </w:p>
          <w:p>
            <w:pPr>
              <w:pStyle w:val="null3"/>
            </w:pPr>
            <w:r>
              <w:rPr/>
              <w:t>缴交渠道：转账、支票、汇票等（需通过实体账户、户名及开户行信息）</w:t>
            </w:r>
          </w:p>
          <w:p>
            <w:pPr>
              <w:pStyle w:val="null3"/>
            </w:pPr>
            <w:r>
              <w:rPr/>
              <w:t>开户名称：陕西万泽招标有限公司</w:t>
            </w:r>
          </w:p>
          <w:p>
            <w:pPr>
              <w:pStyle w:val="null3"/>
            </w:pPr>
            <w:r>
              <w:rPr/>
              <w:t>开户银行：招商银行西安枫林绿洲支行</w:t>
            </w:r>
          </w:p>
          <w:p>
            <w:pPr>
              <w:pStyle w:val="null3"/>
            </w:pPr>
            <w:r>
              <w:rPr/>
              <w:t>银行账号：129906492210000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说明：1、合同签订前，乙方须向甲方提交合同总价的10%作为履约保证金； 2、履约保证金应使用人民币，按汇款或现金方式提交； 3、设备到货并由甲方验收合格后，乙方申请，甲方应把履约保证金（无息）退还乙方。</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代理服务费收费标准：参照国家发展与改革委员会《招标代理服务收费暂行办法》（计价格[2002]1980 号）文件规定标准75%计取。招标代理服务费交纳信息： 银行户名：陕西万泽招标有限公司 开户银行：西安银行股份有限公司朝阳门支行 账号：211011580000015489</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西安建筑科技大学</w:t>
      </w:r>
      <w:r>
        <w:rPr/>
        <w:t>和</w:t>
      </w:r>
      <w:r>
        <w:rPr/>
        <w:t>陕西万泽招标有限公司</w:t>
      </w:r>
      <w:r>
        <w:rPr/>
        <w:t>享有。对招标文件中供应商参加本次政府采购活动应当具备的条件，招标项目技术、服务、商务及其他要求，评标细则及标准由</w:t>
      </w:r>
      <w:r>
        <w:rPr/>
        <w:t>西安建筑科技大学</w:t>
      </w:r>
      <w:r>
        <w:rPr/>
        <w:t>负责解释。除上述招标文件内容，其他内容由</w:t>
      </w:r>
      <w:r>
        <w:rPr/>
        <w:t>陕西万泽招标有限公司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西安建筑科技大学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陕西万泽招标有限公司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文件及合同约定。</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陕西万泽招标有限公司</w:t>
      </w:r>
      <w:r>
        <w:rPr/>
        <w:t xml:space="preserve"> 负责答复；供应商对除采购需求外的采购文件的询问、质疑由</w:t>
      </w:r>
      <w:r>
        <w:rPr/>
        <w:t>陕西万泽招标有限公司</w:t>
      </w:r>
      <w:r>
        <w:rPr/>
        <w:t xml:space="preserve"> 负责答复；供应商对采购过程、采购结果的询问、质疑由 </w:t>
      </w:r>
      <w:r>
        <w:rPr/>
        <w:t>陕西万泽招标有限公司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联系人：招标二部 崔方明 刘嘉辉 王增辉</w:t>
      </w:r>
    </w:p>
    <w:p>
      <w:pPr>
        <w:pStyle w:val="null3"/>
      </w:pPr>
      <w:r>
        <w:rPr/>
        <w:t>联系电话：029-88319689-8004</w:t>
      </w:r>
    </w:p>
    <w:p>
      <w:pPr>
        <w:pStyle w:val="null3"/>
      </w:pPr>
      <w:r>
        <w:rPr/>
        <w:t>地址：西安市高新区唐延路35号旺座现代城C座2502室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西安建筑科技大学交通数据可视化平台设备采购。</w:t>
      </w:r>
    </w:p>
    <w:p>
      <w:pPr>
        <w:pStyle w:val="null3"/>
        <w:outlineLvl w:val="2"/>
      </w:pPr>
      <w:r>
        <w:rPr>
          <w:sz w:val="28"/>
          <w:b/>
        </w:rPr>
        <w:t>3.2采购内容</w:t>
      </w:r>
    </w:p>
    <w:p>
      <w:pPr>
        <w:pStyle w:val="null3"/>
      </w:pPr>
      <w:r>
        <w:rPr/>
        <w:t>采购包1：</w:t>
      </w:r>
    </w:p>
    <w:p>
      <w:pPr>
        <w:pStyle w:val="null3"/>
      </w:pPr>
      <w:r>
        <w:rPr/>
        <w:t>采购包预算金额（元）: 4,200,000.00</w:t>
      </w:r>
    </w:p>
    <w:p>
      <w:pPr>
        <w:pStyle w:val="null3"/>
      </w:pPr>
      <w:r>
        <w:rPr/>
        <w:t>采购包最高限价（元）: 3,900,000.00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交通数据可视化平台等设备</w:t>
            </w:r>
          </w:p>
        </w:tc>
        <w:tc>
          <w:tcPr>
            <w:tcW w:type="dxa" w:w="831"/>
          </w:tcPr>
          <w:p>
            <w:pPr>
              <w:pStyle w:val="null3"/>
              <w:jc w:val="right"/>
            </w:pPr>
            <w:r>
              <w:rPr/>
              <w:t>1.00</w:t>
            </w:r>
          </w:p>
        </w:tc>
        <w:tc>
          <w:tcPr>
            <w:tcW w:type="dxa" w:w="831"/>
          </w:tcPr>
          <w:p>
            <w:pPr>
              <w:pStyle w:val="null3"/>
              <w:jc w:val="right"/>
            </w:pPr>
            <w:r>
              <w:rPr/>
              <w:t>4,200,000.00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标的名称：交通数据可视化平台等设备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simsun" w:hAnsi="simsun" w:cs="simsun" w:eastAsia="simsun"/>
                <w:sz w:val="24"/>
              </w:rPr>
              <w:t>1. 项目概述：</w:t>
            </w:r>
          </w:p>
          <w:p>
            <w:pPr>
              <w:pStyle w:val="null3"/>
            </w:pPr>
            <w:r>
              <w:rPr>
                <w:rFonts w:ascii="simsun" w:hAnsi="simsun" w:cs="simsun" w:eastAsia="simsun"/>
                <w:sz w:val="24"/>
              </w:rPr>
              <w:t>1.1项目背景</w:t>
            </w:r>
          </w:p>
          <w:p>
            <w:pPr>
              <w:pStyle w:val="null3"/>
              <w:ind w:firstLine="400"/>
            </w:pPr>
            <w:r>
              <w:rPr>
                <w:rFonts w:ascii="simsun" w:hAnsi="simsun" w:cs="simsun" w:eastAsia="simsun"/>
                <w:sz w:val="24"/>
              </w:rPr>
              <w:t>根据中华人民共和国国务院2022年1月颁布《国务院关于印发“十四五”数字经济发展规划的通知》，明确提出加强数字基础设施建设、推动数据共享与流通，促进大数据、云计算、人工智能等技术在各行各业的应用。在国家改革的政策背景下，推动交通运输领域全面数字化，促进交通数据平台建设，提高信息处理和智能决策水平。重点推动智能交通系统、大数据平台在管理、运输调度、物流监控等方面的应用。</w:t>
            </w:r>
          </w:p>
          <w:p>
            <w:pPr>
              <w:pStyle w:val="null3"/>
              <w:ind w:firstLine="400"/>
            </w:pPr>
            <w:r>
              <w:rPr>
                <w:rFonts w:ascii="simsun" w:hAnsi="simsun" w:cs="simsun" w:eastAsia="simsun"/>
                <w:sz w:val="24"/>
              </w:rPr>
              <w:t>作为交通运输工程人才培养和科学研究机构，长期从事交通大数据方向的研究和教学工作，取得了丰硕的成果，并为国家发展建设培养了大量优秀人才。在教学与科研过程中，经常面临着大数据采集、存储、处理与分析等方面的技术瓶颈。目前，学校缺乏先进的交通大数据分析平台和实验设备，原有相关实验设备主要是静态展板、人工数据采集以及小规模数据存储，无法有效支撑相关课程的教学、科研项目的开展和实际应用的深度挖掘。特别是在交通流量预测、拥堵治理、出行模式分析等重要领域，传统手段无法满足数据处理与分析的需求，严重限制了专业的进一步发展。为了提升教学水平和科研能力，培养具备大数据分析能力的高素质交通人才，急需对原有实验设备进行更新，建立一个集数据存储、分析、可视化为一体的交通大数据可视化平台。该平台将为学生提供实际操作和研究的机会，为教师提供强有力的科研支持，同时推动城市交通学院在交通工程、智能交通、交通运输等领域的创新与发展。</w:t>
            </w:r>
          </w:p>
          <w:p>
            <w:pPr>
              <w:pStyle w:val="null3"/>
              <w:ind w:firstLine="400"/>
            </w:pPr>
            <w:r>
              <w:rPr>
                <w:rFonts w:ascii="simsun" w:hAnsi="simsun" w:cs="simsun" w:eastAsia="simsun"/>
                <w:sz w:val="24"/>
              </w:rPr>
              <w:t>建设基础：</w:t>
            </w:r>
          </w:p>
          <w:p>
            <w:pPr>
              <w:pStyle w:val="null3"/>
              <w:ind w:firstLine="400"/>
            </w:pPr>
            <w:r>
              <w:rPr>
                <w:rFonts w:ascii="simsun" w:hAnsi="simsun" w:cs="simsun" w:eastAsia="simsun"/>
                <w:sz w:val="24"/>
              </w:rPr>
              <w:t>目前实验室拥有一套包含4台物理服务器超融合系统，总硬件资源量包括：8个节点，CPU640核，物理内存1.96TB，存储池240TB（根据超融合备份机制，应用端最大可用存储120TB）。</w:t>
            </w:r>
          </w:p>
          <w:p>
            <w:pPr>
              <w:pStyle w:val="null3"/>
              <w:ind w:firstLine="400"/>
            </w:pPr>
            <w:r>
              <w:rPr>
                <w:rFonts w:ascii="simsun" w:hAnsi="simsun" w:cs="simsun" w:eastAsia="simsun"/>
                <w:sz w:val="24"/>
              </w:rPr>
              <w:t>本项目可用服务器资源为：CPU480核，物理内存1.5TB，存储空间100TB。预计本次建设需要扩展图形处理单元，相关设备需在校内进行搬迁。</w:t>
            </w:r>
          </w:p>
          <w:p>
            <w:pPr>
              <w:pStyle w:val="null3"/>
            </w:pPr>
            <w:r>
              <w:rPr>
                <w:rFonts w:ascii="simsun" w:hAnsi="simsun" w:cs="simsun" w:eastAsia="simsun"/>
                <w:sz w:val="24"/>
              </w:rPr>
              <w:t>1.2项目依据</w:t>
            </w:r>
          </w:p>
          <w:p>
            <w:pPr>
              <w:pStyle w:val="null3"/>
              <w:ind w:firstLine="400"/>
            </w:pPr>
            <w:r>
              <w:rPr>
                <w:rFonts w:ascii="simsun" w:hAnsi="simsun" w:cs="simsun" w:eastAsia="simsun"/>
                <w:sz w:val="24"/>
              </w:rPr>
              <w:t>国家发改委、教育部2024年制定并印发《教育领域重大设备更新实施方案》，以促进教育领域重大设备更新，主要涵盖普通高校与职业院校的关键设备升级，旨在支持科技创新与高质量教育发展。</w:t>
            </w:r>
          </w:p>
          <w:p>
            <w:pPr>
              <w:pStyle w:val="null3"/>
              <w:ind w:firstLine="400"/>
            </w:pPr>
            <w:r>
              <w:rPr>
                <w:rFonts w:ascii="simsun" w:hAnsi="simsun" w:cs="simsun" w:eastAsia="simsun"/>
                <w:sz w:val="24"/>
              </w:rPr>
              <w:t>根据《“十四五”国家战略性新兴产业发展规划》以及《“十四五”规划和2035年远景目标纲要》，国家大力推动数字经济、智能化技术和智慧交通的建设。特别是对于“数字中国”和“智慧城市”建设的支持，鼓励应用大数据、云计算、人工智能等先进技术，推动交通行业的数据化、智能化转型。交通学院建设交通大数据可视化平台符合这一规划，能够助力学院在智能交通和大数据领域的创新发展。</w:t>
            </w:r>
          </w:p>
          <w:p>
            <w:pPr>
              <w:pStyle w:val="null3"/>
              <w:ind w:firstLine="400"/>
            </w:pPr>
            <w:r>
              <w:rPr>
                <w:rFonts w:ascii="simsun" w:hAnsi="simsun" w:cs="simsun" w:eastAsia="simsun"/>
                <w:sz w:val="24"/>
              </w:rPr>
              <w:t>交通运输部发布的《智能交通系统发展“十三五”规划》提出，智能交通要充分利用大数据技术，提高交通管理效率、优化交通流量，保障交通安全。建设交通大数据可视化平台有助于推动智能交通技术的研发与应用，是实施该规划的关键步骤。</w:t>
            </w:r>
          </w:p>
          <w:p>
            <w:pPr>
              <w:pStyle w:val="null3"/>
              <w:ind w:firstLine="400"/>
            </w:pPr>
            <w:r>
              <w:rPr>
                <w:rFonts w:ascii="simsun" w:hAnsi="simsun" w:cs="simsun" w:eastAsia="simsun"/>
                <w:sz w:val="24"/>
              </w:rPr>
              <w:t>教育部出台《教育部关于加快新时代高等学校科技创新的若干意见》，强调要加强高校的科技创新，特别是在数字化、智能化、信息化领域。交通大数据可视化平台建设可以为高校提供一个科研与教学的双重支持平台，推动交通工程学科的科技创新与学科交叉融合。</w:t>
            </w:r>
          </w:p>
          <w:p>
            <w:pPr>
              <w:pStyle w:val="null3"/>
            </w:pPr>
            <w:r>
              <w:rPr>
                <w:rFonts w:ascii="simsun" w:hAnsi="simsun" w:cs="simsun" w:eastAsia="simsun"/>
                <w:sz w:val="24"/>
              </w:rPr>
              <w:t>1.3项目目标</w:t>
            </w:r>
          </w:p>
          <w:p>
            <w:pPr>
              <w:pStyle w:val="null3"/>
              <w:ind w:firstLine="400"/>
            </w:pPr>
            <w:r>
              <w:rPr>
                <w:rFonts w:ascii="simsun" w:hAnsi="simsun" w:cs="simsun" w:eastAsia="simsun"/>
                <w:sz w:val="24"/>
              </w:rPr>
              <w:t>（1）建立统一的数据入库标准，以便于地理信息数据、道路数据、交通运营数据、城市规划数据等的信息整合和共享，为教学及科学研究提供数据基础；</w:t>
            </w:r>
          </w:p>
          <w:p>
            <w:pPr>
              <w:pStyle w:val="null3"/>
              <w:ind w:firstLine="400"/>
            </w:pPr>
            <w:r>
              <w:rPr>
                <w:rFonts w:ascii="simsun" w:hAnsi="simsun" w:cs="simsun" w:eastAsia="simsun"/>
                <w:sz w:val="24"/>
              </w:rPr>
              <w:t>（2）围绕道路、城市交通大数据、城市规划、产业园区运输等专业方向，融合GIS、大数据等技术，形成动态更新的成果数据库；</w:t>
            </w:r>
          </w:p>
          <w:p>
            <w:pPr>
              <w:pStyle w:val="null3"/>
              <w:ind w:firstLine="400"/>
            </w:pPr>
            <w:r>
              <w:rPr>
                <w:rFonts w:ascii="simsun" w:hAnsi="simsun" w:cs="simsun" w:eastAsia="simsun"/>
                <w:sz w:val="24"/>
              </w:rPr>
              <w:t>（3）以一张图为基础，紧密联系交通、规划等方面的相关场景，构建交通大数据分析模型库，开展数据分析及可视化模型的搭建和系统开发，形成专项分析工具，打造交通大数据科学研究应用系统，辅助教学及科研工作。</w:t>
            </w:r>
          </w:p>
          <w:p>
            <w:pPr>
              <w:pStyle w:val="null3"/>
              <w:ind w:firstLine="400"/>
            </w:pPr>
            <w:r>
              <w:rPr>
                <w:rFonts w:ascii="simsun" w:hAnsi="simsun" w:cs="simsun" w:eastAsia="simsun"/>
                <w:sz w:val="24"/>
              </w:rPr>
              <w:t xml:space="preserve">（4）对已有硬件设备进行部分更新升级，具体内容见采购清单。  </w:t>
            </w:r>
          </w:p>
          <w:p>
            <w:pPr>
              <w:pStyle w:val="null3"/>
            </w:pPr>
            <w:r>
              <w:rPr>
                <w:rFonts w:ascii="simsun" w:hAnsi="simsun" w:cs="simsun" w:eastAsia="simsun"/>
                <w:sz w:val="24"/>
              </w:rPr>
              <w:t>1.4项目内容及功能要求</w:t>
            </w:r>
          </w:p>
          <w:p>
            <w:pPr>
              <w:pStyle w:val="null3"/>
              <w:ind w:firstLine="400"/>
            </w:pPr>
            <w:r>
              <w:rPr>
                <w:rFonts w:ascii="simsun" w:hAnsi="simsun" w:cs="simsun" w:eastAsia="simsun"/>
                <w:sz w:val="24"/>
              </w:rPr>
              <w:t>本次交通数据可视化平台项目建设是我校信息化建设的重要组成部分，系统建设内容按照需求和目标，组成如下：</w:t>
            </w:r>
          </w:p>
          <w:p>
            <w:pPr>
              <w:pStyle w:val="null3"/>
            </w:pPr>
            <w:r>
              <w:rPr>
                <w:rFonts w:ascii="simsun" w:hAnsi="simsun" w:cs="simsun" w:eastAsia="simsun"/>
                <w:sz w:val="24"/>
              </w:rPr>
              <w:t>1.4.1数据中心建设</w:t>
            </w:r>
          </w:p>
          <w:p>
            <w:pPr>
              <w:pStyle w:val="null3"/>
              <w:ind w:firstLine="400"/>
            </w:pPr>
            <w:r>
              <w:rPr>
                <w:rFonts w:ascii="simsun" w:hAnsi="simsun" w:cs="simsun" w:eastAsia="simsun"/>
                <w:sz w:val="24"/>
              </w:rPr>
              <w:t>参考国家和省市的相关标准规范，制定本次数据中心建设的数据标准规范、数据资源目录体系、数据共享及更新规范等。通过制定统一的数据标准和技术规范，解决整体数据管理口径、统计口径不一致、数据定义不正确、数据内容谬误、数据孤岛等问题。</w:t>
            </w:r>
          </w:p>
          <w:p>
            <w:pPr>
              <w:pStyle w:val="null3"/>
              <w:ind w:firstLine="400"/>
            </w:pPr>
            <w:r>
              <w:rPr>
                <w:rFonts w:ascii="simsun" w:hAnsi="simsun" w:cs="simsun" w:eastAsia="simsun"/>
                <w:sz w:val="24"/>
              </w:rPr>
              <w:t>数据中心建设需要参照同类数据标准等文件要求，根据存量数据和后续新增数据，按照数据中心建设的需求和总体思路，结合数据不同格式、来源和建库目标要求，制定数据治理的技术路线，针对数据提供、数据管理和业务应用不同部门的需求，按照数据归集、处理和质检建库的流程，实现数据中心建设。</w:t>
            </w:r>
          </w:p>
          <w:p>
            <w:pPr>
              <w:pStyle w:val="null3"/>
              <w:ind w:firstLine="400"/>
            </w:pPr>
            <w:r>
              <w:rPr>
                <w:rFonts w:ascii="simsun" w:hAnsi="simsun" w:cs="simsun" w:eastAsia="simsun"/>
                <w:sz w:val="24"/>
              </w:rPr>
              <w:t>通过数据治理后，数据中心的数据分为空间数据成果和项目文档数据成果，包括项目资源数据、项目信息数据、GIS空间数据、交通大数据、规划管理数据以及上述数据衍生的指标模型数据等，在数据中心建设的基础上实现图文互查、地图定位、文档浏览、查询统计、决策分析等应用功能。</w:t>
            </w:r>
          </w:p>
          <w:p>
            <w:pPr>
              <w:pStyle w:val="null3"/>
            </w:pPr>
            <w:r>
              <w:rPr>
                <w:rFonts w:ascii="simsun" w:hAnsi="simsun" w:cs="simsun" w:eastAsia="simsun"/>
                <w:sz w:val="24"/>
              </w:rPr>
              <w:t>1.4.2 数据治理工具</w:t>
            </w:r>
          </w:p>
          <w:p>
            <w:pPr>
              <w:pStyle w:val="null3"/>
              <w:ind w:firstLine="400"/>
            </w:pPr>
            <w:r>
              <w:rPr>
                <w:rFonts w:ascii="simsun" w:hAnsi="simsun" w:cs="simsun" w:eastAsia="simsun"/>
                <w:sz w:val="24"/>
              </w:rPr>
              <w:t>数据治理工具基于AutoCAD以及国产CAD平台，满足数据归集管理与数据编辑、数据规整处理需求，实现文件集成、辅助编辑以及属性信息管理。数据建库人员根据入库数据要求配置数据标准库，使用文件管理、属性管理、坐标转换、CAD与GIS格式转换与图形工具功能，辅助管理人员完成数据检查加工整理。</w:t>
            </w:r>
          </w:p>
          <w:p>
            <w:pPr>
              <w:pStyle w:val="null3"/>
            </w:pPr>
            <w:r>
              <w:rPr>
                <w:rFonts w:ascii="simsun" w:hAnsi="simsun" w:cs="simsun" w:eastAsia="simsun"/>
                <w:sz w:val="24"/>
              </w:rPr>
              <w:t>1.4.3 GIS数据质检与管理系统</w:t>
            </w:r>
          </w:p>
          <w:p>
            <w:pPr>
              <w:pStyle w:val="null3"/>
              <w:ind w:firstLine="400"/>
            </w:pPr>
            <w:r>
              <w:rPr>
                <w:rFonts w:ascii="simsun" w:hAnsi="simsun" w:cs="simsun" w:eastAsia="simsun"/>
                <w:sz w:val="24"/>
              </w:rPr>
              <w:t>GIS数据质检与管理系统是整个资料成果数据库应用系统的后台管理模块，实现整个平台的数据维护管理。系统通过设置统一的入库和质检标准规范，满足各类空间数据、编制项目数据的质检、建库和更新等工作需求，系统主要实现数据标准管理、质检标准配置、数据质检、数据入库、数据建库管理维护、数据更新、版本管理、数据发布等功能。</w:t>
            </w:r>
          </w:p>
          <w:p>
            <w:pPr>
              <w:pStyle w:val="null3"/>
            </w:pPr>
            <w:r>
              <w:rPr>
                <w:rFonts w:ascii="simsun" w:hAnsi="simsun" w:cs="simsun" w:eastAsia="simsun"/>
                <w:sz w:val="24"/>
              </w:rPr>
              <w:t>1.4.4 GIS空间数据查询应用系统</w:t>
            </w:r>
          </w:p>
          <w:p>
            <w:pPr>
              <w:pStyle w:val="null3"/>
              <w:ind w:firstLine="400"/>
            </w:pPr>
            <w:r>
              <w:rPr>
                <w:rFonts w:ascii="simsun" w:hAnsi="simsun" w:cs="simsun" w:eastAsia="simsun"/>
                <w:sz w:val="24"/>
              </w:rPr>
              <w:t>GIS空间数据查询分析应用系统以规划GIS一张图为中心，提供共享管理与数据查询展示功能，实现对数据、图纸等的分层叠加、数据浏览、三维展示、附件查看、专题展示、导入导出、多屏对比等功能，同时要求系统界面友好，交互操作性强。</w:t>
            </w:r>
          </w:p>
          <w:p>
            <w:pPr>
              <w:pStyle w:val="null3"/>
            </w:pPr>
            <w:r>
              <w:rPr>
                <w:rFonts w:ascii="simsun" w:hAnsi="simsun" w:cs="simsun" w:eastAsia="simsun"/>
                <w:sz w:val="24"/>
              </w:rPr>
              <w:t>1.4.5 GIS空间数据辅助决策系统</w:t>
            </w:r>
          </w:p>
          <w:p>
            <w:pPr>
              <w:pStyle w:val="null3"/>
              <w:ind w:firstLine="400"/>
            </w:pPr>
            <w:r>
              <w:rPr>
                <w:rFonts w:ascii="simsun" w:hAnsi="simsun" w:cs="simsun" w:eastAsia="simsun"/>
                <w:sz w:val="24"/>
              </w:rPr>
              <w:t>GIS空间数据辅助决策系统针对道路、城市交通、城市规划相关的各类数据、指标、模型进行算法开发实现，结合模型算法、数据源及空间分析组件，提供配套可视化工具进行模型构建，实现模型的统一管理及应用，为交通大数据的评估和分析决策等提供模型计算支撑。</w:t>
            </w:r>
          </w:p>
          <w:p>
            <w:pPr>
              <w:pStyle w:val="null3"/>
              <w:ind w:firstLine="400"/>
            </w:pPr>
            <w:r>
              <w:rPr>
                <w:rFonts w:ascii="simsun" w:hAnsi="simsun" w:cs="simsun" w:eastAsia="simsun"/>
                <w:sz w:val="24"/>
              </w:rPr>
              <w:t>系统通过模型的设计、运行分析和结果查看应用，实现交通数据分析的辅助决策和辅助展示。</w:t>
            </w:r>
          </w:p>
          <w:p>
            <w:pPr>
              <w:pStyle w:val="null3"/>
              <w:ind w:firstLine="400"/>
            </w:pPr>
            <w:r>
              <w:rPr>
                <w:rFonts w:ascii="simsun" w:hAnsi="simsun" w:cs="simsun" w:eastAsia="simsun"/>
                <w:sz w:val="24"/>
              </w:rPr>
              <w:t>实现对空间数据的统计分析，辅助教学和科学研究，包括规划相关分析（用地分析、公服设施分析、生活圈分析、产业分析、人口分析），道路及交通大数据分析（OD分布、路径分析、交通设施分析、交通热力分布、交通态势分析）等，可根据实际数据和应用需求进行特定分析功能的定制开发。</w:t>
            </w:r>
          </w:p>
          <w:p>
            <w:pPr>
              <w:pStyle w:val="null3"/>
            </w:pPr>
            <w:r>
              <w:rPr>
                <w:rFonts w:ascii="simsun" w:hAnsi="simsun" w:cs="simsun" w:eastAsia="simsun"/>
                <w:sz w:val="24"/>
              </w:rPr>
              <w:t>1.4.6 GIS数据CAD应用系统</w:t>
            </w:r>
          </w:p>
          <w:p>
            <w:pPr>
              <w:pStyle w:val="null3"/>
              <w:ind w:firstLine="400"/>
            </w:pPr>
            <w:r>
              <w:rPr>
                <w:rFonts w:ascii="simsun" w:hAnsi="simsun" w:cs="simsun" w:eastAsia="simsun"/>
                <w:sz w:val="24"/>
              </w:rPr>
              <w:t>与道路、城市规划、交通规划等业务流程相融合，在CAD软件中接入规划、交通等GIS空间数据，实现对空间数据的调用和查询，满足GIS数据调用、查询，为编制业务场景应用提供支持。</w:t>
            </w:r>
          </w:p>
          <w:p>
            <w:pPr>
              <w:pStyle w:val="null3"/>
            </w:pPr>
            <w:r>
              <w:rPr>
                <w:rFonts w:ascii="simsun" w:hAnsi="simsun" w:cs="simsun" w:eastAsia="simsun"/>
                <w:sz w:val="24"/>
              </w:rPr>
              <w:t>1.4.7 知识库建设</w:t>
            </w:r>
          </w:p>
          <w:p>
            <w:pPr>
              <w:pStyle w:val="null3"/>
              <w:ind w:firstLine="400"/>
            </w:pPr>
            <w:r>
              <w:rPr>
                <w:rFonts w:ascii="simsun" w:hAnsi="simsun" w:cs="simsun" w:eastAsia="simsun"/>
                <w:sz w:val="24"/>
              </w:rPr>
              <w:t>搭建知识库底层平台，提供知识库软件框架。实现知识收集、知识整理、知识存储、知识分类体系、知识模型等为一体的知识库。协助甲方进行行业规范知识库的建设完善，该知识库将为行业研究人员、决策者提供便捷的查询平台，促进行业信息的整合与交流，支持科学决策与规划优化。</w:t>
            </w:r>
          </w:p>
          <w:p>
            <w:pPr>
              <w:pStyle w:val="null3"/>
            </w:pPr>
            <w:r>
              <w:rPr>
                <w:rFonts w:ascii="simsun" w:hAnsi="simsun" w:cs="simsun" w:eastAsia="simsun"/>
                <w:sz w:val="24"/>
              </w:rPr>
              <w:t>1.4.8 专题开发</w:t>
            </w:r>
          </w:p>
          <w:p>
            <w:pPr>
              <w:pStyle w:val="null3"/>
              <w:ind w:firstLine="400"/>
            </w:pPr>
            <w:r>
              <w:rPr>
                <w:rFonts w:ascii="simsun" w:hAnsi="simsun" w:cs="simsun" w:eastAsia="simsun"/>
                <w:sz w:val="24"/>
              </w:rPr>
              <w:t>根据本专业最新研究相关成果，进行专题开发，包括以下两方面内容。</w:t>
            </w:r>
          </w:p>
          <w:p>
            <w:pPr>
              <w:pStyle w:val="null3"/>
              <w:ind w:firstLine="400"/>
            </w:pPr>
            <w:r>
              <w:rPr>
                <w:rFonts w:ascii="simsun" w:hAnsi="simsun" w:cs="simsun" w:eastAsia="simsun"/>
                <w:sz w:val="24"/>
              </w:rPr>
              <w:t>（1）交通大数据分析专项</w:t>
            </w:r>
          </w:p>
          <w:p>
            <w:pPr>
              <w:pStyle w:val="null3"/>
              <w:ind w:firstLine="400"/>
            </w:pPr>
            <w:r>
              <w:rPr>
                <w:rFonts w:ascii="simsun" w:hAnsi="simsun" w:cs="simsun" w:eastAsia="simsun"/>
                <w:sz w:val="24"/>
              </w:rPr>
              <w:t>公交和地铁运行数据趋势研究旨在通过对实时交通数据的分析，揭示公交和地铁系统在不同时间段、线路和区域的运行规律。通过对乘客流量、车速、准点率等关键指标的长期监测与趋势预测，识别高峰时段、拥堵节点和潜在问题，为优化线路规划、调整运营策略和提升服务质量提供数据支持。该研究可为城市交通管理、智能调度和基础设施建设提供科学依据，推动城市公共交通的高效、可持续发展。</w:t>
            </w:r>
          </w:p>
          <w:p>
            <w:pPr>
              <w:pStyle w:val="null3"/>
              <w:ind w:firstLine="400"/>
            </w:pPr>
            <w:r>
              <w:rPr>
                <w:rFonts w:ascii="simsun" w:hAnsi="simsun" w:cs="simsun" w:eastAsia="simsun"/>
                <w:sz w:val="24"/>
              </w:rPr>
              <w:t>（2）产业园区物流分析专项</w:t>
            </w:r>
          </w:p>
          <w:p>
            <w:pPr>
              <w:pStyle w:val="null3"/>
              <w:ind w:firstLine="400"/>
            </w:pPr>
            <w:r>
              <w:rPr>
                <w:rFonts w:ascii="simsun" w:hAnsi="simsun" w:cs="simsun" w:eastAsia="simsun"/>
                <w:sz w:val="24"/>
              </w:rPr>
              <w:t>以物流单元为中心，构建出入物流接入点，物流按照不同的运输方式进行运输；多个带有物流信息的生产单元构成产业园区，运输按照指定方式路径进行运输活动。对构建好的物流信息进行统计分析、优化、评估。</w:t>
            </w:r>
          </w:p>
          <w:p>
            <w:pPr>
              <w:pStyle w:val="null3"/>
              <w:ind w:firstLine="400"/>
            </w:pPr>
            <w:r>
              <w:rPr>
                <w:rFonts w:ascii="simsun" w:hAnsi="simsun" w:cs="simsun" w:eastAsia="simsun"/>
                <w:sz w:val="24"/>
              </w:rPr>
              <w:t>（3）选址分析专项</w:t>
            </w:r>
          </w:p>
          <w:p>
            <w:pPr>
              <w:pStyle w:val="null3"/>
              <w:ind w:firstLine="400"/>
            </w:pPr>
            <w:r>
              <w:rPr>
                <w:rFonts w:ascii="simsun" w:hAnsi="simsun" w:cs="simsun" w:eastAsia="simsun"/>
                <w:sz w:val="24"/>
              </w:rPr>
              <w:t>基于GIS的大规模数据选址项目利用地理信息系统的空间分析能力，结合大数据处理技术，为各类行业提供科学的选址决策支持。通过整合多源数据，系统能够对选址候选地进行综合评估，分析其优势与劣势，帮助决策者优化资源配置。主要用于城市交通设施，产业园区相关的选址相关研究。</w:t>
            </w:r>
          </w:p>
          <w:p>
            <w:pPr>
              <w:pStyle w:val="null3"/>
            </w:pPr>
            <w:r>
              <w:rPr>
                <w:rFonts w:ascii="simsun" w:hAnsi="simsun" w:cs="simsun" w:eastAsia="simsun"/>
                <w:sz w:val="24"/>
              </w:rPr>
              <w:t>1.4.9 其他功能要求</w:t>
            </w:r>
          </w:p>
          <w:p>
            <w:pPr>
              <w:pStyle w:val="null3"/>
              <w:ind w:firstLine="400"/>
            </w:pPr>
            <w:r>
              <w:rPr>
                <w:rFonts w:ascii="simsun" w:hAnsi="simsun" w:cs="simsun" w:eastAsia="simsun"/>
                <w:sz w:val="24"/>
              </w:rPr>
              <w:t>（1）系统应具备GIS基础统计分析工具</w:t>
            </w:r>
          </w:p>
          <w:p>
            <w:pPr>
              <w:pStyle w:val="null3"/>
              <w:ind w:firstLine="400"/>
            </w:pPr>
            <w:r>
              <w:rPr>
                <w:rFonts w:ascii="simsun" w:hAnsi="simsun" w:cs="simsun" w:eastAsia="simsun"/>
                <w:sz w:val="24"/>
              </w:rPr>
              <w:t>集成地理信息系统（GIS）基础统计分析工具，如空间查询、空间叠加分析、缓冲区分析、网络分析等常用功能，能够支持对地理空间数据进行有效的分析和管理。提供直观易用的用户界面，便于用户快速上手并进行复杂的GIS统计分析操作。</w:t>
            </w:r>
          </w:p>
          <w:p>
            <w:pPr>
              <w:pStyle w:val="null3"/>
              <w:ind w:firstLine="400"/>
            </w:pPr>
            <w:r>
              <w:rPr>
                <w:rFonts w:ascii="simsun" w:hAnsi="simsun" w:cs="simsun" w:eastAsia="simsun"/>
                <w:sz w:val="24"/>
              </w:rPr>
              <w:t>（2）系统需提供开放且稳定的二次开发接口（API）</w:t>
            </w:r>
          </w:p>
          <w:p>
            <w:pPr>
              <w:pStyle w:val="null3"/>
              <w:ind w:firstLine="400"/>
            </w:pPr>
            <w:r>
              <w:rPr>
                <w:rFonts w:ascii="simsun" w:hAnsi="simsun" w:cs="simsun" w:eastAsia="simsun"/>
                <w:sz w:val="24"/>
              </w:rPr>
              <w:t>提供包括接口功能描述、参数说明、返回值类型及格式等，确保开发者能够准确理解和使用，以便甲方或第三方开发者根据实际需求进行定制化开发。</w:t>
            </w:r>
          </w:p>
          <w:p>
            <w:pPr>
              <w:pStyle w:val="null3"/>
              <w:ind w:firstLine="400"/>
            </w:pPr>
            <w:r>
              <w:rPr>
                <w:rFonts w:ascii="simsun" w:hAnsi="simsun" w:cs="simsun" w:eastAsia="simsun"/>
                <w:sz w:val="24"/>
              </w:rPr>
              <w:t>（3）需派遣专业技术人员，协助甲方完成系统的网络部署工作。</w:t>
            </w:r>
          </w:p>
          <w:p>
            <w:pPr>
              <w:pStyle w:val="null3"/>
            </w:pPr>
            <w:r>
              <w:rPr>
                <w:rFonts w:ascii="simsun" w:hAnsi="simsun" w:cs="simsun" w:eastAsia="simsun"/>
                <w:sz w:val="24"/>
              </w:rPr>
              <w:t>1.5 相关设备更新需求</w:t>
            </w:r>
          </w:p>
          <w:p>
            <w:pPr>
              <w:pStyle w:val="null3"/>
              <w:ind w:firstLine="400"/>
            </w:pPr>
            <w:r>
              <w:rPr>
                <w:rFonts w:ascii="simsun" w:hAnsi="simsun" w:cs="simsun" w:eastAsia="simsun"/>
                <w:sz w:val="24"/>
              </w:rPr>
              <w:t>（1）图形处理单元</w:t>
            </w:r>
          </w:p>
          <w:p>
            <w:pPr>
              <w:pStyle w:val="null3"/>
              <w:ind w:firstLine="400"/>
            </w:pPr>
            <w:r>
              <w:rPr>
                <w:rFonts w:ascii="simsun" w:hAnsi="simsun" w:cs="simsun" w:eastAsia="simsun"/>
                <w:sz w:val="24"/>
              </w:rPr>
              <w:t>因现有服务器图形处理能力不能满足未来业务需求，需要扩展1台图形服务器（显存最小48Gb）和2台图形终端（显存最小16Gb），并进行设备迁移及安装等。</w:t>
            </w:r>
          </w:p>
          <w:p>
            <w:pPr>
              <w:pStyle w:val="null3"/>
              <w:ind w:firstLine="400"/>
            </w:pPr>
            <w:r>
              <w:rPr>
                <w:rFonts w:ascii="simsun" w:hAnsi="simsun" w:cs="simsun" w:eastAsia="simsun"/>
                <w:sz w:val="24"/>
              </w:rPr>
              <w:t>（2）全自动测量工作站</w:t>
            </w:r>
          </w:p>
          <w:p>
            <w:pPr>
              <w:pStyle w:val="null3"/>
              <w:ind w:firstLine="400"/>
            </w:pPr>
            <w:r>
              <w:rPr>
                <w:rFonts w:ascii="simsun" w:hAnsi="simsun" w:cs="simsun" w:eastAsia="simsun"/>
                <w:sz w:val="24"/>
              </w:rPr>
              <w:t>面对大空间尺寸和现代化高精密度测绘需求，需要采购1套测量系统，其中包含2台高精密度全自动测绘工作站及相关附属配件，用以解决交通场站内部的快速高精度测绘数据采集研究工作。</w:t>
            </w:r>
          </w:p>
          <w:p>
            <w:pPr>
              <w:pStyle w:val="null3"/>
              <w:ind w:firstLine="400"/>
            </w:pPr>
            <w:r>
              <w:rPr>
                <w:rFonts w:ascii="simsun" w:hAnsi="simsun" w:cs="simsun" w:eastAsia="simsun"/>
                <w:sz w:val="24"/>
              </w:rPr>
              <w:t>（3）测绘型全站仪及RTK</w:t>
            </w:r>
          </w:p>
          <w:p>
            <w:pPr>
              <w:pStyle w:val="null3"/>
              <w:jc w:val="both"/>
            </w:pPr>
            <w:r>
              <w:rPr>
                <w:rFonts w:ascii="simsun" w:hAnsi="simsun" w:cs="simsun" w:eastAsia="simsun"/>
                <w:sz w:val="24"/>
              </w:rPr>
              <w:t xml:space="preserve">   因科研、教学工作，需要采购2台全站仪、2套RTK（1+3）设备。</w:t>
            </w:r>
          </w:p>
          <w:p>
            <w:pPr>
              <w:pStyle w:val="null3"/>
              <w:jc w:val="both"/>
            </w:pPr>
            <w:r>
              <w:rPr>
                <w:rFonts w:ascii="simsun" w:hAnsi="simsun" w:cs="simsun" w:eastAsia="simsun"/>
                <w:sz w:val="24"/>
              </w:rPr>
              <w:t>2.本项目核心产品为：</w:t>
            </w:r>
            <w:r>
              <w:rPr>
                <w:rFonts w:ascii="simsun" w:hAnsi="simsun" w:cs="simsun" w:eastAsia="simsun"/>
                <w:sz w:val="24"/>
              </w:rPr>
              <w:t>交通数据可视化平台。</w:t>
            </w:r>
          </w:p>
        </w:tc>
      </w:tr>
      <w:tr>
        <w:tc>
          <w:tcPr>
            <w:tcW w:type="dxa" w:w="2769"/>
          </w:tcPr>
          <w:p/>
        </w:tc>
        <w:tc>
          <w:tcPr>
            <w:tcW w:type="dxa" w:w="2769"/>
          </w:tcPr>
          <w:p>
            <w:pPr>
              <w:pStyle w:val="null3"/>
            </w:pPr>
            <w:r>
              <w:rPr/>
              <w:t>2</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69"/>
              <w:gridCol w:w="467"/>
              <w:gridCol w:w="922"/>
              <w:gridCol w:w="717"/>
              <w:gridCol w:w="271"/>
            </w:tblGrid>
            <w:tr>
              <w:tc>
                <w:tcPr>
                  <w:tcW w:type="dxa" w:w="169"/>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序号</w:t>
                  </w:r>
                </w:p>
              </w:tc>
              <w:tc>
                <w:tcPr>
                  <w:tcW w:type="dxa" w:w="467"/>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产品名称</w:t>
                  </w:r>
                </w:p>
              </w:tc>
              <w:tc>
                <w:tcPr>
                  <w:tcW w:type="dxa" w:w="922"/>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技术标准</w:t>
                  </w:r>
                </w:p>
              </w:tc>
              <w:tc>
                <w:tcPr>
                  <w:tcW w:type="dxa" w:w="717"/>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配置要求</w:t>
                  </w:r>
                </w:p>
              </w:tc>
              <w:tc>
                <w:tcPr>
                  <w:tcW w:type="dxa" w:w="27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数量</w:t>
                  </w:r>
                  <w:r>
                    <w:rPr>
                      <w:rFonts w:ascii="宋体" w:hAnsi="宋体" w:cs="宋体" w:eastAsia="宋体"/>
                      <w:sz w:val="28"/>
                      <w:b/>
                    </w:rPr>
                    <w:t>/单位</w:t>
                  </w:r>
                </w:p>
              </w:tc>
            </w:tr>
            <w:tr>
              <w:tc>
                <w:tcPr>
                  <w:tcW w:type="dxa" w:w="16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1"/>
                    </w:rPr>
                    <w:t>1</w:t>
                  </w:r>
                </w:p>
              </w:tc>
              <w:tc>
                <w:tcPr>
                  <w:tcW w:type="dxa" w:w="4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1"/>
                    </w:rPr>
                    <w:t>交通数据可视化平台</w:t>
                  </w:r>
                </w:p>
                <w:p>
                  <w:pPr>
                    <w:pStyle w:val="null3"/>
                    <w:jc w:val="center"/>
                  </w:pPr>
                  <w:r>
                    <w:rPr>
                      <w:rFonts w:ascii="宋体" w:hAnsi="宋体" w:cs="宋体" w:eastAsia="宋体"/>
                      <w:sz w:val="21"/>
                      <w:b/>
                    </w:rPr>
                    <w:t>（核心产品）</w:t>
                  </w:r>
                </w:p>
              </w:tc>
              <w:tc>
                <w:tcPr>
                  <w:tcW w:type="dxa" w:w="92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宋体" w:hAnsi="宋体" w:cs="宋体" w:eastAsia="宋体"/>
                      <w:sz w:val="21"/>
                      <w:b/>
                    </w:rPr>
                    <w:t>1、数据中心系统</w:t>
                  </w:r>
                </w:p>
                <w:p>
                  <w:pPr>
                    <w:pStyle w:val="null3"/>
                    <w:jc w:val="left"/>
                  </w:pPr>
                  <w:r>
                    <w:rPr>
                      <w:rFonts w:ascii="宋体" w:hAnsi="宋体" w:cs="宋体" w:eastAsia="宋体"/>
                      <w:sz w:val="21"/>
                    </w:rPr>
                    <w:t>相关数据处理和入库标准制定</w:t>
                  </w:r>
                  <w:r>
                    <w:rPr>
                      <w:rFonts w:ascii="宋体" w:hAnsi="宋体" w:cs="宋体" w:eastAsia="宋体"/>
                      <w:sz w:val="21"/>
                    </w:rPr>
                    <w:t>、</w:t>
                  </w:r>
                  <w:r>
                    <w:rPr>
                      <w:rFonts w:ascii="宋体" w:hAnsi="宋体" w:cs="宋体" w:eastAsia="宋体"/>
                      <w:sz w:val="21"/>
                    </w:rPr>
                    <w:t>数据</w:t>
                  </w:r>
                  <w:r>
                    <w:rPr>
                      <w:rFonts w:ascii="宋体" w:hAnsi="宋体" w:cs="宋体" w:eastAsia="宋体"/>
                      <w:sz w:val="21"/>
                    </w:rPr>
                    <w:t>规整</w:t>
                  </w:r>
                  <w:r>
                    <w:rPr>
                      <w:rFonts w:ascii="宋体" w:hAnsi="宋体" w:cs="宋体" w:eastAsia="宋体"/>
                      <w:sz w:val="21"/>
                    </w:rPr>
                    <w:t>处理</w:t>
                  </w:r>
                  <w:r>
                    <w:rPr>
                      <w:rFonts w:ascii="宋体" w:hAnsi="宋体" w:cs="宋体" w:eastAsia="宋体"/>
                      <w:sz w:val="21"/>
                    </w:rPr>
                    <w:t>、</w:t>
                  </w:r>
                  <w:r>
                    <w:rPr>
                      <w:rFonts w:ascii="宋体" w:hAnsi="宋体" w:cs="宋体" w:eastAsia="宋体"/>
                      <w:sz w:val="21"/>
                    </w:rPr>
                    <w:t>相关数据</w:t>
                  </w:r>
                  <w:r>
                    <w:rPr>
                      <w:rFonts w:ascii="宋体" w:hAnsi="宋体" w:cs="宋体" w:eastAsia="宋体"/>
                      <w:sz w:val="21"/>
                    </w:rPr>
                    <w:t>质检建库</w:t>
                  </w:r>
                  <w:r>
                    <w:rPr>
                      <w:rFonts w:ascii="宋体" w:hAnsi="宋体" w:cs="宋体" w:eastAsia="宋体"/>
                      <w:sz w:val="21"/>
                    </w:rPr>
                    <w:t>、</w:t>
                  </w:r>
                  <w:r>
                    <w:rPr>
                      <w:rFonts w:ascii="宋体" w:hAnsi="宋体" w:cs="宋体" w:eastAsia="宋体"/>
                      <w:sz w:val="21"/>
                    </w:rPr>
                    <w:t>数据治理</w:t>
                  </w:r>
                  <w:r>
                    <w:rPr>
                      <w:rFonts w:ascii="宋体" w:hAnsi="宋体" w:cs="宋体" w:eastAsia="宋体"/>
                      <w:sz w:val="21"/>
                    </w:rPr>
                    <w:t>及入库</w:t>
                  </w:r>
                  <w:r>
                    <w:rPr>
                      <w:rFonts w:ascii="宋体" w:hAnsi="宋体" w:cs="宋体" w:eastAsia="宋体"/>
                      <w:sz w:val="21"/>
                    </w:rPr>
                    <w:t>工具</w:t>
                  </w:r>
                  <w:r>
                    <w:rPr>
                      <w:rFonts w:ascii="宋体" w:hAnsi="宋体" w:cs="宋体" w:eastAsia="宋体"/>
                      <w:sz w:val="21"/>
                    </w:rPr>
                    <w:t>、</w:t>
                  </w:r>
                  <w:r>
                    <w:rPr>
                      <w:rFonts w:ascii="宋体" w:hAnsi="宋体" w:cs="宋体" w:eastAsia="宋体"/>
                      <w:sz w:val="21"/>
                    </w:rPr>
                    <w:t>数据质检与管理系统</w:t>
                  </w:r>
                  <w:r>
                    <w:rPr>
                      <w:rFonts w:ascii="宋体" w:hAnsi="宋体" w:cs="宋体" w:eastAsia="宋体"/>
                      <w:sz w:val="21"/>
                    </w:rPr>
                    <w:t>。</w:t>
                  </w:r>
                </w:p>
                <w:p>
                  <w:pPr>
                    <w:pStyle w:val="null3"/>
                    <w:jc w:val="left"/>
                  </w:pPr>
                  <w:r>
                    <w:rPr>
                      <w:rFonts w:ascii="宋体" w:hAnsi="宋体" w:cs="宋体" w:eastAsia="宋体"/>
                      <w:sz w:val="21"/>
                    </w:rPr>
                    <w:t>技术要求：</w:t>
                  </w:r>
                </w:p>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多源数据接入标准</w:t>
                  </w:r>
                </w:p>
                <w:p>
                  <w:pPr>
                    <w:pStyle w:val="null3"/>
                    <w:jc w:val="left"/>
                  </w:pPr>
                  <w:r>
                    <w:rPr>
                      <w:rFonts w:ascii="宋体" w:hAnsi="宋体" w:cs="宋体" w:eastAsia="宋体"/>
                      <w:sz w:val="21"/>
                    </w:rPr>
                    <w:t>包括：交通数据、</w:t>
                  </w:r>
                  <w:r>
                    <w:rPr>
                      <w:rFonts w:ascii="宋体" w:hAnsi="宋体" w:cs="宋体" w:eastAsia="宋体"/>
                      <w:sz w:val="21"/>
                    </w:rPr>
                    <w:t>GIS空间数据、城市规划数据、算法模型数据等。</w:t>
                  </w:r>
                </w:p>
                <w:p>
                  <w:pPr>
                    <w:pStyle w:val="null3"/>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数据中心需满足：主数据标准化、业务数据标准化、数据入仓、数据治理、数据服务的标准体系。</w:t>
                  </w:r>
                </w:p>
                <w:p>
                  <w:pPr>
                    <w:pStyle w:val="null3"/>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w:t>
                  </w:r>
                  <w:r>
                    <w:rPr>
                      <w:rFonts w:ascii="宋体" w:hAnsi="宋体" w:cs="宋体" w:eastAsia="宋体"/>
                      <w:sz w:val="21"/>
                    </w:rPr>
                    <w:t>支持多类型数据导入、调用及编辑；</w:t>
                  </w:r>
                </w:p>
                <w:p>
                  <w:pPr>
                    <w:pStyle w:val="null3"/>
                    <w:jc w:val="left"/>
                  </w:pPr>
                  <w:r>
                    <w:rPr>
                      <w:rFonts w:ascii="宋体" w:hAnsi="宋体" w:cs="宋体" w:eastAsia="宋体"/>
                      <w:sz w:val="21"/>
                    </w:rPr>
                    <w:t>包括：</w:t>
                  </w:r>
                  <w:r>
                    <w:rPr>
                      <w:rFonts w:ascii="宋体" w:hAnsi="宋体" w:cs="宋体" w:eastAsia="宋体"/>
                      <w:sz w:val="21"/>
                    </w:rPr>
                    <w:t>GIS通用格式、文本通用格式（TXT、CSV、excle、word等），CAD格式，图片，倾斜摄影，全景图片，三维模型，点云数据，瓦片数据等。</w:t>
                  </w:r>
                </w:p>
                <w:p>
                  <w:pPr>
                    <w:pStyle w:val="null3"/>
                    <w:jc w:val="left"/>
                  </w:pPr>
                  <w:r>
                    <w:rPr>
                      <w:rFonts w:ascii="宋体" w:hAnsi="宋体" w:cs="宋体" w:eastAsia="宋体"/>
                      <w:sz w:val="21"/>
                    </w:rPr>
                    <w:t>（</w:t>
                  </w:r>
                  <w:r>
                    <w:rPr>
                      <w:rFonts w:ascii="宋体" w:hAnsi="宋体" w:cs="宋体" w:eastAsia="宋体"/>
                      <w:sz w:val="21"/>
                    </w:rPr>
                    <w:t>4）</w:t>
                  </w:r>
                  <w:r>
                    <w:rPr>
                      <w:rFonts w:ascii="宋体" w:hAnsi="宋体" w:cs="宋体" w:eastAsia="宋体"/>
                      <w:sz w:val="21"/>
                    </w:rPr>
                    <w:t>■</w:t>
                  </w:r>
                  <w:r>
                    <w:rPr>
                      <w:rFonts w:ascii="宋体" w:hAnsi="宋体" w:cs="宋体" w:eastAsia="宋体"/>
                      <w:sz w:val="21"/>
                    </w:rPr>
                    <w:t>支持数据文件批处理。</w:t>
                  </w:r>
                </w:p>
                <w:p>
                  <w:pPr>
                    <w:pStyle w:val="null3"/>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支持多级用户管理。</w:t>
                  </w:r>
                </w:p>
                <w:p>
                  <w:pPr>
                    <w:pStyle w:val="null3"/>
                    <w:jc w:val="left"/>
                  </w:pPr>
                  <w:r>
                    <w:rPr>
                      <w:rFonts w:ascii="宋体" w:hAnsi="宋体" w:cs="宋体" w:eastAsia="宋体"/>
                      <w:sz w:val="21"/>
                      <w:b/>
                    </w:rPr>
                    <w:t>2、空间数据查询应用系统</w:t>
                  </w:r>
                </w:p>
                <w:p>
                  <w:pPr>
                    <w:pStyle w:val="null3"/>
                    <w:jc w:val="both"/>
                  </w:pPr>
                  <w:r>
                    <w:rPr>
                      <w:rFonts w:ascii="宋体" w:hAnsi="宋体" w:cs="宋体" w:eastAsia="宋体"/>
                      <w:sz w:val="21"/>
                    </w:rPr>
                    <w:t>以规划</w:t>
                  </w:r>
                  <w:r>
                    <w:rPr>
                      <w:rFonts w:ascii="宋体" w:hAnsi="宋体" w:cs="宋体" w:eastAsia="宋体"/>
                      <w:sz w:val="21"/>
                    </w:rPr>
                    <w:t>GIS一张图为中心，提供共享管理与数据查询展示功能，实现对数据、图纸等的分层叠加、数据浏览、三维展示、附件查看、专题展示、导入导出、多屏对比等功能。</w:t>
                  </w:r>
                </w:p>
                <w:p>
                  <w:pPr>
                    <w:pStyle w:val="null3"/>
                    <w:jc w:val="both"/>
                  </w:pPr>
                  <w:r>
                    <w:rPr>
                      <w:rFonts w:ascii="宋体" w:hAnsi="宋体" w:cs="宋体" w:eastAsia="宋体"/>
                      <w:sz w:val="21"/>
                    </w:rPr>
                    <w:t>技术要求：</w:t>
                  </w:r>
                </w:p>
                <w:p>
                  <w:pPr>
                    <w:pStyle w:val="null3"/>
                    <w:jc w:val="both"/>
                  </w:pPr>
                  <w:r>
                    <w:rPr>
                      <w:rFonts w:ascii="宋体" w:hAnsi="宋体" w:cs="宋体" w:eastAsia="宋体"/>
                      <w:sz w:val="21"/>
                    </w:rPr>
                    <w:t>（</w:t>
                  </w:r>
                  <w:r>
                    <w:rPr>
                      <w:rFonts w:ascii="宋体" w:hAnsi="宋体" w:cs="宋体" w:eastAsia="宋体"/>
                      <w:sz w:val="21"/>
                    </w:rPr>
                    <w:t>1）</w:t>
                  </w:r>
                  <w:r>
                    <w:rPr>
                      <w:rFonts w:ascii="宋体" w:hAnsi="宋体" w:cs="宋体" w:eastAsia="宋体"/>
                      <w:sz w:val="21"/>
                    </w:rPr>
                    <w:t>支持国家</w:t>
                  </w:r>
                  <w:r>
                    <w:rPr>
                      <w:rFonts w:ascii="宋体" w:hAnsi="宋体" w:cs="宋体" w:eastAsia="宋体"/>
                      <w:sz w:val="21"/>
                    </w:rPr>
                    <w:t>2000坐标系，1985高程；</w:t>
                  </w:r>
                </w:p>
                <w:p>
                  <w:pPr>
                    <w:pStyle w:val="null3"/>
                    <w:jc w:val="both"/>
                  </w:pPr>
                  <w:r>
                    <w:rPr>
                      <w:rFonts w:ascii="宋体" w:hAnsi="宋体" w:cs="宋体" w:eastAsia="宋体"/>
                      <w:sz w:val="21"/>
                    </w:rPr>
                    <w:t>（</w:t>
                  </w:r>
                  <w:r>
                    <w:rPr>
                      <w:rFonts w:ascii="宋体" w:hAnsi="宋体" w:cs="宋体" w:eastAsia="宋体"/>
                      <w:sz w:val="21"/>
                    </w:rPr>
                    <w:t>2）</w:t>
                  </w:r>
                  <w:r>
                    <w:rPr>
                      <w:rFonts w:ascii="宋体" w:hAnsi="宋体" w:cs="宋体" w:eastAsia="宋体"/>
                      <w:sz w:val="21"/>
                    </w:rPr>
                    <w:t>便捷的视角切换；</w:t>
                  </w:r>
                </w:p>
                <w:p>
                  <w:pPr>
                    <w:pStyle w:val="null3"/>
                    <w:jc w:val="both"/>
                  </w:pPr>
                  <w:r>
                    <w:rPr>
                      <w:rFonts w:ascii="宋体" w:hAnsi="宋体" w:cs="宋体" w:eastAsia="宋体"/>
                      <w:sz w:val="21"/>
                    </w:rPr>
                    <w:t>（</w:t>
                  </w:r>
                  <w:r>
                    <w:rPr>
                      <w:rFonts w:ascii="宋体" w:hAnsi="宋体" w:cs="宋体" w:eastAsia="宋体"/>
                      <w:sz w:val="21"/>
                    </w:rPr>
                    <w:t>3）</w:t>
                  </w:r>
                  <w:r>
                    <w:rPr>
                      <w:rFonts w:ascii="宋体" w:hAnsi="宋体" w:cs="宋体" w:eastAsia="宋体"/>
                      <w:sz w:val="21"/>
                    </w:rPr>
                    <w:t>■</w:t>
                  </w:r>
                  <w:r>
                    <w:rPr>
                      <w:rFonts w:ascii="宋体" w:hAnsi="宋体" w:cs="宋体" w:eastAsia="宋体"/>
                      <w:sz w:val="21"/>
                    </w:rPr>
                    <w:t>支持二维、三维地图；</w:t>
                  </w:r>
                </w:p>
                <w:p>
                  <w:pPr>
                    <w:pStyle w:val="null3"/>
                    <w:jc w:val="both"/>
                  </w:pPr>
                  <w:r>
                    <w:rPr>
                      <w:rFonts w:ascii="宋体" w:hAnsi="宋体" w:cs="宋体" w:eastAsia="宋体"/>
                      <w:sz w:val="21"/>
                    </w:rPr>
                    <w:t>（</w:t>
                  </w:r>
                  <w:r>
                    <w:rPr>
                      <w:rFonts w:ascii="宋体" w:hAnsi="宋体" w:cs="宋体" w:eastAsia="宋体"/>
                      <w:sz w:val="21"/>
                    </w:rPr>
                    <w:t>4）</w:t>
                  </w:r>
                  <w:r>
                    <w:rPr>
                      <w:rFonts w:ascii="宋体" w:hAnsi="宋体" w:cs="宋体" w:eastAsia="宋体"/>
                      <w:sz w:val="21"/>
                    </w:rPr>
                    <w:t>▲</w:t>
                  </w:r>
                  <w:r>
                    <w:rPr>
                      <w:rFonts w:ascii="宋体" w:hAnsi="宋体" w:cs="宋体" w:eastAsia="宋体"/>
                      <w:sz w:val="21"/>
                    </w:rPr>
                    <w:t>支持自定义标签；</w:t>
                  </w:r>
                </w:p>
                <w:p>
                  <w:pPr>
                    <w:pStyle w:val="null3"/>
                    <w:jc w:val="both"/>
                  </w:pPr>
                  <w:r>
                    <w:rPr>
                      <w:rFonts w:ascii="宋体" w:hAnsi="宋体" w:cs="宋体" w:eastAsia="宋体"/>
                      <w:sz w:val="21"/>
                    </w:rPr>
                    <w:t>（</w:t>
                  </w:r>
                  <w:r>
                    <w:rPr>
                      <w:rFonts w:ascii="宋体" w:hAnsi="宋体" w:cs="宋体" w:eastAsia="宋体"/>
                      <w:sz w:val="21"/>
                    </w:rPr>
                    <w:t>5</w:t>
                  </w:r>
                  <w:r>
                    <w:rPr>
                      <w:rFonts w:ascii="宋体" w:hAnsi="宋体" w:cs="宋体" w:eastAsia="宋体"/>
                      <w:sz w:val="21"/>
                    </w:rPr>
                    <w:t>）</w:t>
                  </w:r>
                  <w:r>
                    <w:rPr>
                      <w:rFonts w:ascii="宋体" w:hAnsi="宋体" w:cs="宋体" w:eastAsia="宋体"/>
                      <w:sz w:val="21"/>
                    </w:rPr>
                    <w:t>支持数据统计功能；</w:t>
                  </w:r>
                </w:p>
                <w:p>
                  <w:pPr>
                    <w:pStyle w:val="null3"/>
                    <w:jc w:val="both"/>
                  </w:pPr>
                  <w:r>
                    <w:rPr>
                      <w:rFonts w:ascii="宋体" w:hAnsi="宋体" w:cs="宋体" w:eastAsia="宋体"/>
                      <w:sz w:val="21"/>
                    </w:rPr>
                    <w:t>（</w:t>
                  </w:r>
                  <w:r>
                    <w:rPr>
                      <w:rFonts w:ascii="宋体" w:hAnsi="宋体" w:cs="宋体" w:eastAsia="宋体"/>
                      <w:sz w:val="21"/>
                    </w:rPr>
                    <w:t>6）</w:t>
                  </w:r>
                  <w:r>
                    <w:rPr>
                      <w:rFonts w:ascii="宋体" w:hAnsi="宋体" w:cs="宋体" w:eastAsia="宋体"/>
                      <w:sz w:val="21"/>
                    </w:rPr>
                    <w:t>■</w:t>
                  </w:r>
                  <w:r>
                    <w:rPr>
                      <w:rFonts w:ascii="宋体" w:hAnsi="宋体" w:cs="宋体" w:eastAsia="宋体"/>
                      <w:sz w:val="21"/>
                    </w:rPr>
                    <w:t>支持多数据图文互查；</w:t>
                  </w:r>
                </w:p>
                <w:p>
                  <w:pPr>
                    <w:pStyle w:val="null3"/>
                    <w:jc w:val="both"/>
                  </w:pPr>
                  <w:r>
                    <w:rPr>
                      <w:rFonts w:ascii="宋体" w:hAnsi="宋体" w:cs="宋体" w:eastAsia="宋体"/>
                      <w:sz w:val="21"/>
                    </w:rPr>
                    <w:t>（</w:t>
                  </w:r>
                  <w:r>
                    <w:rPr>
                      <w:rFonts w:ascii="&quot;times new roman&quot;" w:hAnsi="&quot;times new roman&quot;" w:cs="&quot;times new roman&quot;" w:eastAsia="&quot;times new roman&quot;"/>
                      <w:sz w:val="21"/>
                    </w:rPr>
                    <w:t>7</w:t>
                  </w:r>
                  <w:r>
                    <w:rPr>
                      <w:rFonts w:ascii="宋体" w:hAnsi="宋体" w:cs="宋体" w:eastAsia="宋体"/>
                      <w:sz w:val="21"/>
                    </w:rPr>
                    <w:t>）</w:t>
                  </w:r>
                  <w:r>
                    <w:rPr>
                      <w:rFonts w:ascii="宋体" w:hAnsi="宋体" w:cs="宋体" w:eastAsia="宋体"/>
                      <w:sz w:val="21"/>
                    </w:rPr>
                    <w:t>支持</w:t>
                  </w:r>
                  <w:r>
                    <w:rPr>
                      <w:rFonts w:ascii="times new roman, times, serif" w:hAnsi="times new roman, times, serif" w:cs="times new roman, times, serif" w:eastAsia="times new roman, times, serif"/>
                      <w:sz w:val="21"/>
                    </w:rPr>
                    <w:t>DWG</w:t>
                  </w:r>
                  <w:r>
                    <w:rPr>
                      <w:rFonts w:ascii="宋体" w:hAnsi="宋体" w:cs="宋体" w:eastAsia="宋体"/>
                      <w:sz w:val="21"/>
                    </w:rPr>
                    <w:t>、</w:t>
                  </w:r>
                  <w:r>
                    <w:rPr>
                      <w:rFonts w:ascii="times new roman, times, serif" w:hAnsi="times new roman, times, serif" w:cs="times new roman, times, serif" w:eastAsia="times new roman, times, serif"/>
                      <w:sz w:val="21"/>
                    </w:rPr>
                    <w:t>TXT</w:t>
                  </w:r>
                  <w:r>
                    <w:rPr>
                      <w:rFonts w:ascii="宋体" w:hAnsi="宋体" w:cs="宋体" w:eastAsia="宋体"/>
                      <w:sz w:val="21"/>
                    </w:rPr>
                    <w:t>、</w:t>
                  </w:r>
                  <w:r>
                    <w:rPr>
                      <w:rFonts w:ascii="times new roman, times, serif" w:hAnsi="times new roman, times, serif" w:cs="times new roman, times, serif" w:eastAsia="times new roman, times, serif"/>
                      <w:sz w:val="21"/>
                    </w:rPr>
                    <w:t>CSV</w:t>
                  </w:r>
                  <w:r>
                    <w:rPr>
                      <w:rFonts w:ascii="宋体" w:hAnsi="宋体" w:cs="宋体" w:eastAsia="宋体"/>
                      <w:sz w:val="21"/>
                    </w:rPr>
                    <w:t>、</w:t>
                  </w:r>
                  <w:r>
                    <w:rPr>
                      <w:rFonts w:ascii="times new roman, times, serif" w:hAnsi="times new roman, times, serif" w:cs="times new roman, times, serif" w:eastAsia="times new roman, times, serif"/>
                      <w:sz w:val="21"/>
                    </w:rPr>
                    <w:t>XLSX</w:t>
                  </w:r>
                  <w:r>
                    <w:rPr>
                      <w:rFonts w:ascii="宋体" w:hAnsi="宋体" w:cs="宋体" w:eastAsia="宋体"/>
                      <w:sz w:val="21"/>
                    </w:rPr>
                    <w:t>等格式的导入导出。</w:t>
                  </w:r>
                </w:p>
                <w:p>
                  <w:pPr>
                    <w:pStyle w:val="null3"/>
                    <w:jc w:val="both"/>
                  </w:pPr>
                  <w:r>
                    <w:rPr>
                      <w:rFonts w:ascii="宋体" w:hAnsi="宋体" w:cs="宋体" w:eastAsia="宋体"/>
                      <w:sz w:val="21"/>
                      <w:b/>
                    </w:rPr>
                    <w:t>3、GIS空间数据辅助决策系统</w:t>
                  </w:r>
                </w:p>
                <w:p>
                  <w:pPr>
                    <w:pStyle w:val="null3"/>
                    <w:jc w:val="left"/>
                  </w:pPr>
                  <w:r>
                    <w:rPr>
                      <w:rFonts w:ascii="宋体" w:hAnsi="宋体" w:cs="宋体" w:eastAsia="宋体"/>
                      <w:sz w:val="21"/>
                    </w:rPr>
                    <w:t>针对城市交通、规划底图相关的各类数据、指标、模型进行算法开发实现，结合模型算法、数据源及空间分析组件，提供配套可视化工具进行模型构建，实现模型的统一管理及应用，为交通大数据的评估和分析决策等提供模型计算支撑</w:t>
                  </w:r>
                  <w:r>
                    <w:rPr>
                      <w:rFonts w:ascii="宋体" w:hAnsi="宋体" w:cs="宋体" w:eastAsia="宋体"/>
                      <w:sz w:val="21"/>
                    </w:rPr>
                    <w:t>。</w:t>
                  </w:r>
                </w:p>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可选择不同的数据源；</w:t>
                  </w:r>
                </w:p>
                <w:p>
                  <w:pPr>
                    <w:pStyle w:val="null3"/>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w:t>
                  </w:r>
                  <w:r>
                    <w:rPr>
                      <w:rFonts w:ascii="宋体" w:hAnsi="宋体" w:cs="宋体" w:eastAsia="宋体"/>
                      <w:sz w:val="21"/>
                    </w:rPr>
                    <w:t>基础数据多分类分析与显示；</w:t>
                  </w:r>
                </w:p>
                <w:p>
                  <w:pPr>
                    <w:pStyle w:val="null3"/>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w:t>
                  </w:r>
                  <w:r>
                    <w:rPr>
                      <w:rFonts w:ascii="宋体" w:hAnsi="宋体" w:cs="宋体" w:eastAsia="宋体"/>
                      <w:sz w:val="21"/>
                    </w:rPr>
                    <w:t>时序数据带时间区间选择分析与显示；</w:t>
                  </w:r>
                </w:p>
                <w:p>
                  <w:pPr>
                    <w:pStyle w:val="null3"/>
                    <w:jc w:val="left"/>
                  </w:pPr>
                  <w:r>
                    <w:rPr>
                      <w:rFonts w:ascii="宋体" w:hAnsi="宋体" w:cs="宋体" w:eastAsia="宋体"/>
                      <w:sz w:val="21"/>
                    </w:rPr>
                    <w:t>（</w:t>
                  </w:r>
                  <w:r>
                    <w:rPr>
                      <w:rFonts w:ascii="宋体" w:hAnsi="宋体" w:cs="宋体" w:eastAsia="宋体"/>
                      <w:sz w:val="21"/>
                    </w:rPr>
                    <w:t>4）</w:t>
                  </w:r>
                  <w:r>
                    <w:rPr>
                      <w:rFonts w:ascii="宋体" w:hAnsi="宋体" w:cs="宋体" w:eastAsia="宋体"/>
                      <w:sz w:val="21"/>
                    </w:rPr>
                    <w:t>■</w:t>
                  </w:r>
                  <w:r>
                    <w:rPr>
                      <w:rFonts w:ascii="宋体" w:hAnsi="宋体" w:cs="宋体" w:eastAsia="宋体"/>
                      <w:sz w:val="21"/>
                    </w:rPr>
                    <w:t>按地理分区分类分析与显示；</w:t>
                  </w:r>
                </w:p>
                <w:p>
                  <w:pPr>
                    <w:pStyle w:val="null3"/>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有动态特性的数据应能动态显示；</w:t>
                  </w:r>
                </w:p>
                <w:p>
                  <w:pPr>
                    <w:pStyle w:val="null3"/>
                    <w:jc w:val="left"/>
                  </w:pPr>
                  <w:r>
                    <w:rPr>
                      <w:rFonts w:ascii="宋体" w:hAnsi="宋体" w:cs="宋体" w:eastAsia="宋体"/>
                      <w:sz w:val="21"/>
                    </w:rPr>
                    <w:t>（</w:t>
                  </w:r>
                  <w:r>
                    <w:rPr>
                      <w:rFonts w:ascii="宋体" w:hAnsi="宋体" w:cs="宋体" w:eastAsia="宋体"/>
                      <w:sz w:val="21"/>
                    </w:rPr>
                    <w:t>6）</w:t>
                  </w:r>
                  <w:r>
                    <w:rPr>
                      <w:rFonts w:ascii="宋体" w:hAnsi="宋体" w:cs="宋体" w:eastAsia="宋体"/>
                      <w:sz w:val="21"/>
                    </w:rPr>
                    <w:t>■</w:t>
                  </w:r>
                  <w:r>
                    <w:rPr>
                      <w:rFonts w:ascii="宋体" w:hAnsi="宋体" w:cs="宋体" w:eastAsia="宋体"/>
                      <w:sz w:val="21"/>
                    </w:rPr>
                    <w:t>分析结果和显示结果可进行数据、图表高精度存取。</w:t>
                  </w:r>
                </w:p>
                <w:p>
                  <w:pPr>
                    <w:pStyle w:val="null3"/>
                    <w:jc w:val="left"/>
                  </w:pPr>
                  <w:r>
                    <w:rPr>
                      <w:rFonts w:ascii="宋体" w:hAnsi="宋体" w:cs="宋体" w:eastAsia="宋体"/>
                      <w:sz w:val="21"/>
                      <w:b/>
                    </w:rPr>
                    <w:t>4、GIS数据CAD应用系统</w:t>
                  </w:r>
                </w:p>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与规划、交通设计业务流程相融合，在</w:t>
                  </w:r>
                  <w:r>
                    <w:rPr>
                      <w:rFonts w:ascii="宋体" w:hAnsi="宋体" w:cs="宋体" w:eastAsia="宋体"/>
                      <w:sz w:val="21"/>
                    </w:rPr>
                    <w:t>CAD软件中接入规划、交通等GIS空间数据，实现对空间数据的调用和查询，满足GIS数据调用、查询，为编制业务场景应用提供支持。</w:t>
                  </w:r>
                </w:p>
                <w:p>
                  <w:pPr>
                    <w:pStyle w:val="null3"/>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w:t>
                  </w:r>
                  <w:r>
                    <w:rPr>
                      <w:rFonts w:ascii="宋体" w:hAnsi="宋体" w:cs="宋体" w:eastAsia="宋体"/>
                      <w:sz w:val="21"/>
                    </w:rPr>
                    <w:t>实现在</w:t>
                  </w:r>
                  <w:r>
                    <w:rPr>
                      <w:rFonts w:ascii="宋体" w:hAnsi="宋体" w:cs="宋体" w:eastAsia="宋体"/>
                      <w:sz w:val="21"/>
                    </w:rPr>
                    <w:t>CAD平台下，能够调用并集成GIS数据，具体包括SHP（Shapefile）格式和GDB（Geodatabase）格式的矢量数据。</w:t>
                  </w:r>
                  <w:r>
                    <w:rPr>
                      <w:rFonts w:ascii="宋体" w:hAnsi="宋体" w:cs="宋体" w:eastAsia="宋体"/>
                      <w:sz w:val="21"/>
                    </w:rPr>
                    <w:t>（</w:t>
                  </w:r>
                  <w:r>
                    <w:rPr>
                      <w:rFonts w:ascii="宋体" w:hAnsi="宋体" w:cs="宋体" w:eastAsia="宋体"/>
                      <w:sz w:val="21"/>
                    </w:rPr>
                    <w:t>3</w:t>
                  </w:r>
                  <w:r>
                    <w:rPr>
                      <w:rFonts w:ascii="宋体" w:hAnsi="宋体" w:cs="宋体" w:eastAsia="宋体"/>
                      <w:sz w:val="21"/>
                    </w:rPr>
                    <w:t>）</w:t>
                  </w:r>
                  <w:r>
                    <w:rPr>
                      <w:rFonts w:ascii="宋体" w:hAnsi="宋体" w:cs="宋体" w:eastAsia="宋体"/>
                      <w:sz w:val="21"/>
                    </w:rPr>
                    <w:t>支持调用并接入标准的</w:t>
                  </w:r>
                  <w:r>
                    <w:rPr>
                      <w:rFonts w:ascii="宋体" w:hAnsi="宋体" w:cs="宋体" w:eastAsia="宋体"/>
                      <w:sz w:val="21"/>
                    </w:rPr>
                    <w:t>OGC服务，如WMS、WFS等，实现了跨平台、多源地理空间数据的无缝整合与应用</w:t>
                  </w:r>
                  <w:r>
                    <w:rPr>
                      <w:rFonts w:ascii="宋体" w:hAnsi="宋体" w:cs="宋体" w:eastAsia="宋体"/>
                      <w:sz w:val="21"/>
                    </w:rPr>
                    <w:t>。</w:t>
                  </w:r>
                </w:p>
                <w:p>
                  <w:pPr>
                    <w:pStyle w:val="null3"/>
                    <w:jc w:val="left"/>
                  </w:pPr>
                  <w:r>
                    <w:rPr>
                      <w:rFonts w:ascii="宋体" w:hAnsi="宋体" w:cs="宋体" w:eastAsia="宋体"/>
                      <w:sz w:val="21"/>
                    </w:rPr>
                    <w:t>①</w:t>
                  </w:r>
                  <w:r>
                    <w:rPr>
                      <w:rFonts w:ascii="宋体" w:hAnsi="宋体" w:cs="宋体" w:eastAsia="宋体"/>
                      <w:sz w:val="21"/>
                    </w:rPr>
                    <w:t>提供符号化配置工具；</w:t>
                  </w:r>
                </w:p>
                <w:p>
                  <w:pPr>
                    <w:pStyle w:val="null3"/>
                    <w:jc w:val="left"/>
                  </w:pPr>
                  <w:r>
                    <w:rPr>
                      <w:rFonts w:ascii="宋体" w:hAnsi="宋体" w:cs="宋体" w:eastAsia="宋体"/>
                      <w:sz w:val="21"/>
                    </w:rPr>
                    <w:t>②</w:t>
                  </w:r>
                  <w:r>
                    <w:rPr>
                      <w:rFonts w:ascii="宋体" w:hAnsi="宋体" w:cs="宋体" w:eastAsia="宋体"/>
                      <w:sz w:val="21"/>
                    </w:rPr>
                    <w:t>支持调用</w:t>
                  </w:r>
                  <w:r>
                    <w:rPr>
                      <w:rFonts w:ascii="宋体" w:hAnsi="宋体" w:cs="宋体" w:eastAsia="宋体"/>
                      <w:sz w:val="21"/>
                    </w:rPr>
                    <w:t>OGC服务，</w:t>
                  </w:r>
                  <w:r>
                    <w:rPr>
                      <w:rFonts w:ascii="宋体" w:hAnsi="宋体" w:cs="宋体" w:eastAsia="宋体"/>
                      <w:sz w:val="21"/>
                    </w:rPr>
                    <w:t>如</w:t>
                  </w:r>
                  <w:r>
                    <w:rPr>
                      <w:rFonts w:ascii="宋体" w:hAnsi="宋体" w:cs="宋体" w:eastAsia="宋体"/>
                      <w:sz w:val="21"/>
                    </w:rPr>
                    <w:t>WMS、WFS</w:t>
                  </w:r>
                  <w:r>
                    <w:rPr>
                      <w:rFonts w:ascii="宋体" w:hAnsi="宋体" w:cs="宋体" w:eastAsia="宋体"/>
                      <w:sz w:val="21"/>
                    </w:rPr>
                    <w:t>；</w:t>
                  </w:r>
                </w:p>
                <w:p>
                  <w:pPr>
                    <w:pStyle w:val="null3"/>
                    <w:jc w:val="left"/>
                  </w:pPr>
                  <w:r>
                    <w:rPr>
                      <w:rFonts w:ascii="宋体" w:hAnsi="宋体" w:cs="宋体" w:eastAsia="宋体"/>
                      <w:sz w:val="21"/>
                    </w:rPr>
                    <w:t>③</w:t>
                  </w:r>
                  <w:r>
                    <w:rPr>
                      <w:rFonts w:ascii="宋体" w:hAnsi="宋体" w:cs="宋体" w:eastAsia="宋体"/>
                      <w:sz w:val="21"/>
                    </w:rPr>
                    <w:t>■</w:t>
                  </w:r>
                  <w:r>
                    <w:rPr>
                      <w:rFonts w:ascii="宋体" w:hAnsi="宋体" w:cs="宋体" w:eastAsia="宋体"/>
                      <w:sz w:val="21"/>
                    </w:rPr>
                    <w:t>支持调用</w:t>
                  </w:r>
                  <w:r>
                    <w:rPr>
                      <w:rFonts w:ascii="宋体" w:hAnsi="宋体" w:cs="宋体" w:eastAsia="宋体"/>
                      <w:sz w:val="21"/>
                    </w:rPr>
                    <w:t>SHP（Shapefile）格式和GDB（Geodatabase）格式的矢量数据。</w:t>
                  </w:r>
                </w:p>
                <w:p>
                  <w:pPr>
                    <w:pStyle w:val="null3"/>
                    <w:jc w:val="left"/>
                  </w:pPr>
                  <w:r>
                    <w:rPr>
                      <w:rFonts w:ascii="宋体" w:hAnsi="宋体" w:cs="宋体" w:eastAsia="宋体"/>
                      <w:sz w:val="21"/>
                      <w:b/>
                    </w:rPr>
                    <w:t>5、知识库系统</w:t>
                  </w:r>
                </w:p>
                <w:p>
                  <w:pPr>
                    <w:pStyle w:val="null3"/>
                    <w:jc w:val="left"/>
                  </w:pPr>
                  <w:r>
                    <w:rPr>
                      <w:rFonts w:ascii="宋体" w:hAnsi="宋体" w:cs="宋体" w:eastAsia="宋体"/>
                      <w:sz w:val="21"/>
                    </w:rPr>
                    <w:t>进行行业规范知识库的建设，提供便捷的查询平台，促进行业信息的整合与交流，支持科学决策与规划优化</w:t>
                  </w:r>
                  <w:r>
                    <w:rPr>
                      <w:rFonts w:ascii="宋体" w:hAnsi="宋体" w:cs="宋体" w:eastAsia="宋体"/>
                      <w:sz w:val="21"/>
                    </w:rPr>
                    <w:t>。</w:t>
                  </w:r>
                </w:p>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私有服务器部署业务</w:t>
                  </w:r>
                </w:p>
                <w:p>
                  <w:pPr>
                    <w:pStyle w:val="null3"/>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不调用外部解析服务</w:t>
                  </w:r>
                </w:p>
                <w:p>
                  <w:pPr>
                    <w:pStyle w:val="null3"/>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友好交互界面</w:t>
                  </w:r>
                </w:p>
                <w:p>
                  <w:pPr>
                    <w:pStyle w:val="null3"/>
                    <w:jc w:val="left"/>
                  </w:pPr>
                  <w:r>
                    <w:rPr>
                      <w:rFonts w:ascii="宋体" w:hAnsi="宋体" w:cs="宋体" w:eastAsia="宋体"/>
                      <w:sz w:val="21"/>
                      <w:b/>
                    </w:rPr>
                    <w:t>6、交通大数据分析系统</w:t>
                  </w:r>
                </w:p>
                <w:p>
                  <w:pPr>
                    <w:pStyle w:val="null3"/>
                    <w:jc w:val="left"/>
                  </w:pPr>
                  <w:r>
                    <w:rPr>
                      <w:rFonts w:ascii="宋体" w:hAnsi="宋体" w:cs="宋体" w:eastAsia="宋体"/>
                      <w:sz w:val="21"/>
                    </w:rPr>
                    <w:t>对交通数据的分析，揭示</w:t>
                  </w:r>
                  <w:r>
                    <w:rPr>
                      <w:rFonts w:ascii="宋体" w:hAnsi="宋体" w:cs="宋体" w:eastAsia="宋体"/>
                      <w:sz w:val="21"/>
                    </w:rPr>
                    <w:t>公路、</w:t>
                  </w:r>
                  <w:r>
                    <w:rPr>
                      <w:rFonts w:ascii="宋体" w:hAnsi="宋体" w:cs="宋体" w:eastAsia="宋体"/>
                      <w:sz w:val="21"/>
                    </w:rPr>
                    <w:t>公交</w:t>
                  </w:r>
                  <w:r>
                    <w:rPr>
                      <w:rFonts w:ascii="宋体" w:hAnsi="宋体" w:cs="宋体" w:eastAsia="宋体"/>
                      <w:sz w:val="21"/>
                    </w:rPr>
                    <w:t>、</w:t>
                  </w:r>
                  <w:r>
                    <w:rPr>
                      <w:rFonts w:ascii="宋体" w:hAnsi="宋体" w:cs="宋体" w:eastAsia="宋体"/>
                      <w:sz w:val="21"/>
                    </w:rPr>
                    <w:t>地铁</w:t>
                  </w:r>
                  <w:r>
                    <w:rPr>
                      <w:rFonts w:ascii="宋体" w:hAnsi="宋体" w:cs="宋体" w:eastAsia="宋体"/>
                      <w:sz w:val="21"/>
                    </w:rPr>
                    <w:t>等</w:t>
                  </w:r>
                  <w:r>
                    <w:rPr>
                      <w:rFonts w:ascii="宋体" w:hAnsi="宋体" w:cs="宋体" w:eastAsia="宋体"/>
                      <w:sz w:val="21"/>
                    </w:rPr>
                    <w:t>系统在不同时间段、线路和区域的</w:t>
                  </w:r>
                  <w:r>
                    <w:rPr>
                      <w:rFonts w:ascii="宋体" w:hAnsi="宋体" w:cs="宋体" w:eastAsia="宋体"/>
                      <w:sz w:val="21"/>
                    </w:rPr>
                    <w:t>监测分析，为优化线路规划、调整运营策略和提升服务质量提供数据支持。</w:t>
                  </w:r>
                </w:p>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支持公路、城市道路、公交、出租、自行车等基础大数据的分析处理（演示数据量不低于</w:t>
                  </w:r>
                  <w:r>
                    <w:rPr>
                      <w:rFonts w:ascii="宋体" w:hAnsi="宋体" w:cs="宋体" w:eastAsia="宋体"/>
                      <w:sz w:val="21"/>
                    </w:rPr>
                    <w:t>4周）；</w:t>
                  </w:r>
                </w:p>
                <w:p>
                  <w:pPr>
                    <w:pStyle w:val="null3"/>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基于目标的路径优化计算及结果输出；</w:t>
                  </w:r>
                </w:p>
                <w:p>
                  <w:pPr>
                    <w:pStyle w:val="null3"/>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交通状态分析；</w:t>
                  </w:r>
                </w:p>
                <w:p>
                  <w:pPr>
                    <w:pStyle w:val="null3"/>
                    <w:jc w:val="left"/>
                  </w:pPr>
                  <w:r>
                    <w:rPr>
                      <w:rFonts w:ascii="宋体" w:hAnsi="宋体" w:cs="宋体" w:eastAsia="宋体"/>
                      <w:sz w:val="21"/>
                    </w:rPr>
                    <w:t>（</w:t>
                  </w:r>
                  <w:r>
                    <w:rPr>
                      <w:rFonts w:ascii="宋体" w:hAnsi="宋体" w:cs="宋体" w:eastAsia="宋体"/>
                      <w:sz w:val="21"/>
                    </w:rPr>
                    <w:t>4）</w:t>
                  </w:r>
                  <w:r>
                    <w:rPr>
                      <w:rFonts w:ascii="宋体" w:hAnsi="宋体" w:cs="宋体" w:eastAsia="宋体"/>
                      <w:sz w:val="21"/>
                    </w:rPr>
                    <w:t>交通预测分析。</w:t>
                  </w:r>
                </w:p>
                <w:p>
                  <w:pPr>
                    <w:pStyle w:val="null3"/>
                    <w:jc w:val="left"/>
                  </w:pPr>
                  <w:r>
                    <w:rPr>
                      <w:rFonts w:ascii="宋体" w:hAnsi="宋体" w:cs="宋体" w:eastAsia="宋体"/>
                      <w:sz w:val="21"/>
                      <w:b/>
                    </w:rPr>
                    <w:t>7、产业园区物流分析系统</w:t>
                  </w:r>
                </w:p>
                <w:p>
                  <w:pPr>
                    <w:pStyle w:val="null3"/>
                    <w:jc w:val="left"/>
                  </w:pPr>
                  <w:r>
                    <w:rPr>
                      <w:rFonts w:ascii="宋体" w:hAnsi="宋体" w:cs="宋体" w:eastAsia="宋体"/>
                      <w:sz w:val="21"/>
                    </w:rPr>
                    <w:t>以</w:t>
                  </w:r>
                  <w:r>
                    <w:rPr>
                      <w:rFonts w:ascii="宋体" w:hAnsi="宋体" w:cs="宋体" w:eastAsia="宋体"/>
                      <w:sz w:val="21"/>
                    </w:rPr>
                    <w:t>运输单元</w:t>
                  </w:r>
                  <w:r>
                    <w:rPr>
                      <w:rFonts w:ascii="宋体" w:hAnsi="宋体" w:cs="宋体" w:eastAsia="宋体"/>
                      <w:sz w:val="21"/>
                    </w:rPr>
                    <w:t>为中心，构建出入物流接入点</w:t>
                  </w:r>
                  <w:r>
                    <w:rPr>
                      <w:rFonts w:ascii="宋体" w:hAnsi="宋体" w:cs="宋体" w:eastAsia="宋体"/>
                      <w:sz w:val="21"/>
                    </w:rPr>
                    <w:t>，对构建好的物流信息进行统计分析、优化、评估。</w:t>
                  </w:r>
                </w:p>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支持拓扑网络构建；</w:t>
                  </w:r>
                </w:p>
                <w:p>
                  <w:pPr>
                    <w:pStyle w:val="null3"/>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支持分析图表的保存和转出。</w:t>
                  </w:r>
                </w:p>
                <w:p>
                  <w:pPr>
                    <w:pStyle w:val="null3"/>
                    <w:jc w:val="left"/>
                  </w:pPr>
                  <w:r>
                    <w:rPr>
                      <w:rFonts w:ascii="宋体" w:hAnsi="宋体" w:cs="宋体" w:eastAsia="宋体"/>
                      <w:sz w:val="21"/>
                      <w:b/>
                    </w:rPr>
                    <w:t>8、选址分析系统</w:t>
                  </w:r>
                </w:p>
                <w:p>
                  <w:pPr>
                    <w:pStyle w:val="null3"/>
                    <w:jc w:val="left"/>
                  </w:pPr>
                  <w:r>
                    <w:rPr>
                      <w:rFonts w:ascii="宋体" w:hAnsi="宋体" w:cs="宋体" w:eastAsia="宋体"/>
                      <w:sz w:val="21"/>
                    </w:rPr>
                    <w:t>建立选址分析服务框架，可进行交通设施、产业园区的选址分析。</w:t>
                  </w:r>
                </w:p>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支持模块化算法；</w:t>
                  </w:r>
                </w:p>
                <w:p>
                  <w:pPr>
                    <w:pStyle w:val="null3"/>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对交通、产业、地理信息数据的统计计算</w:t>
                  </w:r>
                  <w:r>
                    <w:rPr>
                      <w:rFonts w:ascii="宋体" w:hAnsi="宋体" w:cs="宋体" w:eastAsia="宋体"/>
                      <w:sz w:val="21"/>
                    </w:rPr>
                    <w:t>；</w:t>
                  </w:r>
                </w:p>
                <w:p>
                  <w:pPr>
                    <w:pStyle w:val="null3"/>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图形及各阶段表格灵活输出</w:t>
                  </w:r>
                  <w:r>
                    <w:rPr>
                      <w:rFonts w:ascii="宋体" w:hAnsi="宋体" w:cs="宋体" w:eastAsia="宋体"/>
                      <w:sz w:val="21"/>
                    </w:rPr>
                    <w:t>。</w:t>
                  </w:r>
                </w:p>
                <w:p>
                  <w:pPr>
                    <w:pStyle w:val="null3"/>
                    <w:jc w:val="both"/>
                  </w:pPr>
                  <w:r>
                    <w:rPr>
                      <w:rFonts w:ascii="times new roman, times, serif" w:hAnsi="times new roman, times, serif" w:cs="times new roman, times, serif" w:eastAsia="times new roman, times, serif"/>
                      <w:sz w:val="21"/>
                    </w:rPr>
                    <w:t>9</w:t>
                  </w:r>
                  <w:r>
                    <w:rPr>
                      <w:rFonts w:ascii="宋体" w:hAnsi="宋体" w:cs="宋体" w:eastAsia="宋体"/>
                      <w:sz w:val="21"/>
                    </w:rPr>
                    <w:t>、案例数据要求</w:t>
                  </w:r>
                </w:p>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w:t>
                  </w:r>
                  <w:r>
                    <w:rPr>
                      <w:rFonts w:ascii="宋体" w:hAnsi="宋体" w:cs="宋体" w:eastAsia="宋体"/>
                      <w:sz w:val="21"/>
                    </w:rPr>
                    <w:t>交付使用时提供不少于</w:t>
                  </w:r>
                  <w:r>
                    <w:rPr>
                      <w:rFonts w:ascii="宋体" w:hAnsi="宋体" w:cs="宋体" w:eastAsia="宋体"/>
                      <w:sz w:val="21"/>
                    </w:rPr>
                    <w:t>1TB的案例数据（不包含视频数据）</w:t>
                  </w:r>
                  <w:r>
                    <w:rPr>
                      <w:rFonts w:ascii="宋体" w:hAnsi="宋体" w:cs="宋体" w:eastAsia="宋体"/>
                      <w:sz w:val="21"/>
                    </w:rPr>
                    <w:t>；三年</w:t>
                  </w:r>
                  <w:r>
                    <w:rPr>
                      <w:rFonts w:ascii="宋体" w:hAnsi="宋体" w:cs="宋体" w:eastAsia="宋体"/>
                      <w:sz w:val="21"/>
                    </w:rPr>
                    <w:t>内每年提供不少于</w:t>
                  </w:r>
                  <w:r>
                    <w:rPr>
                      <w:rFonts w:ascii="宋体" w:hAnsi="宋体" w:cs="宋体" w:eastAsia="宋体"/>
                      <w:sz w:val="21"/>
                    </w:rPr>
                    <w:t>1TB的案例数据。</w:t>
                  </w:r>
                </w:p>
                <w:p>
                  <w:pPr>
                    <w:pStyle w:val="null3"/>
                    <w:jc w:val="left"/>
                  </w:pPr>
                  <w:r>
                    <w:rPr>
                      <w:rFonts w:ascii="宋体" w:hAnsi="宋体" w:cs="宋体" w:eastAsia="宋体"/>
                      <w:sz w:val="21"/>
                    </w:rPr>
                    <w:t>数据类型：地理信息、</w:t>
                  </w:r>
                  <w:r>
                    <w:rPr>
                      <w:rFonts w:ascii="宋体" w:hAnsi="宋体" w:cs="宋体" w:eastAsia="宋体"/>
                      <w:sz w:val="21"/>
                    </w:rPr>
                    <w:t>公路</w:t>
                  </w:r>
                  <w:r>
                    <w:rPr>
                      <w:rFonts w:ascii="宋体" w:hAnsi="宋体" w:cs="宋体" w:eastAsia="宋体"/>
                      <w:sz w:val="21"/>
                    </w:rPr>
                    <w:t>、城市交通、产业园区等</w:t>
                  </w:r>
                  <w:r>
                    <w:rPr>
                      <w:rFonts w:ascii="宋体" w:hAnsi="宋体" w:cs="宋体" w:eastAsia="宋体"/>
                      <w:sz w:val="21"/>
                    </w:rPr>
                    <w:t>；</w:t>
                  </w:r>
                </w:p>
                <w:p>
                  <w:pPr>
                    <w:pStyle w:val="null3"/>
                    <w:jc w:val="left"/>
                  </w:pPr>
                  <w:r>
                    <w:rPr>
                      <w:rFonts w:ascii="宋体" w:hAnsi="宋体" w:cs="宋体" w:eastAsia="宋体"/>
                      <w:sz w:val="21"/>
                    </w:rPr>
                    <w:t>数据时效：</w:t>
                  </w:r>
                  <w:r>
                    <w:rPr>
                      <w:rFonts w:ascii="宋体" w:hAnsi="宋体" w:cs="宋体" w:eastAsia="宋体"/>
                      <w:sz w:val="21"/>
                    </w:rPr>
                    <w:t>从交付日起算</w:t>
                  </w:r>
                  <w:r>
                    <w:rPr>
                      <w:rFonts w:ascii="宋体" w:hAnsi="宋体" w:cs="宋体" w:eastAsia="宋体"/>
                      <w:sz w:val="21"/>
                    </w:rPr>
                    <w:t>3年</w:t>
                  </w:r>
                  <w:r>
                    <w:rPr>
                      <w:rFonts w:ascii="宋体" w:hAnsi="宋体" w:cs="宋体" w:eastAsia="宋体"/>
                      <w:sz w:val="21"/>
                    </w:rPr>
                    <w:t>内；</w:t>
                  </w:r>
                </w:p>
                <w:p>
                  <w:pPr>
                    <w:pStyle w:val="null3"/>
                    <w:jc w:val="both"/>
                  </w:pPr>
                  <w:r>
                    <w:rPr>
                      <w:rFonts w:ascii="宋体" w:hAnsi="宋体" w:cs="宋体" w:eastAsia="宋体"/>
                      <w:sz w:val="21"/>
                    </w:rPr>
                    <w:t>范围：项目实施地范围内。</w:t>
                  </w:r>
                </w:p>
                <w:p>
                  <w:pPr>
                    <w:pStyle w:val="null3"/>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两个场地点云、倾斜摄影和航拍</w:t>
                  </w:r>
                  <w:r>
                    <w:rPr>
                      <w:rFonts w:ascii="宋体" w:hAnsi="宋体" w:cs="宋体" w:eastAsia="宋体"/>
                      <w:sz w:val="21"/>
                    </w:rPr>
                    <w:t>数据</w:t>
                  </w:r>
                  <w:r>
                    <w:rPr>
                      <w:rFonts w:ascii="宋体" w:hAnsi="宋体" w:cs="宋体" w:eastAsia="宋体"/>
                      <w:sz w:val="21"/>
                    </w:rPr>
                    <w:t>。（项目所在地市区范围内，两块地总投影面积</w:t>
                  </w:r>
                  <w:r>
                    <w:rPr>
                      <w:rFonts w:ascii="宋体" w:hAnsi="宋体" w:cs="宋体" w:eastAsia="宋体"/>
                      <w:sz w:val="21"/>
                    </w:rPr>
                    <w:t>≥2km</w:t>
                  </w:r>
                  <w:r>
                    <w:rPr>
                      <w:rFonts w:ascii="宋体" w:hAnsi="宋体" w:cs="宋体" w:eastAsia="宋体"/>
                      <w:sz w:val="21"/>
                      <w:vertAlign w:val="superscript"/>
                    </w:rPr>
                    <w:t>2</w:t>
                  </w:r>
                  <w:r>
                    <w:rPr>
                      <w:rFonts w:ascii="宋体" w:hAnsi="宋体" w:cs="宋体" w:eastAsia="宋体"/>
                      <w:sz w:val="21"/>
                    </w:rPr>
                    <w:t>，采集时间为</w:t>
                  </w:r>
                  <w:r>
                    <w:rPr>
                      <w:rFonts w:ascii="宋体" w:hAnsi="宋体" w:cs="宋体" w:eastAsia="宋体"/>
                      <w:sz w:val="21"/>
                    </w:rPr>
                    <w:t>合同签订起</w:t>
                  </w:r>
                  <w:r>
                    <w:rPr>
                      <w:rFonts w:ascii="宋体" w:hAnsi="宋体" w:cs="宋体" w:eastAsia="宋体"/>
                      <w:sz w:val="21"/>
                    </w:rPr>
                    <w:t>120个工作日内</w:t>
                  </w:r>
                  <w:r>
                    <w:rPr>
                      <w:rFonts w:ascii="宋体" w:hAnsi="宋体" w:cs="宋体" w:eastAsia="宋体"/>
                      <w:sz w:val="21"/>
                    </w:rPr>
                    <w:t>，具体场地由甲方确定）</w:t>
                  </w:r>
                </w:p>
                <w:p>
                  <w:pPr>
                    <w:pStyle w:val="null3"/>
                    <w:jc w:val="both"/>
                  </w:pPr>
                  <w:r>
                    <w:rPr>
                      <w:rFonts w:ascii="宋体" w:hAnsi="宋体" w:cs="宋体" w:eastAsia="宋体"/>
                      <w:sz w:val="21"/>
                    </w:rPr>
                    <w:t>倾斜摄影：精度</w:t>
                  </w:r>
                  <w:r>
                    <w:rPr>
                      <w:rFonts w:ascii="宋体" w:hAnsi="宋体" w:cs="宋体" w:eastAsia="宋体"/>
                      <w:sz w:val="21"/>
                    </w:rPr>
                    <w:t>≤5cm</w:t>
                  </w:r>
                  <w:r>
                    <w:rPr>
                      <w:rFonts w:ascii="宋体" w:hAnsi="宋体" w:cs="宋体" w:eastAsia="宋体"/>
                      <w:sz w:val="21"/>
                    </w:rPr>
                    <w:t>；</w:t>
                  </w:r>
                </w:p>
                <w:p>
                  <w:pPr>
                    <w:pStyle w:val="null3"/>
                    <w:jc w:val="both"/>
                  </w:pPr>
                  <w:r>
                    <w:rPr>
                      <w:rFonts w:ascii="宋体" w:hAnsi="宋体" w:cs="宋体" w:eastAsia="宋体"/>
                      <w:sz w:val="21"/>
                    </w:rPr>
                    <w:t>点云：</w:t>
                  </w:r>
                  <w:r>
                    <w:rPr>
                      <w:rFonts w:ascii="宋体" w:hAnsi="宋体" w:cs="宋体" w:eastAsia="宋体"/>
                      <w:sz w:val="21"/>
                    </w:rPr>
                    <w:t>密度</w:t>
                  </w:r>
                  <w:r>
                    <w:rPr>
                      <w:rFonts w:ascii="宋体" w:hAnsi="宋体" w:cs="宋体" w:eastAsia="宋体"/>
                      <w:sz w:val="21"/>
                    </w:rPr>
                    <w:t>≥</w:t>
                  </w:r>
                  <w:r>
                    <w:rPr>
                      <w:rFonts w:ascii="times new roman, times, serif" w:hAnsi="times new roman, times, serif" w:cs="times new roman, times, serif" w:eastAsia="times new roman, times, serif"/>
                      <w:sz w:val="21"/>
                    </w:rPr>
                    <w:t>10w/</w:t>
                  </w:r>
                  <w:r>
                    <w:rPr>
                      <w:rFonts w:ascii="宋体" w:hAnsi="宋体" w:cs="宋体" w:eastAsia="宋体"/>
                      <w:sz w:val="21"/>
                    </w:rPr>
                    <w:t>㎡，</w:t>
                  </w:r>
                  <w:r>
                    <w:rPr>
                      <w:rFonts w:ascii="宋体" w:hAnsi="宋体" w:cs="宋体" w:eastAsia="宋体"/>
                      <w:sz w:val="21"/>
                    </w:rPr>
                    <w:t>具</w:t>
                  </w:r>
                  <w:r>
                    <w:rPr>
                      <w:rFonts w:ascii="宋体" w:hAnsi="宋体" w:cs="宋体" w:eastAsia="宋体"/>
                      <w:sz w:val="21"/>
                    </w:rPr>
                    <w:t>备</w:t>
                  </w:r>
                  <w:r>
                    <w:rPr>
                      <w:rFonts w:ascii="宋体" w:hAnsi="宋体" w:cs="宋体" w:eastAsia="宋体"/>
                      <w:sz w:val="21"/>
                    </w:rPr>
                    <w:t>影视效果</w:t>
                  </w:r>
                  <w:r>
                    <w:rPr>
                      <w:rFonts w:ascii="宋体" w:hAnsi="宋体" w:cs="宋体" w:eastAsia="宋体"/>
                      <w:sz w:val="21"/>
                    </w:rPr>
                    <w:t>。</w:t>
                  </w:r>
                </w:p>
                <w:p>
                  <w:pPr>
                    <w:pStyle w:val="null3"/>
                    <w:ind w:left="420"/>
                    <w:jc w:val="both"/>
                  </w:pPr>
                  <w:r>
                    <w:rPr>
                      <w:rFonts w:ascii="宋体" w:hAnsi="宋体" w:cs="宋体" w:eastAsia="宋体"/>
                      <w:sz w:val="21"/>
                      <w:b/>
                    </w:rPr>
                    <w:t>10、其他内容</w:t>
                  </w:r>
                </w:p>
                <w:p>
                  <w:pPr>
                    <w:pStyle w:val="null3"/>
                    <w:jc w:val="left"/>
                  </w:pPr>
                  <w:r>
                    <w:rPr>
                      <w:rFonts w:ascii="宋体" w:hAnsi="宋体" w:cs="宋体" w:eastAsia="宋体"/>
                      <w:sz w:val="21"/>
                    </w:rPr>
                    <w:t>（</w:t>
                  </w:r>
                  <w:r>
                    <w:rPr>
                      <w:rFonts w:ascii="宋体" w:hAnsi="宋体" w:cs="宋体" w:eastAsia="宋体"/>
                      <w:sz w:val="21"/>
                    </w:rPr>
                    <w:t>1）GIS基础统计分析工具；</w:t>
                  </w:r>
                </w:p>
                <w:p>
                  <w:pPr>
                    <w:pStyle w:val="null3"/>
                    <w:jc w:val="left"/>
                  </w:pPr>
                  <w:r>
                    <w:rPr>
                      <w:rFonts w:ascii="宋体" w:hAnsi="宋体" w:cs="宋体" w:eastAsia="宋体"/>
                      <w:sz w:val="21"/>
                    </w:rPr>
                    <w:t>布尔运算、数据合并与拆分、缓冲分析、叠加分析、网络分析、统计分析、最短路分析、密度分析、</w:t>
                  </w:r>
                  <w:r>
                    <w:rPr>
                      <w:rFonts w:ascii="宋体" w:hAnsi="宋体" w:cs="宋体" w:eastAsia="宋体"/>
                      <w:sz w:val="21"/>
                    </w:rPr>
                    <w:t>OD分析等。</w:t>
                  </w:r>
                </w:p>
                <w:p>
                  <w:pPr>
                    <w:pStyle w:val="null3"/>
                    <w:jc w:val="left"/>
                  </w:pPr>
                  <w:r>
                    <w:rPr>
                      <w:rFonts w:ascii="宋体" w:hAnsi="宋体" w:cs="宋体" w:eastAsia="宋体"/>
                      <w:sz w:val="21"/>
                    </w:rPr>
                    <w:t>（</w:t>
                  </w:r>
                  <w:r>
                    <w:rPr>
                      <w:rFonts w:ascii="宋体" w:hAnsi="宋体" w:cs="宋体" w:eastAsia="宋体"/>
                      <w:sz w:val="21"/>
                    </w:rPr>
                    <w:t>2）支持二次开发接口</w:t>
                  </w:r>
                  <w:r>
                    <w:rPr>
                      <w:rFonts w:ascii="宋体" w:hAnsi="宋体" w:cs="宋体" w:eastAsia="宋体"/>
                      <w:sz w:val="21"/>
                    </w:rPr>
                    <w:t>：</w:t>
                  </w:r>
                </w:p>
                <w:p>
                  <w:pPr>
                    <w:pStyle w:val="null3"/>
                    <w:jc w:val="left"/>
                  </w:pPr>
                  <w:r>
                    <w:rPr>
                      <w:rFonts w:ascii="宋体" w:hAnsi="宋体" w:cs="宋体" w:eastAsia="宋体"/>
                      <w:sz w:val="21"/>
                    </w:rPr>
                    <w:t>接口具有规范性，有依赖管理，具有安全性设计，具有版本控制。</w:t>
                  </w:r>
                </w:p>
                <w:p>
                  <w:pPr>
                    <w:pStyle w:val="null3"/>
                    <w:jc w:val="left"/>
                  </w:pPr>
                  <w:r>
                    <w:rPr>
                      <w:rFonts w:ascii="宋体" w:hAnsi="宋体" w:cs="宋体" w:eastAsia="宋体"/>
                      <w:sz w:val="21"/>
                    </w:rPr>
                    <w:t>（</w:t>
                  </w:r>
                  <w:r>
                    <w:rPr>
                      <w:rFonts w:ascii="宋体" w:hAnsi="宋体" w:cs="宋体" w:eastAsia="宋体"/>
                      <w:sz w:val="21"/>
                    </w:rPr>
                    <w:t>3）协助进行网络部署</w:t>
                  </w:r>
                  <w:r>
                    <w:rPr>
                      <w:rFonts w:ascii="宋体" w:hAnsi="宋体" w:cs="宋体" w:eastAsia="宋体"/>
                      <w:sz w:val="21"/>
                    </w:rPr>
                    <w:t>：</w:t>
                  </w:r>
                </w:p>
                <w:p>
                  <w:pPr>
                    <w:pStyle w:val="null3"/>
                    <w:jc w:val="left"/>
                  </w:pPr>
                  <w:r>
                    <w:rPr>
                      <w:rFonts w:ascii="宋体" w:hAnsi="宋体" w:cs="宋体" w:eastAsia="宋体"/>
                      <w:sz w:val="21"/>
                    </w:rPr>
                    <w:t>云服务器</w:t>
                  </w:r>
                  <w:r>
                    <w:rPr>
                      <w:rFonts w:ascii="宋体" w:hAnsi="宋体" w:cs="宋体" w:eastAsia="宋体"/>
                      <w:sz w:val="21"/>
                    </w:rPr>
                    <w:t>部署；</w:t>
                  </w:r>
                  <w:r>
                    <w:rPr>
                      <w:rFonts w:ascii="宋体" w:hAnsi="宋体" w:cs="宋体" w:eastAsia="宋体"/>
                      <w:sz w:val="21"/>
                    </w:rPr>
                    <w:t>协助进行校园网络部署</w:t>
                  </w:r>
                  <w:r>
                    <w:rPr>
                      <w:rFonts w:ascii="宋体" w:hAnsi="宋体" w:cs="宋体" w:eastAsia="宋体"/>
                      <w:sz w:val="21"/>
                    </w:rPr>
                    <w:t>；</w:t>
                  </w:r>
                  <w:r>
                    <w:rPr>
                      <w:rFonts w:ascii="宋体" w:hAnsi="宋体" w:cs="宋体" w:eastAsia="宋体"/>
                      <w:sz w:val="21"/>
                    </w:rPr>
                    <w:t>进行</w:t>
                  </w:r>
                  <w:r>
                    <w:rPr>
                      <w:rFonts w:ascii="宋体" w:hAnsi="宋体" w:cs="宋体" w:eastAsia="宋体"/>
                      <w:sz w:val="21"/>
                    </w:rPr>
                    <w:t>服务器</w:t>
                  </w:r>
                  <w:r>
                    <w:rPr>
                      <w:rFonts w:ascii="宋体" w:hAnsi="宋体" w:cs="宋体" w:eastAsia="宋体"/>
                      <w:sz w:val="21"/>
                    </w:rPr>
                    <w:t>硬件设备</w:t>
                  </w:r>
                  <w:r>
                    <w:rPr>
                      <w:rFonts w:ascii="宋体" w:hAnsi="宋体" w:cs="宋体" w:eastAsia="宋体"/>
                      <w:sz w:val="21"/>
                    </w:rPr>
                    <w:t>安装及</w:t>
                  </w:r>
                  <w:r>
                    <w:rPr>
                      <w:rFonts w:ascii="宋体" w:hAnsi="宋体" w:cs="宋体" w:eastAsia="宋体"/>
                      <w:sz w:val="21"/>
                    </w:rPr>
                    <w:t>迁移</w:t>
                  </w:r>
                  <w:r>
                    <w:rPr>
                      <w:rFonts w:ascii="宋体" w:hAnsi="宋体" w:cs="宋体" w:eastAsia="宋体"/>
                      <w:sz w:val="21"/>
                    </w:rPr>
                    <w:t>（不少于</w:t>
                  </w:r>
                  <w:r>
                    <w:rPr>
                      <w:rFonts w:ascii="宋体" w:hAnsi="宋体" w:cs="宋体" w:eastAsia="宋体"/>
                      <w:sz w:val="21"/>
                    </w:rPr>
                    <w:t>1次）</w:t>
                  </w:r>
                  <w:r>
                    <w:rPr>
                      <w:rFonts w:ascii="宋体" w:hAnsi="宋体" w:cs="宋体" w:eastAsia="宋体"/>
                      <w:sz w:val="21"/>
                    </w:rPr>
                    <w:t>。</w:t>
                  </w:r>
                </w:p>
                <w:p>
                  <w:pPr>
                    <w:pStyle w:val="null3"/>
                    <w:jc w:val="left"/>
                  </w:pPr>
                  <w:r>
                    <w:rPr>
                      <w:rFonts w:ascii="宋体" w:hAnsi="宋体" w:cs="宋体" w:eastAsia="宋体"/>
                      <w:sz w:val="21"/>
                    </w:rPr>
                    <w:t>（</w:t>
                  </w:r>
                  <w:r>
                    <w:rPr>
                      <w:rFonts w:ascii="&quot;times new roman&quot;" w:hAnsi="&quot;times new roman&quot;" w:cs="&quot;times new roman&quot;" w:eastAsia="&quot;times new roman&quot;"/>
                      <w:sz w:val="21"/>
                    </w:rPr>
                    <w:t>4</w:t>
                  </w:r>
                  <w:r>
                    <w:rPr>
                      <w:rFonts w:ascii="宋体" w:hAnsi="宋体" w:cs="宋体" w:eastAsia="宋体"/>
                      <w:sz w:val="21"/>
                    </w:rPr>
                    <w:t>）</w:t>
                  </w:r>
                  <w:r>
                    <w:rPr>
                      <w:rFonts w:ascii="宋体" w:hAnsi="宋体" w:cs="宋体" w:eastAsia="宋体"/>
                      <w:sz w:val="21"/>
                    </w:rPr>
                    <w:t>用户管理</w:t>
                  </w:r>
                  <w:r>
                    <w:rPr>
                      <w:rFonts w:ascii="宋体" w:hAnsi="宋体" w:cs="宋体" w:eastAsia="宋体"/>
                      <w:sz w:val="21"/>
                    </w:rPr>
                    <w:t>：</w:t>
                  </w:r>
                  <w:r>
                    <w:rPr>
                      <w:rFonts w:ascii="宋体" w:hAnsi="宋体" w:cs="宋体" w:eastAsia="宋体"/>
                      <w:sz w:val="21"/>
                    </w:rPr>
                    <w:t>分级分组管理。</w:t>
                  </w:r>
                </w:p>
              </w:tc>
              <w:tc>
                <w:tcPr>
                  <w:tcW w:type="dxa" w:w="71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宋体" w:hAnsi="宋体" w:cs="宋体" w:eastAsia="宋体"/>
                      <w:sz w:val="21"/>
                    </w:rPr>
                    <w:t>（</w:t>
                  </w:r>
                  <w:r>
                    <w:rPr>
                      <w:rFonts w:ascii="宋体" w:hAnsi="宋体" w:cs="宋体" w:eastAsia="宋体"/>
                      <w:sz w:val="21"/>
                    </w:rPr>
                    <w:t>1）系统部署在服务器端；提供PC端带用户界面操作</w:t>
                  </w:r>
                  <w:r>
                    <w:rPr>
                      <w:rFonts w:ascii="宋体" w:hAnsi="宋体" w:cs="宋体" w:eastAsia="宋体"/>
                      <w:sz w:val="21"/>
                    </w:rPr>
                    <w:t>的</w:t>
                  </w:r>
                  <w:r>
                    <w:rPr>
                      <w:rFonts w:ascii="宋体" w:hAnsi="宋体" w:cs="宋体" w:eastAsia="宋体"/>
                      <w:sz w:val="21"/>
                    </w:rPr>
                    <w:t>软件和平台，以及应用端相关工具。</w:t>
                  </w:r>
                </w:p>
                <w:p>
                  <w:pPr>
                    <w:pStyle w:val="null3"/>
                    <w:jc w:val="left"/>
                  </w:pPr>
                  <w:r>
                    <w:rPr>
                      <w:rFonts w:ascii="宋体" w:hAnsi="宋体" w:cs="宋体" w:eastAsia="宋体"/>
                      <w:sz w:val="21"/>
                    </w:rPr>
                    <w:t>（</w:t>
                  </w:r>
                  <w:r>
                    <w:rPr>
                      <w:rFonts w:ascii="宋体" w:hAnsi="宋体" w:cs="宋体" w:eastAsia="宋体"/>
                      <w:sz w:val="21"/>
                    </w:rPr>
                    <w:t>2）软件要求</w:t>
                  </w:r>
                  <w:r>
                    <w:rPr>
                      <w:rFonts w:ascii="宋体" w:hAnsi="宋体" w:cs="宋体" w:eastAsia="宋体"/>
                      <w:sz w:val="21"/>
                    </w:rPr>
                    <w:t>：</w:t>
                  </w:r>
                </w:p>
                <w:p>
                  <w:pPr>
                    <w:pStyle w:val="null3"/>
                    <w:jc w:val="left"/>
                  </w:pPr>
                  <w:r>
                    <w:rPr>
                      <w:rFonts w:ascii="宋体" w:hAnsi="宋体" w:cs="宋体" w:eastAsia="宋体"/>
                      <w:sz w:val="21"/>
                    </w:rPr>
                    <w:t>①</w:t>
                  </w:r>
                  <w:r>
                    <w:rPr>
                      <w:rFonts w:ascii="宋体" w:hAnsi="宋体" w:cs="宋体" w:eastAsia="宋体"/>
                      <w:sz w:val="21"/>
                    </w:rPr>
                    <w:t>采用开源数据库；</w:t>
                  </w:r>
                </w:p>
                <w:p>
                  <w:pPr>
                    <w:pStyle w:val="null3"/>
                    <w:jc w:val="left"/>
                  </w:pPr>
                  <w:r>
                    <w:rPr>
                      <w:rFonts w:ascii="宋体" w:hAnsi="宋体" w:cs="宋体" w:eastAsia="宋体"/>
                      <w:sz w:val="21"/>
                    </w:rPr>
                    <w:t>②</w:t>
                  </w:r>
                  <w:r>
                    <w:rPr>
                      <w:rFonts w:ascii="宋体" w:hAnsi="宋体" w:cs="宋体" w:eastAsia="宋体"/>
                      <w:sz w:val="21"/>
                    </w:rPr>
                    <w:t>交付成果中不能有再次收费的软件或项目。</w:t>
                  </w:r>
                </w:p>
                <w:p>
                  <w:pPr>
                    <w:pStyle w:val="null3"/>
                    <w:jc w:val="left"/>
                  </w:pPr>
                  <w:r>
                    <w:rPr>
                      <w:rFonts w:ascii="宋体" w:hAnsi="宋体" w:cs="宋体" w:eastAsia="宋体"/>
                      <w:sz w:val="21"/>
                    </w:rPr>
                    <w:t>（</w:t>
                  </w:r>
                  <w:r>
                    <w:rPr>
                      <w:rFonts w:ascii="宋体" w:hAnsi="宋体" w:cs="宋体" w:eastAsia="宋体"/>
                      <w:sz w:val="21"/>
                    </w:rPr>
                    <w:t>3）基础功能</w:t>
                  </w:r>
                  <w:r>
                    <w:rPr>
                      <w:rFonts w:ascii="宋体" w:hAnsi="宋体" w:cs="宋体" w:eastAsia="宋体"/>
                      <w:sz w:val="21"/>
                    </w:rPr>
                    <w:t>：</w:t>
                  </w:r>
                </w:p>
                <w:p>
                  <w:pPr>
                    <w:pStyle w:val="null3"/>
                    <w:jc w:val="left"/>
                  </w:pPr>
                  <w:r>
                    <w:rPr>
                      <w:rFonts w:ascii="宋体" w:hAnsi="宋体" w:cs="宋体" w:eastAsia="宋体"/>
                      <w:sz w:val="21"/>
                    </w:rPr>
                    <w:t>①</w:t>
                  </w:r>
                  <w:r>
                    <w:rPr>
                      <w:rFonts w:ascii="宋体" w:hAnsi="宋体" w:cs="宋体" w:eastAsia="宋体"/>
                      <w:sz w:val="21"/>
                    </w:rPr>
                    <w:t>支持多坐标系；</w:t>
                  </w:r>
                </w:p>
                <w:p>
                  <w:pPr>
                    <w:pStyle w:val="null3"/>
                    <w:jc w:val="left"/>
                  </w:pPr>
                  <w:r>
                    <w:rPr>
                      <w:rFonts w:ascii="宋体" w:hAnsi="宋体" w:cs="宋体" w:eastAsia="宋体"/>
                      <w:sz w:val="21"/>
                    </w:rPr>
                    <w:t>②</w:t>
                  </w:r>
                  <w:r>
                    <w:rPr>
                      <w:rFonts w:ascii="宋体" w:hAnsi="宋体" w:cs="宋体" w:eastAsia="宋体"/>
                      <w:sz w:val="21"/>
                    </w:rPr>
                    <w:t>多底图切换；</w:t>
                  </w:r>
                </w:p>
                <w:p>
                  <w:pPr>
                    <w:pStyle w:val="null3"/>
                    <w:jc w:val="left"/>
                  </w:pPr>
                  <w:r>
                    <w:rPr>
                      <w:rFonts w:ascii="宋体" w:hAnsi="宋体" w:cs="宋体" w:eastAsia="宋体"/>
                      <w:sz w:val="21"/>
                    </w:rPr>
                    <w:t>③</w:t>
                  </w:r>
                  <w:r>
                    <w:rPr>
                      <w:rFonts w:ascii="宋体" w:hAnsi="宋体" w:cs="宋体" w:eastAsia="宋体"/>
                      <w:sz w:val="21"/>
                    </w:rPr>
                    <w:t>服务快速响应。</w:t>
                  </w:r>
                </w:p>
                <w:p>
                  <w:pPr>
                    <w:pStyle w:val="null3"/>
                    <w:jc w:val="left"/>
                  </w:pPr>
                  <w:r>
                    <w:rPr>
                      <w:rFonts w:ascii="宋体" w:hAnsi="宋体" w:cs="宋体" w:eastAsia="宋体"/>
                      <w:sz w:val="21"/>
                    </w:rPr>
                    <w:t>（</w:t>
                  </w:r>
                  <w:r>
                    <w:rPr>
                      <w:rFonts w:ascii="宋体" w:hAnsi="宋体" w:cs="宋体" w:eastAsia="宋体"/>
                      <w:sz w:val="21"/>
                    </w:rPr>
                    <w:t>4）分析功能</w:t>
                  </w:r>
                  <w:r>
                    <w:rPr>
                      <w:rFonts w:ascii="宋体" w:hAnsi="宋体" w:cs="宋体" w:eastAsia="宋体"/>
                      <w:sz w:val="21"/>
                    </w:rPr>
                    <w:t>：</w:t>
                  </w:r>
                </w:p>
                <w:p>
                  <w:pPr>
                    <w:pStyle w:val="null3"/>
                    <w:jc w:val="left"/>
                  </w:pPr>
                  <w:r>
                    <w:rPr>
                      <w:rFonts w:ascii="宋体" w:hAnsi="宋体" w:cs="宋体" w:eastAsia="宋体"/>
                      <w:sz w:val="21"/>
                    </w:rPr>
                    <w:t>不少于</w:t>
                  </w:r>
                  <w:r>
                    <w:rPr>
                      <w:rFonts w:ascii="宋体" w:hAnsi="宋体" w:cs="宋体" w:eastAsia="宋体"/>
                      <w:sz w:val="21"/>
                    </w:rPr>
                    <w:t>10个基础模型建设</w:t>
                  </w:r>
                  <w:r>
                    <w:rPr>
                      <w:rFonts w:ascii="宋体" w:hAnsi="宋体" w:cs="宋体" w:eastAsia="宋体"/>
                      <w:sz w:val="21"/>
                    </w:rPr>
                    <w:t>，应包含</w:t>
                  </w:r>
                  <w:r>
                    <w:rPr>
                      <w:rFonts w:ascii="宋体" w:hAnsi="宋体" w:cs="宋体" w:eastAsia="宋体"/>
                      <w:sz w:val="21"/>
                    </w:rPr>
                    <w:t>:</w:t>
                  </w:r>
                  <w:r>
                    <w:rPr>
                      <w:rFonts w:ascii="宋体" w:hAnsi="宋体" w:cs="宋体" w:eastAsia="宋体"/>
                      <w:sz w:val="21"/>
                    </w:rPr>
                    <w:t>规划</w:t>
                  </w:r>
                  <w:r>
                    <w:rPr>
                      <w:rFonts w:ascii="宋体" w:hAnsi="宋体" w:cs="宋体" w:eastAsia="宋体"/>
                      <w:sz w:val="21"/>
                    </w:rPr>
                    <w:t>相关分析（</w:t>
                  </w:r>
                  <w:r>
                    <w:rPr>
                      <w:rFonts w:ascii="宋体" w:hAnsi="宋体" w:cs="宋体" w:eastAsia="宋体"/>
                      <w:sz w:val="21"/>
                    </w:rPr>
                    <w:t>用地分析、公服设施分析、生活圈分析、产业分析、人口分析</w:t>
                  </w:r>
                  <w:r>
                    <w:rPr>
                      <w:rFonts w:ascii="宋体" w:hAnsi="宋体" w:cs="宋体" w:eastAsia="宋体"/>
                      <w:sz w:val="21"/>
                    </w:rPr>
                    <w:t>），</w:t>
                  </w:r>
                  <w:r>
                    <w:rPr>
                      <w:rFonts w:ascii="宋体" w:hAnsi="宋体" w:cs="宋体" w:eastAsia="宋体"/>
                      <w:sz w:val="21"/>
                    </w:rPr>
                    <w:t>城市交通大数据分析（</w:t>
                  </w:r>
                  <w:r>
                    <w:rPr>
                      <w:rFonts w:ascii="宋体" w:hAnsi="宋体" w:cs="宋体" w:eastAsia="宋体"/>
                      <w:sz w:val="21"/>
                    </w:rPr>
                    <w:t>OD分布、路径分析、交通设施分析、交通热力分布、交通态势分析）。</w:t>
                  </w:r>
                </w:p>
                <w:p>
                  <w:pPr>
                    <w:pStyle w:val="null3"/>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）私有知识库；用户可自建独立知识库。</w:t>
                  </w:r>
                </w:p>
                <w:p>
                  <w:pPr>
                    <w:pStyle w:val="null3"/>
                    <w:jc w:val="left"/>
                  </w:pPr>
                  <w:r>
                    <w:rPr>
                      <w:rFonts w:ascii="宋体" w:hAnsi="宋体" w:cs="宋体" w:eastAsia="宋体"/>
                      <w:sz w:val="21"/>
                    </w:rPr>
                    <w:t>（</w:t>
                  </w:r>
                  <w:r>
                    <w:rPr>
                      <w:rFonts w:ascii="宋体" w:hAnsi="宋体" w:cs="宋体" w:eastAsia="宋体"/>
                      <w:sz w:val="21"/>
                    </w:rPr>
                    <w:t>6</w:t>
                  </w:r>
                  <w:r>
                    <w:rPr>
                      <w:rFonts w:ascii="宋体" w:hAnsi="宋体" w:cs="宋体" w:eastAsia="宋体"/>
                      <w:sz w:val="21"/>
                    </w:rPr>
                    <w:t>）专项分析系统根据提供的技术条件书进行开发。</w:t>
                  </w:r>
                </w:p>
                <w:p>
                  <w:pPr>
                    <w:pStyle w:val="null3"/>
                    <w:jc w:val="left"/>
                  </w:pPr>
                  <w:r>
                    <w:rPr>
                      <w:rFonts w:ascii="宋体" w:hAnsi="宋体" w:cs="宋体" w:eastAsia="宋体"/>
                      <w:sz w:val="21"/>
                    </w:rPr>
                    <w:t>（</w:t>
                  </w:r>
                  <w:r>
                    <w:rPr>
                      <w:rFonts w:ascii="宋体" w:hAnsi="宋体" w:cs="宋体" w:eastAsia="宋体"/>
                      <w:sz w:val="21"/>
                    </w:rPr>
                    <w:t>7）</w:t>
                  </w:r>
                  <w:r>
                    <w:rPr>
                      <w:rFonts w:ascii="宋体" w:hAnsi="宋体" w:cs="宋体" w:eastAsia="宋体"/>
                      <w:sz w:val="21"/>
                    </w:rPr>
                    <w:t>与常见</w:t>
                  </w:r>
                  <w:r>
                    <w:rPr>
                      <w:rFonts w:ascii="宋体" w:hAnsi="宋体" w:cs="宋体" w:eastAsia="宋体"/>
                      <w:sz w:val="21"/>
                    </w:rPr>
                    <w:t>CAD版本兼容。</w:t>
                  </w:r>
                </w:p>
                <w:p>
                  <w:pPr>
                    <w:pStyle w:val="null3"/>
                    <w:jc w:val="both"/>
                  </w:pPr>
                </w:p>
              </w:tc>
              <w:tc>
                <w:tcPr>
                  <w:tcW w:type="dxa" w:w="27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1"/>
                    </w:rPr>
                    <w:t>1</w:t>
                  </w:r>
                  <w:r>
                    <w:rPr>
                      <w:rFonts w:ascii="宋体" w:hAnsi="宋体" w:cs="宋体" w:eastAsia="宋体"/>
                      <w:sz w:val="21"/>
                    </w:rPr>
                    <w:t>套</w:t>
                  </w:r>
                </w:p>
              </w:tc>
            </w:tr>
          </w:tbl>
          <w:p>
            <w:pPr>
              <w:pStyle w:val="null3"/>
            </w:pPr>
            <w:r>
              <w:rPr>
                <w:rFonts w:ascii="宋体" w:hAnsi="宋体" w:cs="宋体" w:eastAsia="宋体"/>
                <w:sz w:val="21"/>
                <w:b/>
              </w:rPr>
              <w:t>注：</w:t>
            </w:r>
            <w:r>
              <w:rPr>
                <w:rFonts w:ascii="宋体" w:hAnsi="宋体" w:cs="宋体" w:eastAsia="宋体"/>
                <w:sz w:val="21"/>
                <w:b/>
              </w:rPr>
              <w:t>“</w:t>
            </w:r>
            <w:r>
              <w:rPr>
                <w:rFonts w:ascii="宋体" w:hAnsi="宋体" w:cs="宋体" w:eastAsia="宋体"/>
                <w:sz w:val="21"/>
              </w:rPr>
              <w:t>▲</w:t>
            </w:r>
            <w:r>
              <w:rPr>
                <w:rFonts w:ascii="宋体" w:hAnsi="宋体" w:cs="宋体" w:eastAsia="宋体"/>
                <w:sz w:val="21"/>
                <w:b/>
              </w:rPr>
              <w:t>”为重要参数项，“</w:t>
            </w:r>
            <w:r>
              <w:rPr>
                <w:rFonts w:ascii="宋体" w:hAnsi="宋体" w:cs="宋体" w:eastAsia="宋体"/>
                <w:sz w:val="21"/>
              </w:rPr>
              <w:t>■</w:t>
            </w:r>
            <w:r>
              <w:rPr>
                <w:rFonts w:ascii="宋体" w:hAnsi="宋体" w:cs="宋体" w:eastAsia="宋体"/>
                <w:sz w:val="21"/>
                <w:b/>
              </w:rPr>
              <w:t>”为演示项技术参数，具体演示清单详见其他要求。</w:t>
            </w:r>
          </w:p>
        </w:tc>
      </w:tr>
      <w:tr>
        <w:tc>
          <w:tcPr>
            <w:tcW w:type="dxa" w:w="2769"/>
          </w:tcPr>
          <w:p/>
        </w:tc>
        <w:tc>
          <w:tcPr>
            <w:tcW w:type="dxa" w:w="2769"/>
          </w:tcPr>
          <w:p>
            <w:pPr>
              <w:pStyle w:val="null3"/>
            </w:pPr>
            <w:r>
              <w:rPr/>
              <w:t>3</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69"/>
              <w:gridCol w:w="467"/>
              <w:gridCol w:w="922"/>
              <w:gridCol w:w="717"/>
              <w:gridCol w:w="271"/>
            </w:tblGrid>
            <w:tr>
              <w:tc>
                <w:tcPr>
                  <w:tcW w:type="dxa" w:w="169"/>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序号</w:t>
                  </w:r>
                </w:p>
              </w:tc>
              <w:tc>
                <w:tcPr>
                  <w:tcW w:type="dxa" w:w="467"/>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产品名称</w:t>
                  </w:r>
                </w:p>
              </w:tc>
              <w:tc>
                <w:tcPr>
                  <w:tcW w:type="dxa" w:w="922"/>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技术标准</w:t>
                  </w:r>
                </w:p>
              </w:tc>
              <w:tc>
                <w:tcPr>
                  <w:tcW w:type="dxa" w:w="717"/>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配置要求</w:t>
                  </w:r>
                </w:p>
              </w:tc>
              <w:tc>
                <w:tcPr>
                  <w:tcW w:type="dxa" w:w="27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数量</w:t>
                  </w:r>
                  <w:r>
                    <w:rPr>
                      <w:rFonts w:ascii="宋体" w:hAnsi="宋体" w:cs="宋体" w:eastAsia="宋体"/>
                      <w:sz w:val="28"/>
                      <w:b/>
                    </w:rPr>
                    <w:t>/单位</w:t>
                  </w:r>
                </w:p>
              </w:tc>
            </w:tr>
            <w:tr>
              <w:tc>
                <w:tcPr>
                  <w:tcW w:type="dxa" w:w="16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1"/>
                    </w:rPr>
                    <w:t>2</w:t>
                  </w:r>
                </w:p>
              </w:tc>
              <w:tc>
                <w:tcPr>
                  <w:tcW w:type="dxa" w:w="4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1"/>
                    </w:rPr>
                    <w:t>图形处理服务器</w:t>
                  </w:r>
                </w:p>
              </w:tc>
              <w:tc>
                <w:tcPr>
                  <w:tcW w:type="dxa" w:w="92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宋体" w:hAnsi="宋体" w:cs="宋体" w:eastAsia="宋体"/>
                      <w:sz w:val="21"/>
                      <w:b/>
                    </w:rPr>
                    <w:t>1、图形</w:t>
                  </w:r>
                  <w:r>
                    <w:rPr>
                      <w:rFonts w:ascii="宋体" w:hAnsi="宋体" w:cs="宋体" w:eastAsia="宋体"/>
                      <w:sz w:val="21"/>
                      <w:b/>
                    </w:rPr>
                    <w:t>服务器参数：</w:t>
                  </w:r>
                </w:p>
                <w:p>
                  <w:pPr>
                    <w:pStyle w:val="null3"/>
                    <w:jc w:val="both"/>
                  </w:pPr>
                  <w:r>
                    <w:rPr>
                      <w:rFonts w:ascii="宋体" w:hAnsi="宋体" w:cs="宋体" w:eastAsia="宋体"/>
                      <w:sz w:val="21"/>
                    </w:rPr>
                    <w:t>（</w:t>
                  </w:r>
                  <w:r>
                    <w:rPr>
                      <w:rFonts w:ascii="宋体" w:hAnsi="宋体" w:cs="宋体" w:eastAsia="宋体"/>
                      <w:sz w:val="21"/>
                    </w:rPr>
                    <w:t>1）形式：刀片服务器</w:t>
                  </w:r>
                </w:p>
                <w:p>
                  <w:pPr>
                    <w:pStyle w:val="null3"/>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cpu：双CPU，</w:t>
                  </w:r>
                  <w:r>
                    <w:rPr>
                      <w:rFonts w:ascii="宋体" w:hAnsi="宋体" w:cs="宋体" w:eastAsia="宋体"/>
                      <w:sz w:val="21"/>
                    </w:rPr>
                    <w:t>单核</w:t>
                  </w:r>
                  <w:r>
                    <w:rPr>
                      <w:rFonts w:ascii="宋体" w:hAnsi="宋体" w:cs="宋体" w:eastAsia="宋体"/>
                      <w:sz w:val="21"/>
                    </w:rPr>
                    <w:t>≥（</w:t>
                  </w:r>
                  <w:r>
                    <w:rPr>
                      <w:rFonts w:ascii="宋体" w:hAnsi="宋体" w:cs="宋体" w:eastAsia="宋体"/>
                      <w:sz w:val="21"/>
                    </w:rPr>
                    <w:t>18</w:t>
                  </w:r>
                  <w:r>
                    <w:rPr>
                      <w:rFonts w:ascii="宋体" w:hAnsi="宋体" w:cs="宋体" w:eastAsia="宋体"/>
                      <w:sz w:val="21"/>
                    </w:rPr>
                    <w:t>核，</w:t>
                  </w:r>
                  <w:r>
                    <w:rPr>
                      <w:rFonts w:ascii="宋体" w:hAnsi="宋体" w:cs="宋体" w:eastAsia="宋体"/>
                      <w:sz w:val="21"/>
                    </w:rPr>
                    <w:t>2.</w:t>
                  </w:r>
                  <w:r>
                    <w:rPr>
                      <w:rFonts w:ascii="宋体" w:hAnsi="宋体" w:cs="宋体" w:eastAsia="宋体"/>
                      <w:sz w:val="21"/>
                    </w:rPr>
                    <w:t>6</w:t>
                  </w:r>
                  <w:r>
                    <w:rPr>
                      <w:rFonts w:ascii="宋体" w:hAnsi="宋体" w:cs="宋体" w:eastAsia="宋体"/>
                      <w:sz w:val="21"/>
                    </w:rPr>
                    <w:t>GH</w:t>
                  </w:r>
                  <w:r>
                    <w:rPr>
                      <w:rFonts w:ascii="宋体" w:hAnsi="宋体" w:cs="宋体" w:eastAsia="宋体"/>
                      <w:sz w:val="21"/>
                    </w:rPr>
                    <w:t>z</w:t>
                  </w:r>
                  <w:r>
                    <w:rPr>
                      <w:rFonts w:ascii="宋体" w:hAnsi="宋体" w:cs="宋体" w:eastAsia="宋体"/>
                      <w:sz w:val="21"/>
                    </w:rPr>
                    <w:t>）</w:t>
                  </w:r>
                </w:p>
                <w:p>
                  <w:pPr>
                    <w:pStyle w:val="null3"/>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内存：</w:t>
                  </w:r>
                  <w:r>
                    <w:rPr>
                      <w:rFonts w:ascii="宋体" w:hAnsi="宋体" w:cs="宋体" w:eastAsia="宋体"/>
                      <w:sz w:val="21"/>
                    </w:rPr>
                    <w:t>≥DDR4,256MB</w:t>
                  </w:r>
                </w:p>
                <w:p>
                  <w:pPr>
                    <w:pStyle w:val="null3"/>
                    <w:jc w:val="left"/>
                  </w:pPr>
                  <w:r>
                    <w:rPr>
                      <w:rFonts w:ascii="宋体" w:hAnsi="宋体" w:cs="宋体" w:eastAsia="宋体"/>
                      <w:sz w:val="21"/>
                    </w:rPr>
                    <w:t>（</w:t>
                  </w:r>
                  <w:r>
                    <w:rPr>
                      <w:rFonts w:ascii="宋体" w:hAnsi="宋体" w:cs="宋体" w:eastAsia="宋体"/>
                      <w:sz w:val="21"/>
                    </w:rPr>
                    <w:t>4）</w:t>
                  </w:r>
                  <w:r>
                    <w:rPr>
                      <w:rFonts w:ascii="宋体" w:hAnsi="宋体" w:cs="宋体" w:eastAsia="宋体"/>
                      <w:sz w:val="21"/>
                    </w:rPr>
                    <w:t>电源：</w:t>
                  </w:r>
                  <w:r>
                    <w:rPr>
                      <w:rFonts w:ascii="宋体" w:hAnsi="宋体" w:cs="宋体" w:eastAsia="宋体"/>
                      <w:sz w:val="21"/>
                    </w:rPr>
                    <w:t>≥</w:t>
                  </w:r>
                  <w:r>
                    <w:rPr>
                      <w:rFonts w:ascii="宋体" w:hAnsi="宋体" w:cs="宋体" w:eastAsia="宋体"/>
                      <w:sz w:val="21"/>
                    </w:rPr>
                    <w:t>12</w:t>
                  </w:r>
                  <w:r>
                    <w:rPr>
                      <w:rFonts w:ascii="宋体" w:hAnsi="宋体" w:cs="宋体" w:eastAsia="宋体"/>
                      <w:sz w:val="21"/>
                    </w:rPr>
                    <w:t>00w*2</w:t>
                  </w:r>
                </w:p>
                <w:p>
                  <w:pPr>
                    <w:pStyle w:val="null3"/>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硬盘：</w:t>
                  </w:r>
                  <w:r>
                    <w:rPr>
                      <w:rFonts w:ascii="宋体" w:hAnsi="宋体" w:cs="宋体" w:eastAsia="宋体"/>
                      <w:sz w:val="21"/>
                    </w:rPr>
                    <w:t>≥SSD,</w:t>
                  </w:r>
                  <w:r>
                    <w:rPr>
                      <w:rFonts w:ascii="宋体" w:hAnsi="宋体" w:cs="宋体" w:eastAsia="宋体"/>
                      <w:sz w:val="21"/>
                    </w:rPr>
                    <w:t>1.6</w:t>
                  </w:r>
                  <w:r>
                    <w:rPr>
                      <w:rFonts w:ascii="宋体" w:hAnsi="宋体" w:cs="宋体" w:eastAsia="宋体"/>
                      <w:sz w:val="21"/>
                    </w:rPr>
                    <w:t>TB</w:t>
                  </w:r>
                  <w:r>
                    <w:rPr>
                      <w:rFonts w:ascii="宋体" w:hAnsi="宋体" w:cs="宋体" w:eastAsia="宋体"/>
                      <w:sz w:val="21"/>
                    </w:rPr>
                    <w:t>；</w:t>
                  </w:r>
                  <w:r>
                    <w:rPr>
                      <w:rFonts w:ascii="宋体" w:hAnsi="宋体" w:cs="宋体" w:eastAsia="宋体"/>
                      <w:sz w:val="21"/>
                    </w:rPr>
                    <w:t>≥SAS,</w:t>
                  </w:r>
                  <w:r>
                    <w:rPr>
                      <w:rFonts w:ascii="宋体" w:hAnsi="宋体" w:cs="宋体" w:eastAsia="宋体"/>
                      <w:sz w:val="21"/>
                    </w:rPr>
                    <w:t>80TB</w:t>
                  </w:r>
                </w:p>
                <w:p>
                  <w:pPr>
                    <w:pStyle w:val="null3"/>
                    <w:jc w:val="both"/>
                  </w:pPr>
                  <w:r>
                    <w:rPr>
                      <w:rFonts w:ascii="宋体" w:hAnsi="宋体" w:cs="宋体" w:eastAsia="宋体"/>
                      <w:sz w:val="21"/>
                    </w:rPr>
                    <w:t>（</w:t>
                  </w:r>
                  <w:r>
                    <w:rPr>
                      <w:rFonts w:ascii="宋体" w:hAnsi="宋体" w:cs="宋体" w:eastAsia="宋体"/>
                      <w:sz w:val="21"/>
                    </w:rPr>
                    <w:t>6）阵列卡：</w:t>
                  </w:r>
                  <w:r>
                    <w:rPr>
                      <w:rFonts w:ascii="宋体" w:hAnsi="宋体" w:cs="宋体" w:eastAsia="宋体"/>
                      <w:sz w:val="21"/>
                    </w:rPr>
                    <w:t>≥</w:t>
                  </w:r>
                  <w:r>
                    <w:rPr>
                      <w:rFonts w:ascii="宋体" w:hAnsi="宋体" w:cs="宋体" w:eastAsia="宋体"/>
                      <w:sz w:val="21"/>
                    </w:rPr>
                    <w:t>8G</w:t>
                  </w:r>
                </w:p>
                <w:p>
                  <w:pPr>
                    <w:pStyle w:val="null3"/>
                    <w:jc w:val="both"/>
                  </w:pPr>
                  <w:r>
                    <w:rPr>
                      <w:rFonts w:ascii="宋体" w:hAnsi="宋体" w:cs="宋体" w:eastAsia="宋体"/>
                      <w:sz w:val="21"/>
                    </w:rPr>
                    <w:t>（</w:t>
                  </w:r>
                  <w:r>
                    <w:rPr>
                      <w:rFonts w:ascii="宋体" w:hAnsi="宋体" w:cs="宋体" w:eastAsia="宋体"/>
                      <w:sz w:val="21"/>
                    </w:rPr>
                    <w:t>7）网卡：万兆（带光模块）</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8</w:t>
                  </w:r>
                  <w:r>
                    <w:rPr>
                      <w:rFonts w:ascii="宋体" w:hAnsi="宋体" w:cs="宋体" w:eastAsia="宋体"/>
                      <w:sz w:val="21"/>
                    </w:rPr>
                    <w:t>）图形处理卡：</w:t>
                  </w:r>
                  <w:r>
                    <w:rPr>
                      <w:rFonts w:ascii="宋体" w:hAnsi="宋体" w:cs="宋体" w:eastAsia="宋体"/>
                      <w:sz w:val="21"/>
                    </w:rPr>
                    <w:t>显存</w:t>
                  </w:r>
                  <w:r>
                    <w:rPr>
                      <w:rFonts w:ascii="宋体" w:hAnsi="宋体" w:cs="宋体" w:eastAsia="宋体"/>
                      <w:sz w:val="21"/>
                    </w:rPr>
                    <w:t>≥</w:t>
                  </w:r>
                  <w:r>
                    <w:rPr>
                      <w:rFonts w:ascii="times new roman, times, serif" w:hAnsi="times new roman, times, serif" w:cs="times new roman, times, serif" w:eastAsia="times new roman, times, serif"/>
                      <w:sz w:val="21"/>
                    </w:rPr>
                    <w:t>48Gb</w:t>
                  </w:r>
                  <w:r>
                    <w:rPr>
                      <w:rFonts w:ascii="宋体" w:hAnsi="宋体" w:cs="宋体" w:eastAsia="宋体"/>
                      <w:sz w:val="21"/>
                    </w:rPr>
                    <w:t>；核心数</w:t>
                  </w:r>
                  <w:r>
                    <w:rPr>
                      <w:rFonts w:ascii="宋体" w:hAnsi="宋体" w:cs="宋体" w:eastAsia="宋体"/>
                      <w:sz w:val="21"/>
                    </w:rPr>
                    <w:t>≥</w:t>
                  </w:r>
                  <w:r>
                    <w:rPr>
                      <w:rFonts w:ascii="宋体" w:hAnsi="宋体" w:cs="宋体" w:eastAsia="宋体"/>
                      <w:sz w:val="21"/>
                    </w:rPr>
                    <w:t>18000个。</w:t>
                  </w:r>
                </w:p>
                <w:p>
                  <w:pPr>
                    <w:pStyle w:val="null3"/>
                    <w:ind w:left="420"/>
                    <w:jc w:val="both"/>
                  </w:pPr>
                  <w:r>
                    <w:rPr>
                      <w:rFonts w:ascii="times new roman, times, serif" w:hAnsi="times new roman, times, serif" w:cs="times new roman, times, serif" w:eastAsia="times new roman, times, serif"/>
                      <w:sz w:val="21"/>
                      <w:b/>
                    </w:rPr>
                    <w:t>2</w:t>
                  </w:r>
                  <w:r>
                    <w:rPr>
                      <w:rFonts w:ascii="宋体" w:hAnsi="宋体" w:cs="宋体" w:eastAsia="宋体"/>
                      <w:sz w:val="21"/>
                      <w:b/>
                    </w:rPr>
                    <w:t>、展</w:t>
                  </w:r>
                  <w:r>
                    <w:rPr>
                      <w:rFonts w:ascii="宋体" w:hAnsi="宋体" w:cs="宋体" w:eastAsia="宋体"/>
                      <w:sz w:val="21"/>
                      <w:b/>
                    </w:rPr>
                    <w:t>示大屏</w:t>
                  </w:r>
                  <w:r>
                    <w:rPr>
                      <w:rFonts w:ascii="宋体" w:hAnsi="宋体" w:cs="宋体" w:eastAsia="宋体"/>
                      <w:sz w:val="21"/>
                      <w:b/>
                    </w:rPr>
                    <w:t>参数</w:t>
                  </w:r>
                  <w:r>
                    <w:rPr>
                      <w:rFonts w:ascii="宋体" w:hAnsi="宋体" w:cs="宋体" w:eastAsia="宋体"/>
                      <w:sz w:val="21"/>
                      <w:b/>
                    </w:rPr>
                    <w:t>：</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）尺寸：</w:t>
                  </w:r>
                  <w:r>
                    <w:rPr>
                      <w:rFonts w:ascii="times new roman, times, serif" w:hAnsi="times new roman, times, serif" w:cs="times new roman, times, serif" w:eastAsia="times new roman, times, serif"/>
                      <w:sz w:val="21"/>
                    </w:rPr>
                    <w:t>55</w:t>
                  </w:r>
                  <w:r>
                    <w:rPr>
                      <w:rFonts w:ascii="宋体" w:hAnsi="宋体" w:cs="宋体" w:eastAsia="宋体"/>
                      <w:sz w:val="21"/>
                    </w:rPr>
                    <w:t>寸；</w:t>
                  </w:r>
                </w:p>
                <w:p>
                  <w:pPr>
                    <w:pStyle w:val="null3"/>
                    <w:jc w:val="both"/>
                  </w:pPr>
                  <w:r>
                    <w:rPr>
                      <w:rFonts w:ascii="宋体" w:hAnsi="宋体" w:cs="宋体" w:eastAsia="宋体"/>
                      <w:sz w:val="21"/>
                    </w:rPr>
                    <w:t>（</w:t>
                  </w:r>
                  <w:r>
                    <w:rPr>
                      <w:rFonts w:ascii="宋体" w:hAnsi="宋体" w:cs="宋体" w:eastAsia="宋体"/>
                      <w:sz w:val="21"/>
                    </w:rPr>
                    <w:t>2）分辨率：</w:t>
                  </w:r>
                  <w:r>
                    <w:rPr>
                      <w:rFonts w:ascii="宋体" w:hAnsi="宋体" w:cs="宋体" w:eastAsia="宋体"/>
                      <w:sz w:val="21"/>
                    </w:rPr>
                    <w:t>≥</w:t>
                  </w:r>
                  <w:r>
                    <w:rPr>
                      <w:rFonts w:ascii="宋体" w:hAnsi="宋体" w:cs="宋体" w:eastAsia="宋体"/>
                      <w:sz w:val="21"/>
                    </w:rPr>
                    <w:t>1920*1080；</w:t>
                  </w:r>
                </w:p>
                <w:p>
                  <w:pPr>
                    <w:pStyle w:val="null3"/>
                    <w:jc w:val="both"/>
                  </w:pPr>
                  <w:r>
                    <w:rPr>
                      <w:rFonts w:ascii="宋体" w:hAnsi="宋体" w:cs="宋体" w:eastAsia="宋体"/>
                      <w:sz w:val="21"/>
                    </w:rPr>
                    <w:t>（</w:t>
                  </w:r>
                  <w:r>
                    <w:rPr>
                      <w:rFonts w:ascii="宋体" w:hAnsi="宋体" w:cs="宋体" w:eastAsia="宋体"/>
                      <w:sz w:val="21"/>
                    </w:rPr>
                    <w:t>3）亮度：</w:t>
                  </w:r>
                  <w:r>
                    <w:rPr>
                      <w:rFonts w:ascii="宋体" w:hAnsi="宋体" w:cs="宋体" w:eastAsia="宋体"/>
                      <w:sz w:val="21"/>
                    </w:rPr>
                    <w:t>≥</w:t>
                  </w:r>
                  <w:r>
                    <w:rPr>
                      <w:rFonts w:ascii="宋体" w:hAnsi="宋体" w:cs="宋体" w:eastAsia="宋体"/>
                      <w:sz w:val="21"/>
                    </w:rPr>
                    <w:t>500cd/㎡；</w:t>
                  </w:r>
                </w:p>
                <w:p>
                  <w:pPr>
                    <w:pStyle w:val="null3"/>
                    <w:jc w:val="both"/>
                  </w:pPr>
                  <w:r>
                    <w:rPr>
                      <w:rFonts w:ascii="宋体" w:hAnsi="宋体" w:cs="宋体" w:eastAsia="宋体"/>
                      <w:sz w:val="21"/>
                    </w:rPr>
                    <w:t>（</w:t>
                  </w:r>
                  <w:r>
                    <w:rPr>
                      <w:rFonts w:ascii="宋体" w:hAnsi="宋体" w:cs="宋体" w:eastAsia="宋体"/>
                      <w:sz w:val="21"/>
                    </w:rPr>
                    <w:t>4）拼接缝：</w:t>
                  </w:r>
                  <w:r>
                    <w:rPr>
                      <w:rFonts w:ascii="宋体" w:hAnsi="宋体" w:cs="宋体" w:eastAsia="宋体"/>
                      <w:sz w:val="21"/>
                    </w:rPr>
                    <w:t>≥</w:t>
                  </w:r>
                  <w:r>
                    <w:rPr>
                      <w:rFonts w:ascii="宋体" w:hAnsi="宋体" w:cs="宋体" w:eastAsia="宋体"/>
                      <w:sz w:val="21"/>
                    </w:rPr>
                    <w:t>0.88mm；</w:t>
                  </w:r>
                </w:p>
                <w:p>
                  <w:pPr>
                    <w:pStyle w:val="null3"/>
                    <w:jc w:val="both"/>
                  </w:pPr>
                  <w:r>
                    <w:rPr>
                      <w:rFonts w:ascii="宋体" w:hAnsi="宋体" w:cs="宋体" w:eastAsia="宋体"/>
                      <w:sz w:val="21"/>
                    </w:rPr>
                    <w:t>（</w:t>
                  </w:r>
                  <w:r>
                    <w:rPr>
                      <w:rFonts w:ascii="宋体" w:hAnsi="宋体" w:cs="宋体" w:eastAsia="宋体"/>
                      <w:sz w:val="21"/>
                    </w:rPr>
                    <w:t>5）对比度：</w:t>
                  </w:r>
                  <w:r>
                    <w:rPr>
                      <w:rFonts w:ascii="宋体" w:hAnsi="宋体" w:cs="宋体" w:eastAsia="宋体"/>
                      <w:sz w:val="21"/>
                    </w:rPr>
                    <w:t>≥</w:t>
                  </w:r>
                  <w:r>
                    <w:rPr>
                      <w:rFonts w:ascii="宋体" w:hAnsi="宋体" w:cs="宋体" w:eastAsia="宋体"/>
                      <w:sz w:val="21"/>
                    </w:rPr>
                    <w:t>1400：1；</w:t>
                  </w:r>
                </w:p>
                <w:p>
                  <w:pPr>
                    <w:pStyle w:val="null3"/>
                    <w:jc w:val="both"/>
                  </w:pPr>
                  <w:r>
                    <w:rPr>
                      <w:rFonts w:ascii="宋体" w:hAnsi="宋体" w:cs="宋体" w:eastAsia="宋体"/>
                      <w:sz w:val="21"/>
                    </w:rPr>
                    <w:t>（</w:t>
                  </w:r>
                  <w:r>
                    <w:rPr>
                      <w:rFonts w:ascii="宋体" w:hAnsi="宋体" w:cs="宋体" w:eastAsia="宋体"/>
                      <w:sz w:val="21"/>
                    </w:rPr>
                    <w:t>6）响应时间：</w:t>
                  </w:r>
                  <w:r>
                    <w:rPr>
                      <w:rFonts w:ascii="宋体" w:hAnsi="宋体" w:cs="宋体" w:eastAsia="宋体"/>
                      <w:sz w:val="21"/>
                    </w:rPr>
                    <w:t>≥</w:t>
                  </w:r>
                  <w:r>
                    <w:rPr>
                      <w:rFonts w:ascii="宋体" w:hAnsi="宋体" w:cs="宋体" w:eastAsia="宋体"/>
                      <w:sz w:val="21"/>
                    </w:rPr>
                    <w:t>8ms；</w:t>
                  </w:r>
                </w:p>
                <w:p>
                  <w:pPr>
                    <w:pStyle w:val="null3"/>
                    <w:jc w:val="both"/>
                  </w:pPr>
                  <w:r>
                    <w:rPr>
                      <w:rFonts w:ascii="宋体" w:hAnsi="宋体" w:cs="宋体" w:eastAsia="宋体"/>
                      <w:sz w:val="21"/>
                    </w:rPr>
                    <w:t>（</w:t>
                  </w:r>
                  <w:r>
                    <w:rPr>
                      <w:rFonts w:ascii="宋体" w:hAnsi="宋体" w:cs="宋体" w:eastAsia="宋体"/>
                      <w:sz w:val="21"/>
                    </w:rPr>
                    <w:t>7）接口类型:</w:t>
                  </w:r>
                  <w:r>
                    <w:rPr>
                      <w:rFonts w:ascii="宋体" w:hAnsi="宋体" w:cs="宋体" w:eastAsia="宋体"/>
                      <w:sz w:val="21"/>
                    </w:rPr>
                    <w:t>≥</w:t>
                  </w:r>
                  <w:r>
                    <w:rPr>
                      <w:rFonts w:ascii="宋体" w:hAnsi="宋体" w:cs="宋体" w:eastAsia="宋体"/>
                      <w:sz w:val="21"/>
                    </w:rPr>
                    <w:t>VGA、HDMI、DVI等。</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b/>
                    </w:rPr>
                    <w:t>、图形工作站参数：</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）形式：塔式服务器</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w:t>
                  </w:r>
                  <w:r>
                    <w:rPr>
                      <w:rFonts w:ascii="times new roman, times, serif" w:hAnsi="times new roman, times, serif" w:cs="times new roman, times, serif" w:eastAsia="times new roman, times, serif"/>
                      <w:sz w:val="21"/>
                    </w:rPr>
                    <w:t>CPU</w:t>
                  </w:r>
                  <w:r>
                    <w:rPr>
                      <w:rFonts w:ascii="宋体" w:hAnsi="宋体" w:cs="宋体" w:eastAsia="宋体"/>
                      <w:sz w:val="21"/>
                    </w:rPr>
                    <w:t>：单核，</w:t>
                  </w:r>
                  <w:r>
                    <w:rPr>
                      <w:rFonts w:ascii="宋体" w:hAnsi="宋体" w:cs="宋体" w:eastAsia="宋体"/>
                      <w:sz w:val="21"/>
                    </w:rPr>
                    <w:t>≥</w:t>
                  </w:r>
                  <w:r>
                    <w:rPr>
                      <w:rFonts w:ascii="宋体" w:hAnsi="宋体" w:cs="宋体" w:eastAsia="宋体"/>
                      <w:sz w:val="21"/>
                    </w:rPr>
                    <w:t>24核3.0GHz</w:t>
                  </w:r>
                </w:p>
                <w:p>
                  <w:pPr>
                    <w:pStyle w:val="null3"/>
                  </w:pPr>
                  <w:r>
                    <w:rPr>
                      <w:rFonts w:ascii="宋体" w:hAnsi="宋体" w:cs="宋体" w:eastAsia="宋体"/>
                      <w:sz w:val="21"/>
                    </w:rPr>
                    <w:t>（</w:t>
                  </w:r>
                  <w:r>
                    <w:rPr>
                      <w:rFonts w:ascii="宋体" w:hAnsi="宋体" w:cs="宋体" w:eastAsia="宋体"/>
                      <w:sz w:val="21"/>
                    </w:rPr>
                    <w:t>3）内存：64GB（DDR5,4400MHz）</w:t>
                  </w:r>
                </w:p>
                <w:p>
                  <w:pPr>
                    <w:pStyle w:val="null3"/>
                    <w:jc w:val="both"/>
                  </w:pPr>
                  <w:r>
                    <w:rPr>
                      <w:rFonts w:ascii="宋体" w:hAnsi="宋体" w:cs="宋体" w:eastAsia="宋体"/>
                      <w:sz w:val="21"/>
                    </w:rPr>
                    <w:t>（</w:t>
                  </w:r>
                  <w:r>
                    <w:rPr>
                      <w:rFonts w:ascii="宋体" w:hAnsi="宋体" w:cs="宋体" w:eastAsia="宋体"/>
                      <w:sz w:val="21"/>
                    </w:rPr>
                    <w:t>4）硬盘：2T固态+4T*2</w:t>
                  </w:r>
                </w:p>
                <w:p>
                  <w:pPr>
                    <w:pStyle w:val="null3"/>
                    <w:jc w:val="both"/>
                  </w:pPr>
                  <w:r>
                    <w:rPr>
                      <w:rFonts w:ascii="宋体" w:hAnsi="宋体" w:cs="宋体" w:eastAsia="宋体"/>
                      <w:sz w:val="21"/>
                    </w:rPr>
                    <w:t>（</w:t>
                  </w:r>
                  <w:r>
                    <w:rPr>
                      <w:rFonts w:ascii="宋体" w:hAnsi="宋体" w:cs="宋体" w:eastAsia="宋体"/>
                      <w:sz w:val="21"/>
                    </w:rPr>
                    <w:t>5）扩展：支持3个PCIe插槽</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6</w:t>
                  </w:r>
                  <w:r>
                    <w:rPr>
                      <w:rFonts w:ascii="宋体" w:hAnsi="宋体" w:cs="宋体" w:eastAsia="宋体"/>
                      <w:sz w:val="21"/>
                    </w:rPr>
                    <w:t>）图形处理卡：显存</w:t>
                  </w:r>
                  <w:r>
                    <w:rPr>
                      <w:rFonts w:ascii="times new roman, times, serif" w:hAnsi="times new roman, times, serif" w:cs="times new roman, times, serif" w:eastAsia="times new roman, times, serif"/>
                      <w:sz w:val="21"/>
                    </w:rPr>
                    <w:t>16Gb</w:t>
                  </w:r>
                  <w:r>
                    <w:rPr>
                      <w:rFonts w:ascii="宋体" w:hAnsi="宋体" w:cs="宋体" w:eastAsia="宋体"/>
                      <w:sz w:val="21"/>
                    </w:rPr>
                    <w:t>，核心数</w:t>
                  </w:r>
                  <w:r>
                    <w:rPr>
                      <w:rFonts w:ascii="宋体" w:hAnsi="宋体" w:cs="宋体" w:eastAsia="宋体"/>
                      <w:sz w:val="21"/>
                    </w:rPr>
                    <w:t>≥</w:t>
                  </w:r>
                  <w:r>
                    <w:rPr>
                      <w:rFonts w:ascii="宋体" w:hAnsi="宋体" w:cs="宋体" w:eastAsia="宋体"/>
                      <w:sz w:val="21"/>
                    </w:rPr>
                    <w:t>10240个，支持CUDA；</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7</w:t>
                  </w:r>
                  <w:r>
                    <w:rPr>
                      <w:rFonts w:ascii="宋体" w:hAnsi="宋体" w:cs="宋体" w:eastAsia="宋体"/>
                      <w:sz w:val="21"/>
                    </w:rPr>
                    <w:t>）显示器：</w:t>
                  </w:r>
                  <w:r>
                    <w:rPr>
                      <w:rFonts w:ascii="宋体" w:hAnsi="宋体" w:cs="宋体" w:eastAsia="宋体"/>
                      <w:sz w:val="21"/>
                    </w:rPr>
                    <w:t>≥</w:t>
                  </w:r>
                  <w:r>
                    <w:rPr>
                      <w:rFonts w:ascii="times new roman, times, serif" w:hAnsi="times new roman, times, serif" w:cs="times new roman, times, serif" w:eastAsia="times new roman, times, serif"/>
                      <w:sz w:val="21"/>
                    </w:rPr>
                    <w:t>27</w:t>
                  </w:r>
                  <w:r>
                    <w:rPr>
                      <w:rFonts w:ascii="宋体" w:hAnsi="宋体" w:cs="宋体" w:eastAsia="宋体"/>
                      <w:sz w:val="21"/>
                    </w:rPr>
                    <w:t>寸，</w:t>
                  </w:r>
                  <w:r>
                    <w:rPr>
                      <w:rFonts w:ascii="宋体" w:hAnsi="宋体" w:cs="宋体" w:eastAsia="宋体"/>
                      <w:sz w:val="21"/>
                    </w:rPr>
                    <w:t>≥</w:t>
                  </w:r>
                  <w:r>
                    <w:rPr>
                      <w:rFonts w:ascii="times new roman, times, serif" w:hAnsi="times new roman, times, serif" w:cs="times new roman, times, serif" w:eastAsia="times new roman, times, serif"/>
                      <w:sz w:val="21"/>
                    </w:rPr>
                    <w:t>4K</w:t>
                  </w:r>
                  <w:r>
                    <w:rPr>
                      <w:rFonts w:ascii="宋体" w:hAnsi="宋体" w:cs="宋体" w:eastAsia="宋体"/>
                      <w:sz w:val="21"/>
                    </w:rPr>
                    <w:t>，</w:t>
                  </w:r>
                  <w:r>
                    <w:rPr>
                      <w:rFonts w:ascii="times new roman, times, serif" w:hAnsi="times new roman, times, serif" w:cs="times new roman, times, serif" w:eastAsia="times new roman, times, serif"/>
                      <w:sz w:val="21"/>
                    </w:rPr>
                    <w:t>TYPE-C</w:t>
                  </w:r>
                  <w:r>
                    <w:rPr>
                      <w:rFonts w:ascii="宋体" w:hAnsi="宋体" w:cs="宋体" w:eastAsia="宋体"/>
                      <w:sz w:val="21"/>
                    </w:rPr>
                    <w:t>接口，可旋转。</w:t>
                  </w:r>
                </w:p>
                <w:p>
                  <w:pPr>
                    <w:pStyle w:val="null3"/>
                    <w:jc w:val="both"/>
                  </w:pPr>
                </w:p>
              </w:tc>
              <w:tc>
                <w:tcPr>
                  <w:tcW w:type="dxa" w:w="71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服务器：</w:t>
                  </w:r>
                </w:p>
                <w:p>
                  <w:pPr>
                    <w:pStyle w:val="null3"/>
                    <w:jc w:val="left"/>
                  </w:pPr>
                  <w:r>
                    <w:rPr>
                      <w:rFonts w:ascii="宋体" w:hAnsi="宋体" w:cs="宋体" w:eastAsia="宋体"/>
                      <w:sz w:val="21"/>
                    </w:rPr>
                    <w:t>图形服务器</w:t>
                  </w:r>
                  <w:r>
                    <w:rPr>
                      <w:rFonts w:ascii="宋体" w:hAnsi="宋体" w:cs="宋体" w:eastAsia="宋体"/>
                      <w:sz w:val="21"/>
                    </w:rPr>
                    <w:t>1台；</w:t>
                  </w:r>
                </w:p>
                <w:p>
                  <w:pPr>
                    <w:pStyle w:val="null3"/>
                    <w:jc w:val="both"/>
                  </w:pPr>
                  <w:r>
                    <w:rPr>
                      <w:rFonts w:ascii="宋体" w:hAnsi="宋体" w:cs="宋体" w:eastAsia="宋体"/>
                      <w:sz w:val="21"/>
                    </w:rPr>
                    <w:t>（</w:t>
                  </w:r>
                  <w:r>
                    <w:rPr>
                      <w:rFonts w:ascii="宋体" w:hAnsi="宋体" w:cs="宋体" w:eastAsia="宋体"/>
                      <w:sz w:val="21"/>
                    </w:rPr>
                    <w:t>2）展示屏：</w:t>
                  </w:r>
                </w:p>
                <w:p>
                  <w:pPr>
                    <w:pStyle w:val="null3"/>
                    <w:jc w:val="left"/>
                  </w:pPr>
                  <w:r>
                    <w:rPr>
                      <w:rFonts w:ascii="宋体" w:hAnsi="宋体" w:cs="宋体" w:eastAsia="宋体"/>
                      <w:sz w:val="21"/>
                    </w:rPr>
                    <w:t>展示大屏</w:t>
                  </w:r>
                  <w:r>
                    <w:rPr>
                      <w:rFonts w:ascii="宋体" w:hAnsi="宋体" w:cs="宋体" w:eastAsia="宋体"/>
                      <w:sz w:val="21"/>
                    </w:rPr>
                    <w:t>4块；</w:t>
                  </w:r>
                </w:p>
                <w:p>
                  <w:pPr>
                    <w:pStyle w:val="null3"/>
                    <w:jc w:val="both"/>
                  </w:pPr>
                  <w:r>
                    <w:rPr>
                      <w:rFonts w:ascii="宋体" w:hAnsi="宋体" w:cs="宋体" w:eastAsia="宋体"/>
                      <w:sz w:val="21"/>
                    </w:rPr>
                    <w:t>（</w:t>
                  </w:r>
                  <w:r>
                    <w:rPr>
                      <w:rFonts w:ascii="宋体" w:hAnsi="宋体" w:cs="宋体" w:eastAsia="宋体"/>
                      <w:sz w:val="21"/>
                    </w:rPr>
                    <w:t>3）图形工作站：</w:t>
                  </w:r>
                </w:p>
                <w:p>
                  <w:pPr>
                    <w:pStyle w:val="null3"/>
                    <w:jc w:val="left"/>
                  </w:pPr>
                  <w:r>
                    <w:rPr>
                      <w:rFonts w:ascii="宋体" w:hAnsi="宋体" w:cs="宋体" w:eastAsia="宋体"/>
                      <w:sz w:val="21"/>
                    </w:rPr>
                    <w:t>①图形工作站2台；</w:t>
                  </w:r>
                </w:p>
                <w:p>
                  <w:pPr>
                    <w:pStyle w:val="null3"/>
                    <w:jc w:val="left"/>
                  </w:pPr>
                  <w:r>
                    <w:rPr>
                      <w:rFonts w:ascii="宋体" w:hAnsi="宋体" w:cs="宋体" w:eastAsia="宋体"/>
                      <w:sz w:val="21"/>
                    </w:rPr>
                    <w:t>②</w:t>
                  </w:r>
                  <w:r>
                    <w:rPr>
                      <w:rFonts w:ascii="宋体" w:hAnsi="宋体" w:cs="宋体" w:eastAsia="宋体"/>
                      <w:sz w:val="21"/>
                    </w:rPr>
                    <w:t>≥</w:t>
                  </w:r>
                  <w:r>
                    <w:rPr>
                      <w:rFonts w:ascii="宋体" w:hAnsi="宋体" w:cs="宋体" w:eastAsia="宋体"/>
                      <w:sz w:val="21"/>
                    </w:rPr>
                    <w:t>27寸显示器4台。</w:t>
                  </w:r>
                </w:p>
                <w:p>
                  <w:pPr>
                    <w:pStyle w:val="null3"/>
                    <w:jc w:val="both"/>
                  </w:pPr>
                  <w:r>
                    <w:rPr>
                      <w:rFonts w:ascii="宋体" w:hAnsi="宋体" w:cs="宋体" w:eastAsia="宋体"/>
                      <w:sz w:val="21"/>
                    </w:rPr>
                    <w:t>（</w:t>
                  </w:r>
                  <w:r>
                    <w:rPr>
                      <w:rFonts w:ascii="宋体" w:hAnsi="宋体" w:cs="宋体" w:eastAsia="宋体"/>
                      <w:sz w:val="21"/>
                    </w:rPr>
                    <w:t>4）</w:t>
                  </w:r>
                  <w:r>
                    <w:rPr>
                      <w:rFonts w:ascii="宋体" w:hAnsi="宋体" w:cs="宋体" w:eastAsia="宋体"/>
                      <w:sz w:val="21"/>
                    </w:rPr>
                    <w:t>与已有超融合系统数据</w:t>
                  </w:r>
                  <w:r>
                    <w:rPr>
                      <w:rFonts w:ascii="宋体" w:hAnsi="宋体" w:cs="宋体" w:eastAsia="宋体"/>
                      <w:sz w:val="21"/>
                    </w:rPr>
                    <w:t>光通</w:t>
                  </w:r>
                  <w:r>
                    <w:rPr>
                      <w:rFonts w:ascii="宋体" w:hAnsi="宋体" w:cs="宋体" w:eastAsia="宋体"/>
                      <w:sz w:val="21"/>
                    </w:rPr>
                    <w:t>；</w:t>
                  </w:r>
                </w:p>
                <w:p>
                  <w:pPr>
                    <w:pStyle w:val="null3"/>
                    <w:jc w:val="both"/>
                  </w:pPr>
                  <w:r>
                    <w:rPr>
                      <w:rFonts w:ascii="宋体" w:hAnsi="宋体" w:cs="宋体" w:eastAsia="宋体"/>
                      <w:sz w:val="21"/>
                    </w:rPr>
                    <w:t>（</w:t>
                  </w:r>
                  <w:r>
                    <w:rPr>
                      <w:rFonts w:ascii="宋体" w:hAnsi="宋体" w:cs="宋体" w:eastAsia="宋体"/>
                      <w:sz w:val="21"/>
                    </w:rPr>
                    <w:t>5）其他配套</w:t>
                  </w:r>
                  <w:r>
                    <w:rPr>
                      <w:rFonts w:ascii="宋体" w:hAnsi="宋体" w:cs="宋体" w:eastAsia="宋体"/>
                      <w:sz w:val="21"/>
                    </w:rPr>
                    <w:t>：</w:t>
                  </w:r>
                  <w:r>
                    <w:rPr>
                      <w:rFonts w:ascii="宋体" w:hAnsi="宋体" w:cs="宋体" w:eastAsia="宋体"/>
                      <w:sz w:val="21"/>
                    </w:rPr>
                    <w:t>①机柜</w:t>
                  </w:r>
                  <w:r>
                    <w:rPr>
                      <w:rFonts w:ascii="times new roman, times, serif" w:hAnsi="times new roman, times, serif" w:cs="times new roman, times, serif" w:eastAsia="times new roman, times, serif"/>
                      <w:sz w:val="21"/>
                    </w:rPr>
                    <w:t>1</w:t>
                  </w:r>
                  <w:r>
                    <w:rPr>
                      <w:rFonts w:ascii="宋体" w:hAnsi="宋体" w:cs="宋体" w:eastAsia="宋体"/>
                      <w:sz w:val="21"/>
                    </w:rPr>
                    <w:t>个：高</w:t>
                  </w:r>
                  <w:r>
                    <w:rPr>
                      <w:rFonts w:ascii="宋体" w:hAnsi="宋体" w:cs="宋体" w:eastAsia="宋体"/>
                      <w:sz w:val="21"/>
                    </w:rPr>
                    <w:t>≥1.</w:t>
                  </w:r>
                  <w:r>
                    <w:rPr>
                      <w:rFonts w:ascii="宋体" w:hAnsi="宋体" w:cs="宋体" w:eastAsia="宋体"/>
                      <w:sz w:val="21"/>
                    </w:rPr>
                    <w:t>4</w:t>
                  </w:r>
                  <w:r>
                    <w:rPr>
                      <w:rFonts w:ascii="宋体" w:hAnsi="宋体" w:cs="宋体" w:eastAsia="宋体"/>
                      <w:sz w:val="21"/>
                    </w:rPr>
                    <w:t>m</w:t>
                  </w:r>
                  <w:r>
                    <w:rPr>
                      <w:rFonts w:ascii="宋体" w:hAnsi="宋体" w:cs="宋体" w:eastAsia="宋体"/>
                      <w:sz w:val="21"/>
                    </w:rPr>
                    <w:t>；</w:t>
                  </w:r>
                </w:p>
                <w:p>
                  <w:pPr>
                    <w:pStyle w:val="null3"/>
                    <w:jc w:val="both"/>
                  </w:pPr>
                  <w:r>
                    <w:rPr>
                      <w:rFonts w:ascii="宋体" w:hAnsi="宋体" w:cs="宋体" w:eastAsia="宋体"/>
                      <w:sz w:val="21"/>
                    </w:rPr>
                    <w:t>②</w:t>
                  </w:r>
                  <w:r>
                    <w:rPr>
                      <w:rFonts w:ascii="宋体" w:hAnsi="宋体" w:cs="宋体" w:eastAsia="宋体"/>
                      <w:sz w:val="21"/>
                    </w:rPr>
                    <w:t>固态移动硬盘</w:t>
                  </w:r>
                  <w:r>
                    <w:rPr>
                      <w:rFonts w:ascii="宋体" w:hAnsi="宋体" w:cs="宋体" w:eastAsia="宋体"/>
                      <w:sz w:val="21"/>
                    </w:rPr>
                    <w:t>10块</w:t>
                  </w:r>
                  <w:r>
                    <w:rPr>
                      <w:rFonts w:ascii="宋体" w:hAnsi="宋体" w:cs="宋体" w:eastAsia="宋体"/>
                      <w:sz w:val="21"/>
                    </w:rPr>
                    <w:t>：</w:t>
                  </w:r>
                  <w:r>
                    <w:rPr>
                      <w:rFonts w:ascii="宋体" w:hAnsi="宋体" w:cs="宋体" w:eastAsia="宋体"/>
                      <w:sz w:val="21"/>
                    </w:rPr>
                    <w:t>≥2tb</w:t>
                  </w:r>
                  <w:r>
                    <w:rPr>
                      <w:rFonts w:ascii="宋体" w:hAnsi="宋体" w:cs="宋体" w:eastAsia="宋体"/>
                      <w:sz w:val="21"/>
                    </w:rPr>
                    <w:t>；</w:t>
                  </w:r>
                </w:p>
                <w:p>
                  <w:pPr>
                    <w:pStyle w:val="null3"/>
                    <w:jc w:val="both"/>
                  </w:pPr>
                  <w:r>
                    <w:rPr>
                      <w:rFonts w:ascii="宋体" w:hAnsi="宋体" w:cs="宋体" w:eastAsia="宋体"/>
                      <w:sz w:val="21"/>
                    </w:rPr>
                    <w:t>③局部线路改造及耗材；</w:t>
                  </w:r>
                </w:p>
                <w:p>
                  <w:pPr>
                    <w:pStyle w:val="null3"/>
                    <w:jc w:val="both"/>
                  </w:pPr>
                  <w:r>
                    <w:rPr>
                      <w:rFonts w:ascii="宋体" w:hAnsi="宋体" w:cs="宋体" w:eastAsia="宋体"/>
                      <w:sz w:val="21"/>
                    </w:rPr>
                    <w:t>④展示大屏调试与安装。</w:t>
                  </w:r>
                </w:p>
                <w:p>
                  <w:pPr>
                    <w:pStyle w:val="null3"/>
                    <w:jc w:val="both"/>
                  </w:pPr>
                </w:p>
              </w:tc>
              <w:tc>
                <w:tcPr>
                  <w:tcW w:type="dxa" w:w="27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1"/>
                    </w:rPr>
                    <w:t>1</w:t>
                  </w:r>
                  <w:r>
                    <w:rPr>
                      <w:rFonts w:ascii="宋体" w:hAnsi="宋体" w:cs="宋体" w:eastAsia="宋体"/>
                      <w:sz w:val="21"/>
                    </w:rPr>
                    <w:t>套</w:t>
                  </w:r>
                </w:p>
              </w:tc>
            </w:tr>
          </w:tbl>
          <w:p/>
        </w:tc>
      </w:tr>
      <w:tr>
        <w:tc>
          <w:tcPr>
            <w:tcW w:type="dxa" w:w="2769"/>
          </w:tcPr>
          <w:p/>
        </w:tc>
        <w:tc>
          <w:tcPr>
            <w:tcW w:type="dxa" w:w="2769"/>
          </w:tcPr>
          <w:p>
            <w:pPr>
              <w:pStyle w:val="null3"/>
            </w:pPr>
            <w:r>
              <w:rPr/>
              <w:t>4</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69"/>
              <w:gridCol w:w="467"/>
              <w:gridCol w:w="922"/>
              <w:gridCol w:w="717"/>
              <w:gridCol w:w="271"/>
            </w:tblGrid>
            <w:tr>
              <w:tc>
                <w:tcPr>
                  <w:tcW w:type="dxa" w:w="169"/>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序号</w:t>
                  </w:r>
                </w:p>
              </w:tc>
              <w:tc>
                <w:tcPr>
                  <w:tcW w:type="dxa" w:w="467"/>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产品名称</w:t>
                  </w:r>
                </w:p>
              </w:tc>
              <w:tc>
                <w:tcPr>
                  <w:tcW w:type="dxa" w:w="922"/>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技术标准</w:t>
                  </w:r>
                </w:p>
              </w:tc>
              <w:tc>
                <w:tcPr>
                  <w:tcW w:type="dxa" w:w="717"/>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配置要求</w:t>
                  </w:r>
                </w:p>
              </w:tc>
              <w:tc>
                <w:tcPr>
                  <w:tcW w:type="dxa" w:w="27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数量</w:t>
                  </w:r>
                  <w:r>
                    <w:rPr>
                      <w:rFonts w:ascii="宋体" w:hAnsi="宋体" w:cs="宋体" w:eastAsia="宋体"/>
                      <w:sz w:val="28"/>
                      <w:b/>
                    </w:rPr>
                    <w:t>/单位</w:t>
                  </w:r>
                </w:p>
              </w:tc>
            </w:tr>
            <w:tr>
              <w:tc>
                <w:tcPr>
                  <w:tcW w:type="dxa" w:w="16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1"/>
                    </w:rPr>
                    <w:t>3</w:t>
                  </w:r>
                </w:p>
              </w:tc>
              <w:tc>
                <w:tcPr>
                  <w:tcW w:type="dxa" w:w="4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1"/>
                    </w:rPr>
                    <w:t>全自动测量工作站</w:t>
                  </w:r>
                </w:p>
              </w:tc>
              <w:tc>
                <w:tcPr>
                  <w:tcW w:type="dxa" w:w="92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both"/>
                  </w:pPr>
                  <w:r>
                    <w:rPr>
                      <w:rFonts w:ascii="宋体" w:hAnsi="宋体" w:cs="宋体" w:eastAsia="宋体"/>
                      <w:sz w:val="21"/>
                    </w:rPr>
                    <w:t>具有高精度测量、自动化功能和先进数据处理技术的自动全站仪。具有</w:t>
                  </w:r>
                  <w:r>
                    <w:rPr>
                      <w:rFonts w:ascii="宋体" w:hAnsi="宋体" w:cs="宋体" w:eastAsia="宋体"/>
                      <w:sz w:val="21"/>
                    </w:rPr>
                    <w:t>自动目标跟踪、长距离测量、集成光学与激光测距、数据管理功能以及与</w:t>
                  </w:r>
                  <w:r>
                    <w:rPr>
                      <w:rFonts w:ascii="宋体" w:hAnsi="宋体" w:cs="宋体" w:eastAsia="宋体"/>
                      <w:sz w:val="21"/>
                    </w:rPr>
                    <w:t>GNSS 系统的集成等特有功能</w:t>
                  </w:r>
                  <w:r>
                    <w:rPr>
                      <w:rFonts w:ascii="宋体" w:hAnsi="宋体" w:cs="宋体" w:eastAsia="宋体"/>
                      <w:sz w:val="21"/>
                    </w:rPr>
                    <w:t>。</w:t>
                  </w:r>
                </w:p>
                <w:p>
                  <w:pPr>
                    <w:pStyle w:val="null3"/>
                    <w:jc w:val="both"/>
                  </w:pPr>
                  <w:r>
                    <w:rPr>
                      <w:rFonts w:ascii="宋体" w:hAnsi="宋体" w:cs="宋体" w:eastAsia="宋体"/>
                      <w:sz w:val="21"/>
                      <w:b/>
                    </w:rPr>
                    <w:t>1、</w:t>
                  </w:r>
                  <w:r>
                    <w:rPr>
                      <w:rFonts w:ascii="宋体" w:hAnsi="宋体" w:cs="宋体" w:eastAsia="宋体"/>
                      <w:sz w:val="21"/>
                      <w:b/>
                    </w:rPr>
                    <w:t>测量工作站主机部分</w:t>
                  </w:r>
                </w:p>
                <w:p>
                  <w:pPr>
                    <w:pStyle w:val="null3"/>
                    <w:jc w:val="left"/>
                  </w:pPr>
                  <w:r>
                    <w:rPr>
                      <w:rFonts w:ascii="宋体" w:hAnsi="宋体" w:cs="宋体" w:eastAsia="宋体"/>
                      <w:sz w:val="21"/>
                      <w:color w:val="000000"/>
                    </w:rPr>
                    <w:t>（</w:t>
                  </w:r>
                  <w:r>
                    <w:rPr>
                      <w:rFonts w:ascii="宋体" w:hAnsi="宋体" w:cs="宋体" w:eastAsia="宋体"/>
                      <w:sz w:val="21"/>
                      <w:color w:val="000000"/>
                    </w:rPr>
                    <w:t>1）</w:t>
                  </w:r>
                  <w:r>
                    <w:rPr>
                      <w:rFonts w:ascii="宋体" w:hAnsi="宋体" w:cs="宋体" w:eastAsia="宋体"/>
                      <w:sz w:val="21"/>
                      <w:color w:val="000000"/>
                    </w:rPr>
                    <w:t>角度测量精度：</w:t>
                  </w:r>
                  <w:r>
                    <w:rPr>
                      <w:rFonts w:ascii="宋体" w:hAnsi="宋体" w:cs="宋体" w:eastAsia="宋体"/>
                      <w:sz w:val="21"/>
                      <w:color w:val="000000"/>
                    </w:rPr>
                    <w:t>0.5″。</w:t>
                  </w:r>
                </w:p>
                <w:p>
                  <w:pPr>
                    <w:pStyle w:val="null3"/>
                    <w:jc w:val="left"/>
                  </w:pPr>
                  <w:r>
                    <w:rPr>
                      <w:rFonts w:ascii="宋体" w:hAnsi="宋体" w:cs="宋体" w:eastAsia="宋体"/>
                      <w:sz w:val="21"/>
                      <w:color w:val="000000"/>
                    </w:rPr>
                    <w:t>（</w:t>
                  </w:r>
                  <w:r>
                    <w:rPr>
                      <w:rFonts w:ascii="宋体" w:hAnsi="宋体" w:cs="宋体" w:eastAsia="宋体"/>
                      <w:sz w:val="21"/>
                      <w:color w:val="000000"/>
                    </w:rPr>
                    <w:t>2）</w:t>
                  </w:r>
                  <w:r>
                    <w:rPr>
                      <w:rFonts w:ascii="宋体" w:hAnsi="宋体" w:cs="宋体" w:eastAsia="宋体"/>
                      <w:sz w:val="21"/>
                      <w:color w:val="000000"/>
                    </w:rPr>
                    <w:t>距离测量精度：棱镜模式下距离测量精度不低于</w:t>
                  </w:r>
                  <w:r>
                    <w:rPr>
                      <w:rFonts w:ascii="宋体" w:hAnsi="宋体" w:cs="宋体" w:eastAsia="宋体"/>
                      <w:sz w:val="21"/>
                      <w:color w:val="000000"/>
                    </w:rPr>
                    <w:t>1mm+1ppm。</w:t>
                  </w:r>
                </w:p>
                <w:p>
                  <w:pPr>
                    <w:pStyle w:val="null3"/>
                    <w:jc w:val="left"/>
                  </w:pPr>
                  <w:r>
                    <w:rPr>
                      <w:rFonts w:ascii="宋体" w:hAnsi="宋体" w:cs="宋体" w:eastAsia="宋体"/>
                      <w:sz w:val="21"/>
                      <w:color w:val="000000"/>
                    </w:rPr>
                    <w:t>（</w:t>
                  </w:r>
                  <w:r>
                    <w:rPr>
                      <w:rFonts w:ascii="宋体" w:hAnsi="宋体" w:cs="宋体" w:eastAsia="宋体"/>
                      <w:sz w:val="21"/>
                      <w:color w:val="000000"/>
                    </w:rPr>
                    <w:t>3）</w:t>
                  </w:r>
                  <w:r>
                    <w:rPr>
                      <w:rFonts w:ascii="宋体" w:hAnsi="宋体" w:cs="宋体" w:eastAsia="宋体"/>
                      <w:sz w:val="21"/>
                      <w:color w:val="000000"/>
                    </w:rPr>
                    <w:t>测量距离：单圆棱镜模式下测量距离不低于</w:t>
                  </w:r>
                  <w:r>
                    <w:rPr>
                      <w:rFonts w:ascii="宋体" w:hAnsi="宋体" w:cs="宋体" w:eastAsia="宋体"/>
                      <w:sz w:val="21"/>
                      <w:color w:val="000000"/>
                    </w:rPr>
                    <w:t>3000m，免棱镜测量距离：不低于 500m；长测程模式测量距离不低于 6000m。</w:t>
                  </w:r>
                  <w:r>
                    <w:rPr>
                      <w:rFonts w:ascii="&quot;times new roman&quot;" w:hAnsi="&quot;times new roman&quot;" w:cs="&quot;times new roman&quot;" w:eastAsia="&quot;times new roman&quot;"/>
                      <w:sz w:val="21"/>
                      <w:b/>
                    </w:rPr>
                    <w:t xml:space="preserve"> </w:t>
                  </w:r>
                </w:p>
                <w:p>
                  <w:pPr>
                    <w:pStyle w:val="null3"/>
                    <w:jc w:val="left"/>
                  </w:pPr>
                  <w:r>
                    <w:rPr>
                      <w:rFonts w:ascii="宋体" w:hAnsi="宋体" w:cs="宋体" w:eastAsia="宋体"/>
                      <w:sz w:val="21"/>
                      <w:color w:val="000000"/>
                    </w:rPr>
                    <w:t>（</w:t>
                  </w:r>
                  <w:r>
                    <w:rPr>
                      <w:rFonts w:ascii="宋体" w:hAnsi="宋体" w:cs="宋体" w:eastAsia="宋体"/>
                      <w:sz w:val="21"/>
                      <w:color w:val="000000"/>
                    </w:rPr>
                    <w:t>4）</w:t>
                  </w:r>
                  <w:r>
                    <w:rPr>
                      <w:rFonts w:ascii="宋体" w:hAnsi="宋体" w:cs="宋体" w:eastAsia="宋体"/>
                      <w:sz w:val="21"/>
                      <w:color w:val="000000"/>
                    </w:rPr>
                    <w:t>标配马达驱动功能。</w:t>
                  </w:r>
                </w:p>
                <w:p>
                  <w:pPr>
                    <w:pStyle w:val="null3"/>
                    <w:jc w:val="left"/>
                  </w:pPr>
                  <w:r>
                    <w:rPr>
                      <w:rFonts w:ascii="宋体" w:hAnsi="宋体" w:cs="宋体" w:eastAsia="宋体"/>
                      <w:sz w:val="21"/>
                      <w:color w:val="000000"/>
                    </w:rPr>
                    <w:t>（</w:t>
                  </w:r>
                  <w:r>
                    <w:rPr>
                      <w:rFonts w:ascii="宋体" w:hAnsi="宋体" w:cs="宋体" w:eastAsia="宋体"/>
                      <w:sz w:val="21"/>
                      <w:color w:val="000000"/>
                    </w:rPr>
                    <w:t>5）</w:t>
                  </w:r>
                  <w:r>
                    <w:rPr>
                      <w:rFonts w:ascii="宋体" w:hAnsi="宋体" w:cs="宋体" w:eastAsia="宋体"/>
                      <w:sz w:val="21"/>
                      <w:color w:val="000000"/>
                    </w:rPr>
                    <w:t>最大驱动转速不低于</w:t>
                  </w:r>
                  <w:r>
                    <w:rPr>
                      <w:rFonts w:ascii="宋体" w:hAnsi="宋体" w:cs="宋体" w:eastAsia="宋体"/>
                      <w:sz w:val="21"/>
                      <w:color w:val="000000"/>
                    </w:rPr>
                    <w:t>45°每秒。</w:t>
                  </w:r>
                </w:p>
                <w:p>
                  <w:pPr>
                    <w:pStyle w:val="null3"/>
                    <w:jc w:val="left"/>
                  </w:pPr>
                  <w:r>
                    <w:rPr>
                      <w:rFonts w:ascii="宋体" w:hAnsi="宋体" w:cs="宋体" w:eastAsia="宋体"/>
                      <w:sz w:val="21"/>
                      <w:color w:val="000000"/>
                    </w:rPr>
                    <w:t>（</w:t>
                  </w:r>
                  <w:r>
                    <w:rPr>
                      <w:rFonts w:ascii="宋体" w:hAnsi="宋体" w:cs="宋体" w:eastAsia="宋体"/>
                      <w:sz w:val="21"/>
                      <w:color w:val="000000"/>
                    </w:rPr>
                    <w:t>6）</w:t>
                  </w:r>
                  <w:r>
                    <w:rPr>
                      <w:rFonts w:ascii="宋体" w:hAnsi="宋体" w:cs="宋体" w:eastAsia="宋体"/>
                      <w:sz w:val="21"/>
                      <w:color w:val="000000"/>
                    </w:rPr>
                    <w:t>自动目标照准测量距离：单圆棱镜模式下不低于</w:t>
                  </w:r>
                  <w:r>
                    <w:rPr>
                      <w:rFonts w:ascii="宋体" w:hAnsi="宋体" w:cs="宋体" w:eastAsia="宋体"/>
                      <w:sz w:val="21"/>
                      <w:color w:val="000000"/>
                    </w:rPr>
                    <w:t>800m。</w:t>
                  </w:r>
                </w:p>
                <w:p>
                  <w:pPr>
                    <w:pStyle w:val="null3"/>
                    <w:jc w:val="left"/>
                  </w:pPr>
                  <w:r>
                    <w:rPr>
                      <w:rFonts w:ascii="宋体" w:hAnsi="宋体" w:cs="宋体" w:eastAsia="宋体"/>
                      <w:sz w:val="21"/>
                      <w:color w:val="000000"/>
                    </w:rPr>
                    <w:t>（</w:t>
                  </w:r>
                  <w:r>
                    <w:rPr>
                      <w:rFonts w:ascii="宋体" w:hAnsi="宋体" w:cs="宋体" w:eastAsia="宋体"/>
                      <w:sz w:val="21"/>
                      <w:color w:val="000000"/>
                    </w:rPr>
                    <w:t>7）</w:t>
                  </w:r>
                  <w:r>
                    <w:rPr>
                      <w:rFonts w:ascii="宋体" w:hAnsi="宋体" w:cs="宋体" w:eastAsia="宋体"/>
                      <w:sz w:val="21"/>
                      <w:color w:val="000000"/>
                    </w:rPr>
                    <w:t>键盘及显示屏：配置双面键盘、彩色触摸显示屏。</w:t>
                  </w:r>
                </w:p>
                <w:p>
                  <w:pPr>
                    <w:pStyle w:val="null3"/>
                    <w:jc w:val="left"/>
                  </w:pPr>
                  <w:r>
                    <w:rPr>
                      <w:rFonts w:ascii="宋体" w:hAnsi="宋体" w:cs="宋体" w:eastAsia="宋体"/>
                      <w:sz w:val="21"/>
                      <w:color w:val="000000"/>
                    </w:rPr>
                    <w:t>（</w:t>
                  </w:r>
                  <w:r>
                    <w:rPr>
                      <w:rFonts w:ascii="宋体" w:hAnsi="宋体" w:cs="宋体" w:eastAsia="宋体"/>
                      <w:sz w:val="21"/>
                      <w:color w:val="000000"/>
                    </w:rPr>
                    <w:t>8）</w:t>
                  </w:r>
                  <w:r>
                    <w:rPr>
                      <w:rFonts w:ascii="宋体" w:hAnsi="宋体" w:cs="宋体" w:eastAsia="宋体"/>
                      <w:sz w:val="21"/>
                      <w:color w:val="000000"/>
                    </w:rPr>
                    <w:t>具有光学对中或激光对中功能或具备自动激光测距量高功能。</w:t>
                  </w:r>
                </w:p>
                <w:p>
                  <w:pPr>
                    <w:pStyle w:val="null3"/>
                    <w:jc w:val="left"/>
                  </w:pPr>
                  <w:r>
                    <w:rPr>
                      <w:rFonts w:ascii="宋体" w:hAnsi="宋体" w:cs="宋体" w:eastAsia="宋体"/>
                      <w:sz w:val="21"/>
                      <w:color w:val="000000"/>
                    </w:rPr>
                    <w:t>（</w:t>
                  </w:r>
                  <w:r>
                    <w:rPr>
                      <w:rFonts w:ascii="宋体" w:hAnsi="宋体" w:cs="宋体" w:eastAsia="宋体"/>
                      <w:sz w:val="21"/>
                      <w:color w:val="000000"/>
                    </w:rPr>
                    <w:t>9）</w:t>
                  </w:r>
                  <w:r>
                    <w:rPr>
                      <w:rFonts w:ascii="宋体" w:hAnsi="宋体" w:cs="宋体" w:eastAsia="宋体"/>
                      <w:sz w:val="21"/>
                      <w:color w:val="000000"/>
                    </w:rPr>
                    <w:t>供电：配置可更换锂电池，单块电池使用时长不小于</w:t>
                  </w:r>
                  <w:r>
                    <w:rPr>
                      <w:rFonts w:ascii="宋体" w:hAnsi="宋体" w:cs="宋体" w:eastAsia="宋体"/>
                      <w:sz w:val="21"/>
                      <w:color w:val="000000"/>
                    </w:rPr>
                    <w:t>6 小时，防尘防水等级不低于 IP65。</w:t>
                  </w:r>
                </w:p>
                <w:p>
                  <w:pPr>
                    <w:pStyle w:val="null3"/>
                    <w:jc w:val="left"/>
                  </w:pPr>
                  <w:r>
                    <w:rPr>
                      <w:rFonts w:ascii="宋体" w:hAnsi="宋体" w:cs="宋体" w:eastAsia="宋体"/>
                      <w:sz w:val="21"/>
                      <w:color w:val="000000"/>
                    </w:rPr>
                    <w:t>（</w:t>
                  </w:r>
                  <w:r>
                    <w:rPr>
                      <w:rFonts w:ascii="宋体" w:hAnsi="宋体" w:cs="宋体" w:eastAsia="宋体"/>
                      <w:sz w:val="21"/>
                      <w:color w:val="000000"/>
                    </w:rPr>
                    <w:t>10）</w:t>
                  </w:r>
                  <w:r>
                    <w:rPr>
                      <w:rFonts w:ascii="宋体" w:hAnsi="宋体" w:cs="宋体" w:eastAsia="宋体"/>
                      <w:sz w:val="21"/>
                      <w:color w:val="000000"/>
                    </w:rPr>
                    <w:t>双轴电子补偿：</w:t>
                  </w:r>
                  <w:r>
                    <w:rPr>
                      <w:rFonts w:ascii="宋体" w:hAnsi="宋体" w:cs="宋体" w:eastAsia="宋体"/>
                      <w:sz w:val="21"/>
                      <w:color w:val="000000"/>
                    </w:rPr>
                    <w:t>±</w:t>
                  </w:r>
                  <w:r>
                    <w:rPr>
                      <w:rFonts w:ascii="calibri" w:hAnsi="calibri" w:cs="calibri" w:eastAsia="calibri"/>
                      <w:sz w:val="21"/>
                      <w:color w:val="000000"/>
                    </w:rPr>
                    <w:t>3</w:t>
                  </w:r>
                  <w:r>
                    <w:rPr>
                      <w:rFonts w:ascii="宋体" w:hAnsi="宋体" w:cs="宋体" w:eastAsia="宋体"/>
                      <w:sz w:val="21"/>
                      <w:color w:val="000000"/>
                    </w:rPr>
                    <w:t>′</w:t>
                  </w:r>
                  <w:r>
                    <w:rPr>
                      <w:rFonts w:ascii="宋体" w:hAnsi="宋体" w:cs="宋体" w:eastAsia="宋体"/>
                      <w:sz w:val="21"/>
                      <w:color w:val="000000"/>
                    </w:rPr>
                    <w:t>。</w:t>
                  </w:r>
                </w:p>
                <w:p>
                  <w:pPr>
                    <w:pStyle w:val="null3"/>
                    <w:jc w:val="left"/>
                  </w:pPr>
                  <w:r>
                    <w:rPr>
                      <w:rFonts w:ascii="宋体" w:hAnsi="宋体" w:cs="宋体" w:eastAsia="宋体"/>
                      <w:sz w:val="21"/>
                      <w:color w:val="000000"/>
                    </w:rPr>
                    <w:t>（</w:t>
                  </w:r>
                  <w:r>
                    <w:rPr>
                      <w:rFonts w:ascii="宋体" w:hAnsi="宋体" w:cs="宋体" w:eastAsia="宋体"/>
                      <w:sz w:val="21"/>
                      <w:color w:val="000000"/>
                    </w:rPr>
                    <w:t>11）</w:t>
                  </w:r>
                  <w:r>
                    <w:rPr>
                      <w:rFonts w:ascii="宋体" w:hAnsi="宋体" w:cs="宋体" w:eastAsia="宋体"/>
                      <w:sz w:val="21"/>
                      <w:color w:val="000000"/>
                    </w:rPr>
                    <w:t>主机须通过国家法定计量检定机构或国家法定计量检定机构授权单位的检定，出具检定证书。</w:t>
                  </w:r>
                </w:p>
                <w:p>
                  <w:pPr>
                    <w:pStyle w:val="null3"/>
                    <w:ind w:left="420"/>
                    <w:jc w:val="both"/>
                  </w:pPr>
                  <w:r>
                    <w:rPr>
                      <w:rFonts w:ascii="times new roman, times, serif" w:hAnsi="times new roman, times, serif" w:cs="times new roman, times, serif" w:eastAsia="times new roman, times, serif"/>
                      <w:sz w:val="21"/>
                      <w:b/>
                    </w:rPr>
                    <w:t>2</w:t>
                  </w:r>
                  <w:r>
                    <w:rPr>
                      <w:rFonts w:ascii="宋体" w:hAnsi="宋体" w:cs="宋体" w:eastAsia="宋体"/>
                      <w:sz w:val="21"/>
                      <w:b/>
                    </w:rPr>
                    <w:t>、</w:t>
                  </w:r>
                  <w:r>
                    <w:rPr>
                      <w:rFonts w:ascii="宋体" w:hAnsi="宋体" w:cs="宋体" w:eastAsia="宋体"/>
                      <w:sz w:val="21"/>
                      <w:b/>
                    </w:rPr>
                    <w:t>自动化测量软件部分</w:t>
                  </w:r>
                </w:p>
                <w:p>
                  <w:pPr>
                    <w:pStyle w:val="null3"/>
                    <w:jc w:val="left"/>
                  </w:pPr>
                  <w:r>
                    <w:rPr>
                      <w:rFonts w:ascii="宋体" w:hAnsi="宋体" w:cs="宋体" w:eastAsia="宋体"/>
                      <w:sz w:val="21"/>
                      <w:color w:val="000000"/>
                    </w:rPr>
                    <w:t>（</w:t>
                  </w:r>
                  <w:r>
                    <w:rPr>
                      <w:rFonts w:ascii="宋体" w:hAnsi="宋体" w:cs="宋体" w:eastAsia="宋体"/>
                      <w:sz w:val="21"/>
                      <w:color w:val="000000"/>
                    </w:rPr>
                    <w:t>1）</w:t>
                  </w:r>
                  <w:r>
                    <w:rPr>
                      <w:rFonts w:ascii="宋体" w:hAnsi="宋体" w:cs="宋体" w:eastAsia="宋体"/>
                      <w:sz w:val="21"/>
                      <w:color w:val="000000"/>
                    </w:rPr>
                    <w:t>可配合全站仪进行搜索区域内所有监测棱镜自动检测功能，无需单人找点，快速完成检测点学习。</w:t>
                  </w:r>
                </w:p>
                <w:p>
                  <w:pPr>
                    <w:pStyle w:val="null3"/>
                    <w:jc w:val="left"/>
                  </w:pPr>
                  <w:r>
                    <w:rPr>
                      <w:rFonts w:ascii="宋体" w:hAnsi="宋体" w:cs="宋体" w:eastAsia="宋体"/>
                      <w:sz w:val="21"/>
                      <w:color w:val="000000"/>
                    </w:rPr>
                    <w:t>（</w:t>
                  </w:r>
                  <w:r>
                    <w:rPr>
                      <w:rFonts w:ascii="宋体" w:hAnsi="宋体" w:cs="宋体" w:eastAsia="宋体"/>
                      <w:sz w:val="21"/>
                      <w:color w:val="000000"/>
                    </w:rPr>
                    <w:t>2）</w:t>
                  </w:r>
                  <w:r>
                    <w:rPr>
                      <w:rFonts w:ascii="宋体" w:hAnsi="宋体" w:cs="宋体" w:eastAsia="宋体"/>
                      <w:sz w:val="21"/>
                      <w:color w:val="000000"/>
                    </w:rPr>
                    <w:t>系统采用许可码网络形式加密。</w:t>
                  </w:r>
                </w:p>
                <w:p>
                  <w:pPr>
                    <w:pStyle w:val="null3"/>
                    <w:jc w:val="left"/>
                  </w:pPr>
                  <w:r>
                    <w:rPr>
                      <w:rFonts w:ascii="宋体" w:hAnsi="宋体" w:cs="宋体" w:eastAsia="宋体"/>
                      <w:sz w:val="21"/>
                      <w:color w:val="000000"/>
                    </w:rPr>
                    <w:t>（</w:t>
                  </w:r>
                  <w:r>
                    <w:rPr>
                      <w:rFonts w:ascii="宋体" w:hAnsi="宋体" w:cs="宋体" w:eastAsia="宋体"/>
                      <w:sz w:val="21"/>
                      <w:color w:val="000000"/>
                    </w:rPr>
                    <w:t>3）</w:t>
                  </w:r>
                  <w:r>
                    <w:rPr>
                      <w:rFonts w:ascii="宋体" w:hAnsi="宋体" w:cs="宋体" w:eastAsia="宋体"/>
                      <w:sz w:val="21"/>
                      <w:color w:val="000000"/>
                    </w:rPr>
                    <w:t>监测数据可以输出为其他第三方数据处理软件的数据格式。</w:t>
                  </w:r>
                </w:p>
                <w:p>
                  <w:pPr>
                    <w:pStyle w:val="null3"/>
                    <w:jc w:val="left"/>
                  </w:pPr>
                  <w:r>
                    <w:rPr>
                      <w:rFonts w:ascii="宋体" w:hAnsi="宋体" w:cs="宋体" w:eastAsia="宋体"/>
                      <w:sz w:val="21"/>
                      <w:color w:val="000000"/>
                    </w:rPr>
                    <w:t>（</w:t>
                  </w:r>
                  <w:r>
                    <w:rPr>
                      <w:rFonts w:ascii="宋体" w:hAnsi="宋体" w:cs="宋体" w:eastAsia="宋体"/>
                      <w:sz w:val="21"/>
                      <w:color w:val="000000"/>
                    </w:rPr>
                    <w:t>4）</w:t>
                  </w:r>
                  <w:r>
                    <w:rPr>
                      <w:rFonts w:ascii="宋体" w:hAnsi="宋体" w:cs="宋体" w:eastAsia="宋体"/>
                      <w:sz w:val="21"/>
                      <w:color w:val="000000"/>
                    </w:rPr>
                    <w:t>可以自动绘制包括点名、周期、误差椭圆等信息的平差网图，并按变形量绘制变形曲线和回归分析曲线。</w:t>
                  </w:r>
                </w:p>
                <w:p>
                  <w:pPr>
                    <w:pStyle w:val="null3"/>
                    <w:ind w:left="420"/>
                    <w:jc w:val="both"/>
                  </w:pPr>
                  <w:r>
                    <w:rPr>
                      <w:rFonts w:ascii="times new roman, times, serif" w:hAnsi="times new roman, times, serif" w:cs="times new roman, times, serif" w:eastAsia="times new roman, times, serif"/>
                      <w:sz w:val="21"/>
                      <w:b/>
                    </w:rPr>
                    <w:t>3</w:t>
                  </w:r>
                  <w:r>
                    <w:rPr>
                      <w:rFonts w:ascii="宋体" w:hAnsi="宋体" w:cs="宋体" w:eastAsia="宋体"/>
                      <w:sz w:val="21"/>
                      <w:b/>
                    </w:rPr>
                    <w:t>、</w:t>
                  </w:r>
                  <w:r>
                    <w:rPr>
                      <w:rFonts w:ascii="宋体" w:hAnsi="宋体" w:cs="宋体" w:eastAsia="宋体"/>
                      <w:sz w:val="21"/>
                      <w:b/>
                    </w:rPr>
                    <w:t>人工监测控制系统部分</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w:t>
                  </w:r>
                  <w:r>
                    <w:rPr>
                      <w:rFonts w:ascii="宋体" w:hAnsi="宋体" w:cs="宋体" w:eastAsia="宋体"/>
                      <w:sz w:val="21"/>
                    </w:rPr>
                    <w:t>所有设置的限差机载软件自动进行判别，一旦超限自动重测，可以选择对前面没有超限的测回进行存储</w:t>
                  </w:r>
                  <w:r>
                    <w:rPr>
                      <w:rFonts w:ascii="宋体" w:hAnsi="宋体" w:cs="宋体" w:eastAsia="宋体"/>
                      <w:sz w:val="21"/>
                    </w:rPr>
                    <w:t>。</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w:t>
                  </w:r>
                  <w:r>
                    <w:rPr>
                      <w:rFonts w:ascii="宋体" w:hAnsi="宋体" w:cs="宋体" w:eastAsia="宋体"/>
                      <w:sz w:val="21"/>
                    </w:rPr>
                    <w:t>监测数据可以输出为其他第三方数据处理软件的数据格式</w:t>
                  </w:r>
                  <w:r>
                    <w:rPr>
                      <w:rFonts w:ascii="宋体" w:hAnsi="宋体" w:cs="宋体" w:eastAsia="宋体"/>
                      <w:sz w:val="21"/>
                    </w:rPr>
                    <w:t>。</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w:t>
                  </w:r>
                  <w:r>
                    <w:rPr>
                      <w:rFonts w:ascii="宋体" w:hAnsi="宋体" w:cs="宋体" w:eastAsia="宋体"/>
                      <w:sz w:val="21"/>
                    </w:rPr>
                    <w:t>各个测期的平差结果可以自动绘制包括点名、周期、误差椭圆等信息的平差网图，可根据不同测期的变形量绘制变形曲线和回归分析曲线。</w:t>
                  </w:r>
                </w:p>
                <w:p>
                  <w:pPr>
                    <w:pStyle w:val="null3"/>
                    <w:ind w:left="420"/>
                    <w:jc w:val="both"/>
                  </w:pPr>
                  <w:r>
                    <w:rPr>
                      <w:rFonts w:ascii="times new roman, times, serif" w:hAnsi="times new roman, times, serif" w:cs="times new roman, times, serif" w:eastAsia="times new roman, times, serif"/>
                      <w:sz w:val="21"/>
                      <w:b/>
                    </w:rPr>
                    <w:t>4</w:t>
                  </w:r>
                  <w:r>
                    <w:rPr>
                      <w:rFonts w:ascii="宋体" w:hAnsi="宋体" w:cs="宋体" w:eastAsia="宋体"/>
                      <w:sz w:val="21"/>
                      <w:b/>
                    </w:rPr>
                    <w:t>、数据处理终端</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1</w:t>
                  </w:r>
                  <w:r>
                    <w:rPr>
                      <w:rFonts w:ascii="宋体" w:hAnsi="宋体" w:cs="宋体" w:eastAsia="宋体"/>
                      <w:sz w:val="21"/>
                    </w:rPr>
                    <w:t>）能快速处接收并处理现场数据</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2</w:t>
                  </w:r>
                  <w:r>
                    <w:rPr>
                      <w:rFonts w:ascii="宋体" w:hAnsi="宋体" w:cs="宋体" w:eastAsia="宋体"/>
                      <w:sz w:val="21"/>
                    </w:rPr>
                    <w:t>）具有图形交互界面</w:t>
                  </w:r>
                </w:p>
                <w:p>
                  <w:pPr>
                    <w:pStyle w:val="null3"/>
                    <w:jc w:val="both"/>
                  </w:pPr>
                  <w:r>
                    <w:rPr>
                      <w:rFonts w:ascii="宋体" w:hAnsi="宋体" w:cs="宋体" w:eastAsia="宋体"/>
                      <w:sz w:val="21"/>
                    </w:rPr>
                    <w:t>（</w:t>
                  </w:r>
                  <w:r>
                    <w:rPr>
                      <w:rFonts w:ascii="times new roman, times, serif" w:hAnsi="times new roman, times, serif" w:cs="times new roman, times, serif" w:eastAsia="times new roman, times, serif"/>
                      <w:sz w:val="21"/>
                    </w:rPr>
                    <w:t>3</w:t>
                  </w:r>
                  <w:r>
                    <w:rPr>
                      <w:rFonts w:ascii="宋体" w:hAnsi="宋体" w:cs="宋体" w:eastAsia="宋体"/>
                      <w:sz w:val="21"/>
                    </w:rPr>
                    <w:t>）数据处理终端参数要求：</w:t>
                  </w:r>
                </w:p>
                <w:p>
                  <w:pPr>
                    <w:pStyle w:val="null3"/>
                    <w:jc w:val="both"/>
                  </w:pPr>
                  <w:r>
                    <w:rPr>
                      <w:rFonts w:ascii="宋体" w:hAnsi="宋体" w:cs="宋体" w:eastAsia="宋体"/>
                      <w:sz w:val="21"/>
                    </w:rPr>
                    <w:t>①类型：移动工作站</w:t>
                  </w:r>
                  <w:r>
                    <w:rPr>
                      <w:rFonts w:ascii="宋体" w:hAnsi="宋体" w:cs="宋体" w:eastAsia="宋体"/>
                      <w:sz w:val="21"/>
                    </w:rPr>
                    <w:t>≥</w:t>
                  </w:r>
                  <w:r>
                    <w:rPr>
                      <w:rFonts w:ascii="宋体" w:hAnsi="宋体" w:cs="宋体" w:eastAsia="宋体"/>
                      <w:sz w:val="21"/>
                    </w:rPr>
                    <w:t>14寸</w:t>
                  </w:r>
                </w:p>
                <w:p>
                  <w:pPr>
                    <w:pStyle w:val="null3"/>
                    <w:jc w:val="both"/>
                  </w:pPr>
                  <w:r>
                    <w:rPr>
                      <w:rFonts w:ascii="宋体" w:hAnsi="宋体" w:cs="宋体" w:eastAsia="宋体"/>
                      <w:sz w:val="21"/>
                    </w:rPr>
                    <w:t>②</w:t>
                  </w:r>
                  <w:r>
                    <w:rPr>
                      <w:rFonts w:ascii="times new roman, times, serif" w:hAnsi="times new roman, times, serif" w:cs="times new roman, times, serif" w:eastAsia="times new roman, times, serif"/>
                      <w:sz w:val="21"/>
                    </w:rPr>
                    <w:t>CPU</w:t>
                  </w:r>
                  <w:r>
                    <w:rPr>
                      <w:rFonts w:ascii="宋体" w:hAnsi="宋体" w:cs="宋体" w:eastAsia="宋体"/>
                      <w:sz w:val="21"/>
                    </w:rPr>
                    <w:t>：</w:t>
                  </w:r>
                  <w:r>
                    <w:rPr>
                      <w:rFonts w:ascii="宋体" w:hAnsi="宋体" w:cs="宋体" w:eastAsia="宋体"/>
                      <w:sz w:val="21"/>
                    </w:rPr>
                    <w:t>≥</w:t>
                  </w:r>
                  <w:r>
                    <w:rPr>
                      <w:rFonts w:ascii="times new roman, times, serif" w:hAnsi="times new roman, times, serif" w:cs="times new roman, times, serif" w:eastAsia="times new roman, times, serif"/>
                      <w:sz w:val="21"/>
                    </w:rPr>
                    <w:t>32</w:t>
                  </w:r>
                  <w:r>
                    <w:rPr>
                      <w:rFonts w:ascii="宋体" w:hAnsi="宋体" w:cs="宋体" w:eastAsia="宋体"/>
                      <w:sz w:val="21"/>
                    </w:rPr>
                    <w:t>核、</w:t>
                  </w:r>
                  <w:r>
                    <w:rPr>
                      <w:rFonts w:ascii="宋体" w:hAnsi="宋体" w:cs="宋体" w:eastAsia="宋体"/>
                      <w:sz w:val="21"/>
                    </w:rPr>
                    <w:t>≥</w:t>
                  </w:r>
                  <w:r>
                    <w:rPr>
                      <w:rFonts w:ascii="times new roman, times, serif" w:hAnsi="times new roman, times, serif" w:cs="times new roman, times, serif" w:eastAsia="times new roman, times, serif"/>
                      <w:sz w:val="21"/>
                    </w:rPr>
                    <w:t>3.6 GHz</w:t>
                  </w:r>
                </w:p>
                <w:p>
                  <w:pPr>
                    <w:pStyle w:val="null3"/>
                    <w:jc w:val="both"/>
                  </w:pPr>
                  <w:r>
                    <w:rPr>
                      <w:rFonts w:ascii="宋体" w:hAnsi="宋体" w:cs="宋体" w:eastAsia="宋体"/>
                      <w:sz w:val="21"/>
                    </w:rPr>
                    <w:t>③内存：</w:t>
                  </w:r>
                  <w:r>
                    <w:rPr>
                      <w:rFonts w:ascii="宋体" w:hAnsi="宋体" w:cs="宋体" w:eastAsia="宋体"/>
                      <w:sz w:val="21"/>
                    </w:rPr>
                    <w:t>≥</w:t>
                  </w:r>
                  <w:r>
                    <w:rPr>
                      <w:rFonts w:ascii="times new roman, times, serif" w:hAnsi="times new roman, times, serif" w:cs="times new roman, times, serif" w:eastAsia="times new roman, times, serif"/>
                      <w:sz w:val="21"/>
                    </w:rPr>
                    <w:t>32GB</w:t>
                  </w:r>
                </w:p>
                <w:p>
                  <w:pPr>
                    <w:pStyle w:val="null3"/>
                    <w:jc w:val="both"/>
                  </w:pPr>
                  <w:r>
                    <w:rPr>
                      <w:rFonts w:ascii="宋体" w:hAnsi="宋体" w:cs="宋体" w:eastAsia="宋体"/>
                      <w:sz w:val="21"/>
                    </w:rPr>
                    <w:t>④硬盘：</w:t>
                  </w:r>
                  <w:r>
                    <w:rPr>
                      <w:rFonts w:ascii="宋体" w:hAnsi="宋体" w:cs="宋体" w:eastAsia="宋体"/>
                      <w:sz w:val="21"/>
                    </w:rPr>
                    <w:t>≥</w:t>
                  </w:r>
                  <w:r>
                    <w:rPr>
                      <w:rFonts w:ascii="times new roman, times, serif" w:hAnsi="times new roman, times, serif" w:cs="times new roman, times, serif" w:eastAsia="times new roman, times, serif"/>
                      <w:sz w:val="21"/>
                    </w:rPr>
                    <w:t>1T</w:t>
                  </w:r>
                  <w:r>
                    <w:rPr>
                      <w:rFonts w:ascii="宋体" w:hAnsi="宋体" w:cs="宋体" w:eastAsia="宋体"/>
                      <w:sz w:val="21"/>
                    </w:rPr>
                    <w:t>固态</w:t>
                  </w:r>
                  <w:r>
                    <w:rPr>
                      <w:rFonts w:ascii="times new roman, times, serif" w:hAnsi="times new roman, times, serif" w:cs="times new roman, times, serif" w:eastAsia="times new roman, times, serif"/>
                      <w:sz w:val="21"/>
                    </w:rPr>
                    <w:t>+2T</w:t>
                  </w:r>
                </w:p>
                <w:p>
                  <w:pPr>
                    <w:pStyle w:val="null3"/>
                    <w:jc w:val="both"/>
                  </w:pPr>
                  <w:r>
                    <w:rPr>
                      <w:rFonts w:ascii="宋体" w:hAnsi="宋体" w:cs="宋体" w:eastAsia="宋体"/>
                      <w:sz w:val="21"/>
                    </w:rPr>
                    <w:t>⑤图形处理器：</w:t>
                  </w:r>
                  <w:r>
                    <w:rPr>
                      <w:rFonts w:ascii="宋体" w:hAnsi="宋体" w:cs="宋体" w:eastAsia="宋体"/>
                      <w:sz w:val="21"/>
                    </w:rPr>
                    <w:t>≥</w:t>
                  </w:r>
                  <w:r>
                    <w:rPr>
                      <w:rFonts w:ascii="times new roman, times, serif" w:hAnsi="times new roman, times, serif" w:cs="times new roman, times, serif" w:eastAsia="times new roman, times, serif"/>
                      <w:sz w:val="21"/>
                    </w:rPr>
                    <w:t>8GB</w:t>
                  </w:r>
                </w:p>
              </w:tc>
              <w:tc>
                <w:tcPr>
                  <w:tcW w:type="dxa" w:w="71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ind w:left="420"/>
                    <w:jc w:val="both"/>
                  </w:pPr>
                  <w:r>
                    <w:rPr>
                      <w:rFonts w:ascii="&quot;times new roman&quot;" w:hAnsi="&quot;times new roman&quot;" w:cs="&quot;times new roman&quot;" w:eastAsia="&quot;times new roman&quot;"/>
                      <w:sz w:val="19"/>
                    </w:rPr>
                    <w:t xml:space="preserve"> </w:t>
                  </w:r>
                </w:p>
                <w:p>
                  <w:pPr>
                    <w:pStyle w:val="null3"/>
                    <w:jc w:val="both"/>
                  </w:pPr>
                  <w:r>
                    <w:rPr>
                      <w:rFonts w:ascii="宋体" w:hAnsi="宋体" w:cs="宋体" w:eastAsia="宋体"/>
                      <w:sz w:val="21"/>
                    </w:rPr>
                    <w:t>（</w:t>
                  </w:r>
                  <w:r>
                    <w:rPr>
                      <w:rFonts w:ascii="宋体" w:hAnsi="宋体" w:cs="宋体" w:eastAsia="宋体"/>
                      <w:sz w:val="21"/>
                    </w:rPr>
                    <w:t>1）</w:t>
                  </w:r>
                  <w:r>
                    <w:rPr>
                      <w:rFonts w:ascii="宋体" w:hAnsi="宋体" w:cs="宋体" w:eastAsia="宋体"/>
                      <w:sz w:val="21"/>
                    </w:rPr>
                    <w:t>数量：</w:t>
                  </w:r>
                </w:p>
                <w:p>
                  <w:pPr>
                    <w:pStyle w:val="null3"/>
                    <w:jc w:val="both"/>
                  </w:pPr>
                  <w:r>
                    <w:rPr>
                      <w:rFonts w:ascii="宋体" w:hAnsi="宋体" w:cs="宋体" w:eastAsia="宋体"/>
                      <w:sz w:val="21"/>
                    </w:rPr>
                    <w:t>①测量主机</w:t>
                  </w:r>
                  <w:r>
                    <w:rPr>
                      <w:rFonts w:ascii="times new roman, times, serif" w:hAnsi="times new roman, times, serif" w:cs="times new roman, times, serif" w:eastAsia="times new roman, times, serif"/>
                      <w:sz w:val="21"/>
                    </w:rPr>
                    <w:t>2</w:t>
                  </w:r>
                  <w:r>
                    <w:rPr>
                      <w:rFonts w:ascii="宋体" w:hAnsi="宋体" w:cs="宋体" w:eastAsia="宋体"/>
                      <w:sz w:val="21"/>
                    </w:rPr>
                    <w:t>套；</w:t>
                  </w:r>
                </w:p>
                <w:p>
                  <w:pPr>
                    <w:pStyle w:val="null3"/>
                    <w:jc w:val="both"/>
                  </w:pPr>
                  <w:r>
                    <w:rPr>
                      <w:rFonts w:ascii="宋体" w:hAnsi="宋体" w:cs="宋体" w:eastAsia="宋体"/>
                      <w:sz w:val="21"/>
                    </w:rPr>
                    <w:t>②监测系统</w:t>
                  </w:r>
                  <w:r>
                    <w:rPr>
                      <w:rFonts w:ascii="times new roman, times, serif" w:hAnsi="times new roman, times, serif" w:cs="times new roman, times, serif" w:eastAsia="times new roman, times, serif"/>
                      <w:sz w:val="21"/>
                    </w:rPr>
                    <w:t>1</w:t>
                  </w:r>
                  <w:r>
                    <w:rPr>
                      <w:rFonts w:ascii="宋体" w:hAnsi="宋体" w:cs="宋体" w:eastAsia="宋体"/>
                      <w:sz w:val="21"/>
                    </w:rPr>
                    <w:t>套；</w:t>
                  </w:r>
                </w:p>
                <w:p>
                  <w:pPr>
                    <w:pStyle w:val="null3"/>
                    <w:jc w:val="both"/>
                  </w:pPr>
                  <w:r>
                    <w:rPr>
                      <w:rFonts w:ascii="宋体" w:hAnsi="宋体" w:cs="宋体" w:eastAsia="宋体"/>
                      <w:sz w:val="21"/>
                    </w:rPr>
                    <w:t>③三维变形检测系统</w:t>
                  </w:r>
                  <w:r>
                    <w:rPr>
                      <w:rFonts w:ascii="times new roman, times, serif" w:hAnsi="times new roman, times, serif" w:cs="times new roman, times, serif" w:eastAsia="times new roman, times, serif"/>
                      <w:sz w:val="21"/>
                    </w:rPr>
                    <w:t>2</w:t>
                  </w:r>
                  <w:r>
                    <w:rPr>
                      <w:rFonts w:ascii="宋体" w:hAnsi="宋体" w:cs="宋体" w:eastAsia="宋体"/>
                      <w:sz w:val="21"/>
                    </w:rPr>
                    <w:t>套；</w:t>
                  </w:r>
                </w:p>
                <w:p>
                  <w:pPr>
                    <w:pStyle w:val="null3"/>
                    <w:jc w:val="both"/>
                  </w:pPr>
                  <w:r>
                    <w:rPr>
                      <w:rFonts w:ascii="宋体" w:hAnsi="宋体" w:cs="宋体" w:eastAsia="宋体"/>
                      <w:sz w:val="21"/>
                    </w:rPr>
                    <w:t>④</w:t>
                  </w:r>
                  <w:r>
                    <w:rPr>
                      <w:rFonts w:ascii="times new roman, times, serif" w:hAnsi="times new roman, times, serif" w:cs="times new roman, times, serif" w:eastAsia="times new roman, times, serif"/>
                      <w:sz w:val="21"/>
                    </w:rPr>
                    <w:t>4G</w:t>
                  </w:r>
                  <w:r>
                    <w:rPr>
                      <w:rFonts w:ascii="宋体" w:hAnsi="宋体" w:cs="宋体" w:eastAsia="宋体"/>
                      <w:sz w:val="21"/>
                    </w:rPr>
                    <w:t>通讯模块</w:t>
                  </w:r>
                  <w:r>
                    <w:rPr>
                      <w:rFonts w:ascii="times new roman, times, serif" w:hAnsi="times new roman, times, serif" w:cs="times new roman, times, serif" w:eastAsia="times new roman, times, serif"/>
                      <w:sz w:val="21"/>
                    </w:rPr>
                    <w:t>2</w:t>
                  </w:r>
                  <w:r>
                    <w:rPr>
                      <w:rFonts w:ascii="宋体" w:hAnsi="宋体" w:cs="宋体" w:eastAsia="宋体"/>
                      <w:sz w:val="21"/>
                    </w:rPr>
                    <w:t>套；</w:t>
                  </w:r>
                </w:p>
                <w:p>
                  <w:pPr>
                    <w:pStyle w:val="null3"/>
                    <w:jc w:val="both"/>
                  </w:pPr>
                  <w:r>
                    <w:rPr>
                      <w:rFonts w:ascii="宋体" w:hAnsi="宋体" w:cs="宋体" w:eastAsia="宋体"/>
                      <w:sz w:val="21"/>
                    </w:rPr>
                    <w:t>⑤温度气压传感器</w:t>
                  </w:r>
                  <w:r>
                    <w:rPr>
                      <w:rFonts w:ascii="times new roman, times, serif" w:hAnsi="times new roman, times, serif" w:cs="times new roman, times, serif" w:eastAsia="times new roman, times, serif"/>
                      <w:sz w:val="21"/>
                    </w:rPr>
                    <w:t>2</w:t>
                  </w:r>
                  <w:r>
                    <w:rPr>
                      <w:rFonts w:ascii="宋体" w:hAnsi="宋体" w:cs="宋体" w:eastAsia="宋体"/>
                      <w:sz w:val="21"/>
                    </w:rPr>
                    <w:t>套；</w:t>
                  </w:r>
                </w:p>
                <w:p>
                  <w:pPr>
                    <w:pStyle w:val="null3"/>
                    <w:jc w:val="both"/>
                  </w:pPr>
                  <w:r>
                    <w:rPr>
                      <w:rFonts w:ascii="宋体" w:hAnsi="宋体" w:cs="宋体" w:eastAsia="宋体"/>
                      <w:sz w:val="21"/>
                    </w:rPr>
                    <w:t>⑥棱镜</w:t>
                  </w:r>
                  <w:r>
                    <w:rPr>
                      <w:rFonts w:ascii="times new roman, times, serif" w:hAnsi="times new roman, times, serif" w:cs="times new roman, times, serif" w:eastAsia="times new roman, times, serif"/>
                      <w:sz w:val="21"/>
                    </w:rPr>
                    <w:t>4</w:t>
                  </w:r>
                  <w:r>
                    <w:rPr>
                      <w:rFonts w:ascii="宋体" w:hAnsi="宋体" w:cs="宋体" w:eastAsia="宋体"/>
                      <w:sz w:val="21"/>
                    </w:rPr>
                    <w:t>个；</w:t>
                  </w:r>
                </w:p>
                <w:p>
                  <w:pPr>
                    <w:pStyle w:val="null3"/>
                    <w:jc w:val="both"/>
                  </w:pPr>
                  <w:r>
                    <w:rPr>
                      <w:rFonts w:ascii="宋体" w:hAnsi="宋体" w:cs="宋体" w:eastAsia="宋体"/>
                      <w:sz w:val="21"/>
                    </w:rPr>
                    <w:t>⑦脚架</w:t>
                  </w:r>
                  <w:r>
                    <w:rPr>
                      <w:rFonts w:ascii="times new roman, times, serif" w:hAnsi="times new roman, times, serif" w:cs="times new roman, times, serif" w:eastAsia="times new roman, times, serif"/>
                      <w:sz w:val="21"/>
                    </w:rPr>
                    <w:t>2</w:t>
                  </w:r>
                  <w:r>
                    <w:rPr>
                      <w:rFonts w:ascii="宋体" w:hAnsi="宋体" w:cs="宋体" w:eastAsia="宋体"/>
                      <w:sz w:val="21"/>
                    </w:rPr>
                    <w:t>副；</w:t>
                  </w:r>
                </w:p>
                <w:p>
                  <w:pPr>
                    <w:pStyle w:val="null3"/>
                    <w:jc w:val="both"/>
                  </w:pPr>
                  <w:r>
                    <w:rPr>
                      <w:rFonts w:ascii="宋体" w:hAnsi="宋体" w:cs="宋体" w:eastAsia="宋体"/>
                      <w:sz w:val="21"/>
                    </w:rPr>
                    <w:t>⑧数据处理端</w:t>
                  </w:r>
                  <w:r>
                    <w:rPr>
                      <w:rFonts w:ascii="times new roman, times, serif" w:hAnsi="times new roman, times, serif" w:cs="times new roman, times, serif" w:eastAsia="times new roman, times, serif"/>
                      <w:sz w:val="21"/>
                    </w:rPr>
                    <w:t>2</w:t>
                  </w:r>
                  <w:r>
                    <w:rPr>
                      <w:rFonts w:ascii="宋体" w:hAnsi="宋体" w:cs="宋体" w:eastAsia="宋体"/>
                      <w:sz w:val="21"/>
                    </w:rPr>
                    <w:t>台。</w:t>
                  </w:r>
                </w:p>
                <w:p>
                  <w:pPr>
                    <w:pStyle w:val="null3"/>
                    <w:jc w:val="both"/>
                  </w:pPr>
                  <w:r>
                    <w:rPr>
                      <w:rFonts w:ascii="宋体" w:hAnsi="宋体" w:cs="宋体" w:eastAsia="宋体"/>
                      <w:sz w:val="21"/>
                    </w:rPr>
                    <w:t>（</w:t>
                  </w:r>
                  <w:r>
                    <w:rPr>
                      <w:rFonts w:ascii="宋体" w:hAnsi="宋体" w:cs="宋体" w:eastAsia="宋体"/>
                      <w:sz w:val="21"/>
                    </w:rPr>
                    <w:t>2）</w:t>
                  </w:r>
                  <w:r>
                    <w:rPr>
                      <w:rFonts w:ascii="宋体" w:hAnsi="宋体" w:cs="宋体" w:eastAsia="宋体"/>
                      <w:sz w:val="21"/>
                    </w:rPr>
                    <w:t>测量主机含</w:t>
                  </w:r>
                  <w:r>
                    <w:rPr>
                      <w:rFonts w:ascii="宋体" w:hAnsi="宋体" w:cs="宋体" w:eastAsia="宋体"/>
                      <w:sz w:val="21"/>
                    </w:rPr>
                    <w:t>:</w:t>
                  </w:r>
                </w:p>
                <w:p>
                  <w:pPr>
                    <w:pStyle w:val="null3"/>
                    <w:jc w:val="both"/>
                  </w:pPr>
                  <w:r>
                    <w:rPr>
                      <w:rFonts w:ascii="宋体" w:hAnsi="宋体" w:cs="宋体" w:eastAsia="宋体"/>
                      <w:sz w:val="21"/>
                    </w:rPr>
                    <w:t>电源适配器、</w:t>
                  </w:r>
                  <w:r>
                    <w:rPr>
                      <w:rFonts w:ascii="宋体" w:hAnsi="宋体" w:cs="宋体" w:eastAsia="宋体"/>
                      <w:sz w:val="21"/>
                    </w:rPr>
                    <w:t>Y型线、电池、SD 卡、检定证书、电子版设备说明书</w:t>
                  </w:r>
                  <w:r>
                    <w:rPr>
                      <w:rFonts w:ascii="宋体" w:hAnsi="宋体" w:cs="宋体" w:eastAsia="宋体"/>
                      <w:sz w:val="21"/>
                    </w:rPr>
                    <w:t>。</w:t>
                  </w:r>
                </w:p>
                <w:p>
                  <w:pPr>
                    <w:pStyle w:val="null3"/>
                    <w:jc w:val="both"/>
                  </w:pPr>
                  <w:r>
                    <w:rPr>
                      <w:rFonts w:ascii="宋体" w:hAnsi="宋体" w:cs="宋体" w:eastAsia="宋体"/>
                      <w:sz w:val="21"/>
                    </w:rPr>
                    <w:t>（</w:t>
                  </w:r>
                  <w:r>
                    <w:rPr>
                      <w:rFonts w:ascii="宋体" w:hAnsi="宋体" w:cs="宋体" w:eastAsia="宋体"/>
                      <w:sz w:val="21"/>
                    </w:rPr>
                    <w:t>3</w:t>
                  </w:r>
                  <w:r>
                    <w:rPr>
                      <w:rFonts w:ascii="宋体" w:hAnsi="宋体" w:cs="宋体" w:eastAsia="宋体"/>
                      <w:sz w:val="21"/>
                    </w:rPr>
                    <w:t>）配件：通讯模块、温湿度传感器、棱镜、脚架、</w:t>
                  </w:r>
                  <w:r>
                    <w:rPr>
                      <w:rFonts w:ascii="宋体" w:hAnsi="宋体" w:cs="宋体" w:eastAsia="宋体"/>
                      <w:sz w:val="21"/>
                    </w:rPr>
                    <w:t>U盘</w:t>
                  </w:r>
                  <w:r>
                    <w:rPr>
                      <w:rFonts w:ascii="宋体" w:hAnsi="宋体" w:cs="宋体" w:eastAsia="宋体"/>
                      <w:sz w:val="21"/>
                    </w:rPr>
                    <w:t>（</w:t>
                  </w:r>
                  <w:r>
                    <w:rPr>
                      <w:rFonts w:ascii="宋体" w:hAnsi="宋体" w:cs="宋体" w:eastAsia="宋体"/>
                      <w:sz w:val="21"/>
                    </w:rPr>
                    <w:t>≥64G）、对讲机</w:t>
                  </w:r>
                  <w:r>
                    <w:rPr>
                      <w:rFonts w:ascii="宋体" w:hAnsi="宋体" w:cs="宋体" w:eastAsia="宋体"/>
                      <w:sz w:val="21"/>
                    </w:rPr>
                    <w:t>等。</w:t>
                  </w:r>
                </w:p>
                <w:p>
                  <w:pPr>
                    <w:pStyle w:val="null3"/>
                    <w:ind w:left="420"/>
                    <w:jc w:val="both"/>
                  </w:pPr>
                </w:p>
              </w:tc>
              <w:tc>
                <w:tcPr>
                  <w:tcW w:type="dxa" w:w="27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宋体" w:hAnsi="宋体" w:cs="宋体" w:eastAsia="宋体"/>
                      <w:sz w:val="21"/>
                    </w:rPr>
                    <w:t>1套</w:t>
                  </w:r>
                </w:p>
              </w:tc>
            </w:tr>
          </w:tbl>
          <w:p/>
        </w:tc>
      </w:tr>
      <w:tr>
        <w:tc>
          <w:tcPr>
            <w:tcW w:type="dxa" w:w="2769"/>
          </w:tcPr>
          <w:p/>
        </w:tc>
        <w:tc>
          <w:tcPr>
            <w:tcW w:type="dxa" w:w="2769"/>
          </w:tcPr>
          <w:p>
            <w:pPr>
              <w:pStyle w:val="null3"/>
            </w:pPr>
            <w:r>
              <w:rPr/>
              <w:t>5</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69"/>
              <w:gridCol w:w="467"/>
              <w:gridCol w:w="922"/>
              <w:gridCol w:w="717"/>
              <w:gridCol w:w="271"/>
            </w:tblGrid>
            <w:tr>
              <w:tc>
                <w:tcPr>
                  <w:tcW w:type="dxa" w:w="169"/>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序号</w:t>
                  </w:r>
                </w:p>
              </w:tc>
              <w:tc>
                <w:tcPr>
                  <w:tcW w:type="dxa" w:w="467"/>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产品名称</w:t>
                  </w:r>
                </w:p>
              </w:tc>
              <w:tc>
                <w:tcPr>
                  <w:tcW w:type="dxa" w:w="922"/>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技术标准</w:t>
                  </w:r>
                </w:p>
              </w:tc>
              <w:tc>
                <w:tcPr>
                  <w:tcW w:type="dxa" w:w="717"/>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配置要求</w:t>
                  </w:r>
                </w:p>
              </w:tc>
              <w:tc>
                <w:tcPr>
                  <w:tcW w:type="dxa" w:w="27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数量</w:t>
                  </w:r>
                  <w:r>
                    <w:rPr>
                      <w:rFonts w:ascii="宋体" w:hAnsi="宋体" w:cs="宋体" w:eastAsia="宋体"/>
                      <w:sz w:val="28"/>
                      <w:b/>
                    </w:rPr>
                    <w:t>/单位</w:t>
                  </w:r>
                </w:p>
              </w:tc>
            </w:tr>
            <w:tr>
              <w:tc>
                <w:tcPr>
                  <w:tcW w:type="dxa" w:w="16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1"/>
                    </w:rPr>
                    <w:t>4</w:t>
                  </w:r>
                </w:p>
              </w:tc>
              <w:tc>
                <w:tcPr>
                  <w:tcW w:type="dxa" w:w="4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1"/>
                    </w:rPr>
                    <w:t>全站仪</w:t>
                  </w:r>
                </w:p>
              </w:tc>
              <w:tc>
                <w:tcPr>
                  <w:tcW w:type="dxa" w:w="92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测程：棱镜组</w:t>
                  </w:r>
                  <w:r>
                    <w:rPr>
                      <w:rFonts w:ascii="宋体" w:hAnsi="宋体" w:cs="宋体" w:eastAsia="宋体"/>
                      <w:sz w:val="21"/>
                    </w:rPr>
                    <w:t>≥5000m，免棱镜≥1</w:t>
                  </w:r>
                  <w:r>
                    <w:rPr>
                      <w:rFonts w:ascii="宋体" w:hAnsi="宋体" w:cs="宋体" w:eastAsia="宋体"/>
                      <w:sz w:val="21"/>
                    </w:rPr>
                    <w:t>0</w:t>
                  </w:r>
                  <w:r>
                    <w:rPr>
                      <w:rFonts w:ascii="宋体" w:hAnsi="宋体" w:cs="宋体" w:eastAsia="宋体"/>
                      <w:sz w:val="21"/>
                    </w:rPr>
                    <w:t>00m</w:t>
                  </w:r>
                </w:p>
                <w:p>
                  <w:pPr>
                    <w:pStyle w:val="null3"/>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精度：</w:t>
                  </w:r>
                  <w:r>
                    <w:rPr>
                      <w:rFonts w:ascii="宋体" w:hAnsi="宋体" w:cs="宋体" w:eastAsia="宋体"/>
                      <w:sz w:val="21"/>
                    </w:rPr>
                    <w:t>≤2</w:t>
                  </w:r>
                  <w:r>
                    <w:rPr>
                      <w:rFonts w:ascii="宋体" w:hAnsi="宋体" w:cs="宋体" w:eastAsia="宋体"/>
                      <w:sz w:val="21"/>
                    </w:rPr>
                    <w:t>+2ppm</w:t>
                  </w:r>
                </w:p>
                <w:p>
                  <w:pPr>
                    <w:pStyle w:val="null3"/>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测量时间：</w:t>
                  </w:r>
                  <w:r>
                    <w:rPr>
                      <w:rFonts w:ascii="宋体" w:hAnsi="宋体" w:cs="宋体" w:eastAsia="宋体"/>
                      <w:sz w:val="21"/>
                    </w:rPr>
                    <w:t>连续</w:t>
                  </w:r>
                  <w:r>
                    <w:rPr>
                      <w:rFonts w:ascii="宋体" w:hAnsi="宋体" w:cs="宋体" w:eastAsia="宋体"/>
                      <w:sz w:val="21"/>
                    </w:rPr>
                    <w:t>≤</w:t>
                  </w:r>
                  <w:r>
                    <w:rPr>
                      <w:rFonts w:ascii="宋体" w:hAnsi="宋体" w:cs="宋体" w:eastAsia="宋体"/>
                      <w:sz w:val="21"/>
                    </w:rPr>
                    <w:t>0.5</w:t>
                  </w:r>
                  <w:r>
                    <w:rPr>
                      <w:rFonts w:ascii="宋体" w:hAnsi="宋体" w:cs="宋体" w:eastAsia="宋体"/>
                      <w:sz w:val="21"/>
                    </w:rPr>
                    <w:t>s，跟踪≤0.</w:t>
                  </w:r>
                  <w:r>
                    <w:rPr>
                      <w:rFonts w:ascii="宋体" w:hAnsi="宋体" w:cs="宋体" w:eastAsia="宋体"/>
                      <w:sz w:val="21"/>
                    </w:rPr>
                    <w:t>3</w:t>
                  </w:r>
                  <w:r>
                    <w:rPr>
                      <w:rFonts w:ascii="宋体" w:hAnsi="宋体" w:cs="宋体" w:eastAsia="宋体"/>
                      <w:sz w:val="21"/>
                    </w:rPr>
                    <w:t>s</w:t>
                  </w:r>
                </w:p>
                <w:p>
                  <w:pPr>
                    <w:pStyle w:val="null3"/>
                    <w:jc w:val="left"/>
                  </w:pPr>
                  <w:r>
                    <w:rPr>
                      <w:rFonts w:ascii="宋体" w:hAnsi="宋体" w:cs="宋体" w:eastAsia="宋体"/>
                      <w:sz w:val="21"/>
                    </w:rPr>
                    <w:t>（</w:t>
                  </w:r>
                  <w:r>
                    <w:rPr>
                      <w:rFonts w:ascii="宋体" w:hAnsi="宋体" w:cs="宋体" w:eastAsia="宋体"/>
                      <w:sz w:val="21"/>
                    </w:rPr>
                    <w:t>4）</w:t>
                  </w:r>
                  <w:r>
                    <w:rPr>
                      <w:rFonts w:ascii="宋体" w:hAnsi="宋体" w:cs="宋体" w:eastAsia="宋体"/>
                      <w:sz w:val="21"/>
                    </w:rPr>
                    <w:t>放大倍数：</w:t>
                  </w:r>
                  <w:r>
                    <w:rPr>
                      <w:rFonts w:ascii="宋体" w:hAnsi="宋体" w:cs="宋体" w:eastAsia="宋体"/>
                      <w:sz w:val="21"/>
                    </w:rPr>
                    <w:t>≥30X物镜</w:t>
                  </w:r>
                </w:p>
                <w:p>
                  <w:pPr>
                    <w:pStyle w:val="null3"/>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数据接口：</w:t>
                  </w:r>
                  <w:r>
                    <w:rPr>
                      <w:rFonts w:ascii="宋体" w:hAnsi="宋体" w:cs="宋体" w:eastAsia="宋体"/>
                      <w:sz w:val="21"/>
                    </w:rPr>
                    <w:t>u盘</w:t>
                  </w:r>
                  <w:r>
                    <w:rPr>
                      <w:rFonts w:ascii="宋体" w:hAnsi="宋体" w:cs="宋体" w:eastAsia="宋体"/>
                      <w:sz w:val="21"/>
                    </w:rPr>
                    <w:t>、蓝牙</w:t>
                  </w:r>
                </w:p>
                <w:p>
                  <w:pPr>
                    <w:pStyle w:val="null3"/>
                    <w:jc w:val="left"/>
                  </w:pPr>
                  <w:r>
                    <w:rPr>
                      <w:rFonts w:ascii="宋体" w:hAnsi="宋体" w:cs="宋体" w:eastAsia="宋体"/>
                      <w:sz w:val="21"/>
                    </w:rPr>
                    <w:t>（</w:t>
                  </w:r>
                  <w:r>
                    <w:rPr>
                      <w:rFonts w:ascii="宋体" w:hAnsi="宋体" w:cs="宋体" w:eastAsia="宋体"/>
                      <w:sz w:val="21"/>
                    </w:rPr>
                    <w:t>6）</w:t>
                  </w:r>
                  <w:r>
                    <w:rPr>
                      <w:rFonts w:ascii="宋体" w:hAnsi="宋体" w:cs="宋体" w:eastAsia="宋体"/>
                      <w:sz w:val="21"/>
                    </w:rPr>
                    <w:t>▲</w:t>
                  </w:r>
                  <w:r>
                    <w:rPr>
                      <w:rFonts w:ascii="宋体" w:hAnsi="宋体" w:cs="宋体" w:eastAsia="宋体"/>
                      <w:sz w:val="21"/>
                    </w:rPr>
                    <w:t>系统及</w:t>
                  </w:r>
                  <w:r>
                    <w:rPr>
                      <w:rFonts w:ascii="宋体" w:hAnsi="宋体" w:cs="宋体" w:eastAsia="宋体"/>
                      <w:sz w:val="21"/>
                    </w:rPr>
                    <w:t>显示器：</w:t>
                  </w:r>
                  <w:r>
                    <w:rPr>
                      <w:rFonts w:ascii="宋体" w:hAnsi="宋体" w:cs="宋体" w:eastAsia="宋体"/>
                      <w:sz w:val="21"/>
                    </w:rPr>
                    <w:t>≥</w:t>
                  </w:r>
                  <w:r>
                    <w:rPr>
                      <w:rFonts w:ascii="宋体" w:hAnsi="宋体" w:cs="宋体" w:eastAsia="宋体"/>
                      <w:sz w:val="21"/>
                    </w:rPr>
                    <w:t>安卓</w:t>
                  </w:r>
                  <w:r>
                    <w:rPr>
                      <w:rFonts w:ascii="times new roman, times, serif" w:hAnsi="times new roman, times, serif" w:cs="times new roman, times, serif" w:eastAsia="times new roman, times, serif"/>
                      <w:sz w:val="21"/>
                    </w:rPr>
                    <w:t>9.0</w:t>
                  </w:r>
                  <w:r>
                    <w:rPr>
                      <w:rFonts w:ascii="宋体" w:hAnsi="宋体" w:cs="宋体" w:eastAsia="宋体"/>
                      <w:sz w:val="21"/>
                    </w:rPr>
                    <w:t>，内存</w:t>
                  </w:r>
                  <w:r>
                    <w:rPr>
                      <w:rFonts w:ascii="宋体" w:hAnsi="宋体" w:cs="宋体" w:eastAsia="宋体"/>
                      <w:sz w:val="21"/>
                    </w:rPr>
                    <w:t>≥</w:t>
                  </w:r>
                  <w:r>
                    <w:rPr>
                      <w:rFonts w:ascii="宋体" w:hAnsi="宋体" w:cs="宋体" w:eastAsia="宋体"/>
                      <w:sz w:val="21"/>
                    </w:rPr>
                    <w:t>16GB；彩屏、</w:t>
                  </w:r>
                  <w:r>
                    <w:rPr>
                      <w:rFonts w:ascii="宋体" w:hAnsi="宋体" w:cs="宋体" w:eastAsia="宋体"/>
                      <w:sz w:val="21"/>
                    </w:rPr>
                    <w:t>中文</w:t>
                  </w:r>
                  <w:r>
                    <w:rPr>
                      <w:rFonts w:ascii="宋体" w:hAnsi="宋体" w:cs="宋体" w:eastAsia="宋体"/>
                      <w:sz w:val="21"/>
                    </w:rPr>
                    <w:t>显示</w:t>
                  </w:r>
                </w:p>
                <w:p>
                  <w:pPr>
                    <w:pStyle w:val="null3"/>
                    <w:jc w:val="left"/>
                  </w:pPr>
                  <w:r>
                    <w:rPr>
                      <w:rFonts w:ascii="宋体" w:hAnsi="宋体" w:cs="宋体" w:eastAsia="宋体"/>
                      <w:sz w:val="21"/>
                    </w:rPr>
                    <w:t>（</w:t>
                  </w:r>
                  <w:r>
                    <w:rPr>
                      <w:rFonts w:ascii="宋体" w:hAnsi="宋体" w:cs="宋体" w:eastAsia="宋体"/>
                      <w:sz w:val="21"/>
                    </w:rPr>
                    <w:t>7）</w:t>
                  </w:r>
                  <w:r>
                    <w:rPr>
                      <w:rFonts w:ascii="宋体" w:hAnsi="宋体" w:cs="宋体" w:eastAsia="宋体"/>
                      <w:sz w:val="21"/>
                    </w:rPr>
                    <w:t>连续工作时间：可充电电池，</w:t>
                  </w:r>
                  <w:r>
                    <w:rPr>
                      <w:rFonts w:ascii="宋体" w:hAnsi="宋体" w:cs="宋体" w:eastAsia="宋体"/>
                      <w:sz w:val="21"/>
                    </w:rPr>
                    <w:t>≥</w:t>
                  </w:r>
                  <w:r>
                    <w:rPr>
                      <w:rFonts w:ascii="宋体" w:hAnsi="宋体" w:cs="宋体" w:eastAsia="宋体"/>
                      <w:sz w:val="21"/>
                    </w:rPr>
                    <w:t>5000mAh</w:t>
                  </w:r>
                </w:p>
                <w:p>
                  <w:pPr>
                    <w:pStyle w:val="null3"/>
                    <w:jc w:val="both"/>
                  </w:pPr>
                  <w:r>
                    <w:rPr>
                      <w:rFonts w:ascii="宋体" w:hAnsi="宋体" w:cs="宋体" w:eastAsia="宋体"/>
                      <w:sz w:val="21"/>
                    </w:rPr>
                    <w:t>（</w:t>
                  </w:r>
                  <w:r>
                    <w:rPr>
                      <w:rFonts w:ascii="宋体" w:hAnsi="宋体" w:cs="宋体" w:eastAsia="宋体"/>
                      <w:sz w:val="21"/>
                    </w:rPr>
                    <w:t>8）防水防尘：</w:t>
                  </w:r>
                  <w:r>
                    <w:rPr>
                      <w:rFonts w:ascii="宋体" w:hAnsi="宋体" w:cs="宋体" w:eastAsia="宋体"/>
                      <w:sz w:val="21"/>
                    </w:rPr>
                    <w:t>≥</w:t>
                  </w:r>
                  <w:r>
                    <w:rPr>
                      <w:rFonts w:ascii="宋体" w:hAnsi="宋体" w:cs="宋体" w:eastAsia="宋体"/>
                      <w:sz w:val="21"/>
                    </w:rPr>
                    <w:t>IP55</w:t>
                  </w:r>
                </w:p>
              </w:tc>
              <w:tc>
                <w:tcPr>
                  <w:tcW w:type="dxa" w:w="71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主机盒装标配；</w:t>
                  </w:r>
                </w:p>
                <w:p>
                  <w:pPr>
                    <w:pStyle w:val="null3"/>
                    <w:jc w:val="both"/>
                  </w:pPr>
                  <w:r>
                    <w:rPr>
                      <w:rFonts w:ascii="宋体" w:hAnsi="宋体" w:cs="宋体" w:eastAsia="宋体"/>
                      <w:sz w:val="21"/>
                    </w:rPr>
                    <w:t>（</w:t>
                  </w:r>
                  <w:r>
                    <w:rPr>
                      <w:rFonts w:ascii="宋体" w:hAnsi="宋体" w:cs="宋体" w:eastAsia="宋体"/>
                      <w:sz w:val="21"/>
                    </w:rPr>
                    <w:t>2）</w:t>
                  </w:r>
                  <w:r>
                    <w:rPr>
                      <w:rFonts w:ascii="宋体" w:hAnsi="宋体" w:cs="宋体" w:eastAsia="宋体"/>
                      <w:sz w:val="21"/>
                    </w:rPr>
                    <w:t>配件：脚架、棱镜、单杆</w:t>
                  </w:r>
                  <w:r>
                    <w:rPr>
                      <w:rFonts w:ascii="宋体" w:hAnsi="宋体" w:cs="宋体" w:eastAsia="宋体"/>
                      <w:sz w:val="21"/>
                    </w:rPr>
                    <w:t>*2、对讲机</w:t>
                  </w:r>
                  <w:r>
                    <w:rPr>
                      <w:rFonts w:ascii="宋体" w:hAnsi="宋体" w:cs="宋体" w:eastAsia="宋体"/>
                      <w:sz w:val="21"/>
                    </w:rPr>
                    <w:t>、</w:t>
                  </w:r>
                  <w:r>
                    <w:rPr>
                      <w:rFonts w:ascii="宋体" w:hAnsi="宋体" w:cs="宋体" w:eastAsia="宋体"/>
                      <w:sz w:val="21"/>
                    </w:rPr>
                    <w:t>u盘（≥64G）等。</w:t>
                  </w:r>
                </w:p>
              </w:tc>
              <w:tc>
                <w:tcPr>
                  <w:tcW w:type="dxa" w:w="27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宋体" w:hAnsi="宋体" w:cs="宋体" w:eastAsia="宋体"/>
                      <w:sz w:val="21"/>
                    </w:rPr>
                    <w:t>2台</w:t>
                  </w:r>
                </w:p>
              </w:tc>
            </w:tr>
          </w:tbl>
          <w:p>
            <w:pPr>
              <w:pStyle w:val="null3"/>
            </w:pPr>
            <w:r>
              <w:rPr>
                <w:rFonts w:ascii="宋体" w:hAnsi="宋体" w:cs="宋体" w:eastAsia="宋体"/>
                <w:sz w:val="20"/>
                <w:b/>
              </w:rPr>
              <w:t>注：</w:t>
            </w:r>
            <w:r>
              <w:rPr>
                <w:rFonts w:ascii="宋体" w:hAnsi="宋体" w:cs="宋体" w:eastAsia="宋体"/>
                <w:sz w:val="20"/>
                <w:b/>
              </w:rPr>
              <w:t>“</w:t>
            </w:r>
            <w:r>
              <w:rPr>
                <w:rFonts w:ascii="宋体" w:hAnsi="宋体" w:cs="宋体" w:eastAsia="宋体"/>
                <w:sz w:val="20"/>
              </w:rPr>
              <w:t>▲</w:t>
            </w:r>
            <w:r>
              <w:rPr>
                <w:rFonts w:ascii="宋体" w:hAnsi="宋体" w:cs="宋体" w:eastAsia="宋体"/>
                <w:sz w:val="20"/>
                <w:b/>
              </w:rPr>
              <w:t>”为重要参数项</w:t>
            </w:r>
          </w:p>
        </w:tc>
      </w:tr>
      <w:tr>
        <w:tc>
          <w:tcPr>
            <w:tcW w:type="dxa" w:w="2769"/>
          </w:tcPr>
          <w:p/>
        </w:tc>
        <w:tc>
          <w:tcPr>
            <w:tcW w:type="dxa" w:w="2769"/>
          </w:tcPr>
          <w:p>
            <w:pPr>
              <w:pStyle w:val="null3"/>
            </w:pPr>
            <w:r>
              <w:rPr/>
              <w:t>6</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69"/>
              <w:gridCol w:w="467"/>
              <w:gridCol w:w="922"/>
              <w:gridCol w:w="717"/>
              <w:gridCol w:w="271"/>
            </w:tblGrid>
            <w:tr>
              <w:tc>
                <w:tcPr>
                  <w:tcW w:type="dxa" w:w="169"/>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序号</w:t>
                  </w:r>
                </w:p>
              </w:tc>
              <w:tc>
                <w:tcPr>
                  <w:tcW w:type="dxa" w:w="467"/>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产品名称</w:t>
                  </w:r>
                </w:p>
              </w:tc>
              <w:tc>
                <w:tcPr>
                  <w:tcW w:type="dxa" w:w="922"/>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技术标准</w:t>
                  </w:r>
                </w:p>
              </w:tc>
              <w:tc>
                <w:tcPr>
                  <w:tcW w:type="dxa" w:w="717"/>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配置要求</w:t>
                  </w:r>
                </w:p>
              </w:tc>
              <w:tc>
                <w:tcPr>
                  <w:tcW w:type="dxa" w:w="271"/>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8"/>
                      <w:b/>
                    </w:rPr>
                    <w:t>数量</w:t>
                  </w:r>
                  <w:r>
                    <w:rPr>
                      <w:rFonts w:ascii="宋体" w:hAnsi="宋体" w:cs="宋体" w:eastAsia="宋体"/>
                      <w:sz w:val="28"/>
                      <w:b/>
                    </w:rPr>
                    <w:t>/单位</w:t>
                  </w:r>
                </w:p>
              </w:tc>
            </w:tr>
            <w:tr>
              <w:tc>
                <w:tcPr>
                  <w:tcW w:type="dxa" w:w="16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1"/>
                    </w:rPr>
                    <w:t>5</w:t>
                  </w:r>
                </w:p>
              </w:tc>
              <w:tc>
                <w:tcPr>
                  <w:tcW w:type="dxa" w:w="46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center"/>
                  </w:pPr>
                  <w:r>
                    <w:rPr>
                      <w:rFonts w:ascii="宋体" w:hAnsi="宋体" w:cs="宋体" w:eastAsia="宋体"/>
                      <w:sz w:val="21"/>
                    </w:rPr>
                    <w:t>RTK基站+移动站</w:t>
                  </w:r>
                </w:p>
              </w:tc>
              <w:tc>
                <w:tcPr>
                  <w:tcW w:type="dxa" w:w="922"/>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宋体" w:hAnsi="宋体" w:cs="宋体" w:eastAsia="宋体"/>
                      <w:sz w:val="21"/>
                      <w:b/>
                    </w:rPr>
                    <w:t>RTK（1+3）：</w:t>
                  </w:r>
                </w:p>
                <w:p>
                  <w:pPr>
                    <w:pStyle w:val="null3"/>
                    <w:jc w:val="left"/>
                  </w:pPr>
                  <w:r>
                    <w:rPr>
                      <w:rFonts w:ascii="宋体" w:hAnsi="宋体" w:cs="宋体" w:eastAsia="宋体"/>
                      <w:sz w:val="21"/>
                    </w:rPr>
                    <w:t>（</w:t>
                  </w:r>
                  <w:r>
                    <w:rPr>
                      <w:rFonts w:ascii="宋体" w:hAnsi="宋体" w:cs="宋体" w:eastAsia="宋体"/>
                      <w:sz w:val="21"/>
                    </w:rPr>
                    <w:t>1）</w:t>
                  </w:r>
                  <w:r>
                    <w:rPr>
                      <w:rFonts w:ascii="宋体" w:hAnsi="宋体" w:cs="宋体" w:eastAsia="宋体"/>
                      <w:sz w:val="21"/>
                    </w:rPr>
                    <w:t>主板通道数：</w:t>
                  </w:r>
                  <w:r>
                    <w:rPr>
                      <w:rFonts w:ascii="宋体" w:hAnsi="宋体" w:cs="宋体" w:eastAsia="宋体"/>
                      <w:sz w:val="21"/>
                    </w:rPr>
                    <w:t>≥1400；</w:t>
                  </w:r>
                </w:p>
                <w:p>
                  <w:pPr>
                    <w:pStyle w:val="null3"/>
                    <w:jc w:val="left"/>
                  </w:pPr>
                  <w:r>
                    <w:rPr>
                      <w:rFonts w:ascii="宋体" w:hAnsi="宋体" w:cs="宋体" w:eastAsia="宋体"/>
                      <w:sz w:val="21"/>
                    </w:rPr>
                    <w:t>（</w:t>
                  </w:r>
                  <w:r>
                    <w:rPr>
                      <w:rFonts w:ascii="宋体" w:hAnsi="宋体" w:cs="宋体" w:eastAsia="宋体"/>
                      <w:sz w:val="21"/>
                    </w:rPr>
                    <w:t>2）</w:t>
                  </w:r>
                  <w:r>
                    <w:rPr>
                      <w:rFonts w:ascii="宋体" w:hAnsi="宋体" w:cs="宋体" w:eastAsia="宋体"/>
                      <w:sz w:val="21"/>
                    </w:rPr>
                    <w:t>卫星信号跟踪：支持</w:t>
                  </w:r>
                  <w:r>
                    <w:rPr>
                      <w:rFonts w:ascii="宋体" w:hAnsi="宋体" w:cs="宋体" w:eastAsia="宋体"/>
                      <w:sz w:val="21"/>
                    </w:rPr>
                    <w:t>BDS、GNSS系统</w:t>
                  </w:r>
                </w:p>
                <w:p>
                  <w:pPr>
                    <w:pStyle w:val="null3"/>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外部设备：内置双摄像头</w:t>
                  </w:r>
                </w:p>
                <w:p>
                  <w:pPr>
                    <w:pStyle w:val="null3"/>
                    <w:jc w:val="left"/>
                  </w:pPr>
                  <w:r>
                    <w:rPr>
                      <w:rFonts w:ascii="宋体" w:hAnsi="宋体" w:cs="宋体" w:eastAsia="宋体"/>
                      <w:sz w:val="21"/>
                    </w:rPr>
                    <w:t>（</w:t>
                  </w:r>
                  <w:r>
                    <w:rPr>
                      <w:rFonts w:ascii="宋体" w:hAnsi="宋体" w:cs="宋体" w:eastAsia="宋体"/>
                      <w:sz w:val="21"/>
                    </w:rPr>
                    <w:t>4）</w:t>
                  </w:r>
                  <w:r>
                    <w:rPr>
                      <w:rFonts w:ascii="宋体" w:hAnsi="宋体" w:cs="宋体" w:eastAsia="宋体"/>
                      <w:sz w:val="21"/>
                    </w:rPr>
                    <w:t>静态测量精度：平面精度不低于：</w:t>
                  </w:r>
                  <w:r>
                    <w:rPr>
                      <w:rFonts w:ascii="宋体" w:hAnsi="宋体" w:cs="宋体" w:eastAsia="宋体"/>
                      <w:sz w:val="21"/>
                    </w:rPr>
                    <w:t>±（2.5+0.5×10</w:t>
                  </w:r>
                  <w:r>
                    <w:rPr>
                      <w:rFonts w:ascii="宋体" w:hAnsi="宋体" w:cs="宋体" w:eastAsia="宋体"/>
                      <w:sz w:val="21"/>
                      <w:vertAlign w:val="superscript"/>
                    </w:rPr>
                    <w:t>-6</w:t>
                  </w:r>
                  <w:r>
                    <w:rPr>
                      <w:rFonts w:ascii="宋体" w:hAnsi="宋体" w:cs="宋体" w:eastAsia="宋体"/>
                      <w:sz w:val="21"/>
                    </w:rPr>
                    <w:t>D）mm （D为被测点间距离）</w:t>
                  </w:r>
                </w:p>
                <w:p>
                  <w:pPr>
                    <w:pStyle w:val="null3"/>
                    <w:jc w:val="left"/>
                  </w:pPr>
                  <w:r>
                    <w:rPr>
                      <w:rFonts w:ascii="宋体" w:hAnsi="宋体" w:cs="宋体" w:eastAsia="宋体"/>
                      <w:sz w:val="21"/>
                    </w:rPr>
                    <w:t>高程精度不低于</w:t>
                  </w:r>
                  <w:r>
                    <w:rPr>
                      <w:rFonts w:ascii="宋体" w:hAnsi="宋体" w:cs="宋体" w:eastAsia="宋体"/>
                      <w:sz w:val="21"/>
                    </w:rPr>
                    <w:t>:±(5+0.5×10</w:t>
                  </w:r>
                  <w:r>
                    <w:rPr>
                      <w:rFonts w:ascii="宋体" w:hAnsi="宋体" w:cs="宋体" w:eastAsia="宋体"/>
                      <w:sz w:val="21"/>
                      <w:vertAlign w:val="superscript"/>
                    </w:rPr>
                    <w:t>-6</w:t>
                  </w:r>
                  <w:r>
                    <w:rPr>
                      <w:rFonts w:ascii="宋体" w:hAnsi="宋体" w:cs="宋体" w:eastAsia="宋体"/>
                      <w:sz w:val="21"/>
                    </w:rPr>
                    <w:t>D)mm（D为被测点间距离）</w:t>
                  </w:r>
                </w:p>
                <w:p>
                  <w:pPr>
                    <w:pStyle w:val="null3"/>
                    <w:jc w:val="left"/>
                  </w:pPr>
                  <w:r>
                    <w:rPr>
                      <w:rFonts w:ascii="宋体" w:hAnsi="宋体" w:cs="宋体" w:eastAsia="宋体"/>
                      <w:sz w:val="21"/>
                    </w:rPr>
                    <w:t>（</w:t>
                  </w:r>
                  <w:r>
                    <w:rPr>
                      <w:rFonts w:ascii="宋体" w:hAnsi="宋体" w:cs="宋体" w:eastAsia="宋体"/>
                      <w:sz w:val="21"/>
                    </w:rPr>
                    <w:t>5）</w:t>
                  </w:r>
                  <w:r>
                    <w:rPr>
                      <w:rFonts w:ascii="宋体" w:hAnsi="宋体" w:cs="宋体" w:eastAsia="宋体"/>
                      <w:sz w:val="21"/>
                    </w:rPr>
                    <w:t>动态测量精度</w:t>
                  </w:r>
                  <w:r>
                    <w:rPr>
                      <w:rFonts w:ascii="宋体" w:hAnsi="宋体" w:cs="宋体" w:eastAsia="宋体"/>
                      <w:sz w:val="21"/>
                    </w:rPr>
                    <w:t>:平面精度不低于：±（8+1×10</w:t>
                  </w:r>
                  <w:r>
                    <w:rPr>
                      <w:rFonts w:ascii="宋体" w:hAnsi="宋体" w:cs="宋体" w:eastAsia="宋体"/>
                      <w:sz w:val="21"/>
                      <w:vertAlign w:val="superscript"/>
                    </w:rPr>
                    <w:t>-6</w:t>
                  </w:r>
                  <w:r>
                    <w:rPr>
                      <w:rFonts w:ascii="宋体" w:hAnsi="宋体" w:cs="宋体" w:eastAsia="宋体"/>
                      <w:sz w:val="21"/>
                    </w:rPr>
                    <w:t>D）mm（D为被测点间距离）</w:t>
                  </w:r>
                </w:p>
                <w:p>
                  <w:pPr>
                    <w:pStyle w:val="null3"/>
                    <w:jc w:val="left"/>
                  </w:pPr>
                  <w:r>
                    <w:rPr>
                      <w:rFonts w:ascii="宋体" w:hAnsi="宋体" w:cs="宋体" w:eastAsia="宋体"/>
                      <w:sz w:val="21"/>
                    </w:rPr>
                    <w:t>高程精度不低于</w:t>
                  </w:r>
                  <w:r>
                    <w:rPr>
                      <w:rFonts w:ascii="宋体" w:hAnsi="宋体" w:cs="宋体" w:eastAsia="宋体"/>
                      <w:sz w:val="21"/>
                    </w:rPr>
                    <w:t>:±(15+1×10</w:t>
                  </w:r>
                  <w:r>
                    <w:rPr>
                      <w:rFonts w:ascii="宋体" w:hAnsi="宋体" w:cs="宋体" w:eastAsia="宋体"/>
                      <w:sz w:val="21"/>
                      <w:vertAlign w:val="superscript"/>
                    </w:rPr>
                    <w:t>-6</w:t>
                  </w:r>
                  <w:r>
                    <w:rPr>
                      <w:rFonts w:ascii="宋体" w:hAnsi="宋体" w:cs="宋体" w:eastAsia="宋体"/>
                      <w:sz w:val="21"/>
                    </w:rPr>
                    <w:t>D)mm（D为被测点间距离）</w:t>
                  </w:r>
                </w:p>
                <w:p>
                  <w:pPr>
                    <w:pStyle w:val="null3"/>
                    <w:jc w:val="both"/>
                  </w:pPr>
                  <w:r>
                    <w:rPr>
                      <w:rFonts w:ascii="宋体" w:hAnsi="宋体" w:cs="宋体" w:eastAsia="宋体"/>
                      <w:sz w:val="21"/>
                    </w:rPr>
                    <w:t>（</w:t>
                  </w:r>
                  <w:r>
                    <w:rPr>
                      <w:rFonts w:ascii="宋体" w:hAnsi="宋体" w:cs="宋体" w:eastAsia="宋体"/>
                      <w:sz w:val="21"/>
                    </w:rPr>
                    <w:t>6）基站带手簿。</w:t>
                  </w:r>
                </w:p>
              </w:tc>
              <w:tc>
                <w:tcPr>
                  <w:tcW w:type="dxa" w:w="71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宋体" w:hAnsi="宋体" w:cs="宋体" w:eastAsia="宋体"/>
                      <w:sz w:val="21"/>
                    </w:rPr>
                    <w:t>（</w:t>
                  </w:r>
                  <w:r>
                    <w:rPr>
                      <w:rFonts w:ascii="宋体" w:hAnsi="宋体" w:cs="宋体" w:eastAsia="宋体"/>
                      <w:sz w:val="21"/>
                    </w:rPr>
                    <w:t>1）每套含：</w:t>
                  </w:r>
                </w:p>
                <w:p>
                  <w:pPr>
                    <w:pStyle w:val="null3"/>
                    <w:jc w:val="left"/>
                  </w:pPr>
                  <w:r>
                    <w:rPr>
                      <w:rFonts w:ascii="宋体" w:hAnsi="宋体" w:cs="宋体" w:eastAsia="宋体"/>
                      <w:sz w:val="21"/>
                    </w:rPr>
                    <w:t>①</w:t>
                  </w:r>
                  <w:r>
                    <w:rPr>
                      <w:rFonts w:ascii="宋体" w:hAnsi="宋体" w:cs="宋体" w:eastAsia="宋体"/>
                      <w:sz w:val="21"/>
                    </w:rPr>
                    <w:t>RTK基站1台</w:t>
                  </w:r>
                </w:p>
                <w:p>
                  <w:pPr>
                    <w:pStyle w:val="null3"/>
                    <w:jc w:val="left"/>
                  </w:pPr>
                  <w:r>
                    <w:rPr>
                      <w:rFonts w:ascii="宋体" w:hAnsi="宋体" w:cs="宋体" w:eastAsia="宋体"/>
                      <w:sz w:val="21"/>
                    </w:rPr>
                    <w:t>②</w:t>
                  </w:r>
                  <w:r>
                    <w:rPr>
                      <w:rFonts w:ascii="宋体" w:hAnsi="宋体" w:cs="宋体" w:eastAsia="宋体"/>
                      <w:sz w:val="21"/>
                    </w:rPr>
                    <w:t>RTK移动站3台</w:t>
                  </w:r>
                </w:p>
                <w:p>
                  <w:pPr>
                    <w:pStyle w:val="null3"/>
                    <w:jc w:val="both"/>
                  </w:pPr>
                  <w:r>
                    <w:rPr>
                      <w:rFonts w:ascii="宋体" w:hAnsi="宋体" w:cs="宋体" w:eastAsia="宋体"/>
                      <w:sz w:val="21"/>
                    </w:rPr>
                    <w:t>（</w:t>
                  </w:r>
                  <w:r>
                    <w:rPr>
                      <w:rFonts w:ascii="宋体" w:hAnsi="宋体" w:cs="宋体" w:eastAsia="宋体"/>
                      <w:sz w:val="21"/>
                    </w:rPr>
                    <w:t>2）</w:t>
                  </w:r>
                  <w:r>
                    <w:rPr>
                      <w:rFonts w:ascii="宋体" w:hAnsi="宋体" w:cs="宋体" w:eastAsia="宋体"/>
                      <w:sz w:val="21"/>
                    </w:rPr>
                    <w:t>基站与移动站应为同品牌，同系列产品；</w:t>
                  </w:r>
                </w:p>
                <w:p>
                  <w:pPr>
                    <w:pStyle w:val="null3"/>
                    <w:jc w:val="left"/>
                  </w:pPr>
                  <w:r>
                    <w:rPr>
                      <w:rFonts w:ascii="宋体" w:hAnsi="宋体" w:cs="宋体" w:eastAsia="宋体"/>
                      <w:sz w:val="21"/>
                    </w:rPr>
                    <w:t>（</w:t>
                  </w:r>
                  <w:r>
                    <w:rPr>
                      <w:rFonts w:ascii="宋体" w:hAnsi="宋体" w:cs="宋体" w:eastAsia="宋体"/>
                      <w:sz w:val="21"/>
                    </w:rPr>
                    <w:t>3）</w:t>
                  </w:r>
                  <w:r>
                    <w:rPr>
                      <w:rFonts w:ascii="宋体" w:hAnsi="宋体" w:cs="宋体" w:eastAsia="宋体"/>
                      <w:sz w:val="21"/>
                    </w:rPr>
                    <w:t>配件：</w:t>
                  </w:r>
                </w:p>
                <w:p>
                  <w:pPr>
                    <w:pStyle w:val="null3"/>
                    <w:jc w:val="left"/>
                  </w:pPr>
                  <w:r>
                    <w:rPr>
                      <w:rFonts w:ascii="宋体" w:hAnsi="宋体" w:cs="宋体" w:eastAsia="宋体"/>
                      <w:sz w:val="21"/>
                    </w:rPr>
                    <w:t>对中杆、三脚架、移动电源、对讲机</w:t>
                  </w:r>
                  <w:r>
                    <w:rPr>
                      <w:rFonts w:ascii="宋体" w:hAnsi="宋体" w:cs="宋体" w:eastAsia="宋体"/>
                      <w:sz w:val="21"/>
                    </w:rPr>
                    <w:t>、</w:t>
                  </w:r>
                  <w:r>
                    <w:rPr>
                      <w:rFonts w:ascii="宋体" w:hAnsi="宋体" w:cs="宋体" w:eastAsia="宋体"/>
                      <w:sz w:val="21"/>
                    </w:rPr>
                    <w:t>U盘（≥64G）等。</w:t>
                  </w:r>
                </w:p>
                <w:p>
                  <w:pPr>
                    <w:pStyle w:val="null3"/>
                    <w:jc w:val="both"/>
                  </w:pPr>
                  <w:r>
                    <w:rPr>
                      <w:rFonts w:ascii="宋体" w:hAnsi="宋体" w:cs="宋体" w:eastAsia="宋体"/>
                      <w:sz w:val="21"/>
                    </w:rPr>
                    <w:t>（</w:t>
                  </w:r>
                  <w:r>
                    <w:rPr>
                      <w:rFonts w:ascii="宋体" w:hAnsi="宋体" w:cs="宋体" w:eastAsia="宋体"/>
                      <w:sz w:val="21"/>
                    </w:rPr>
                    <w:t>4）账号：</w:t>
                  </w:r>
                </w:p>
                <w:p>
                  <w:pPr>
                    <w:pStyle w:val="null3"/>
                    <w:jc w:val="both"/>
                  </w:pPr>
                  <w:r>
                    <w:rPr>
                      <w:rFonts w:ascii="宋体" w:hAnsi="宋体" w:cs="宋体" w:eastAsia="宋体"/>
                      <w:sz w:val="21"/>
                    </w:rPr>
                    <w:t>每台设备提供</w:t>
                  </w:r>
                  <w:r>
                    <w:rPr>
                      <w:rFonts w:ascii="宋体" w:hAnsi="宋体" w:cs="宋体" w:eastAsia="宋体"/>
                      <w:sz w:val="21"/>
                    </w:rPr>
                    <w:t>5年账号服务。</w:t>
                  </w:r>
                </w:p>
              </w:tc>
              <w:tc>
                <w:tcPr>
                  <w:tcW w:type="dxa" w:w="271"/>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jc w:val="left"/>
                  </w:pPr>
                  <w:r>
                    <w:rPr>
                      <w:rFonts w:ascii="宋体" w:hAnsi="宋体" w:cs="宋体" w:eastAsia="宋体"/>
                      <w:sz w:val="21"/>
                    </w:rPr>
                    <w:t>2套</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合同签订之后180日历日内完成所列内容，并且完成系统部署、用户培训、系统运行。</w:t>
      </w:r>
    </w:p>
    <w:p>
      <w:pPr>
        <w:pStyle w:val="null3"/>
        <w:outlineLvl w:val="3"/>
      </w:pPr>
      <w:r>
        <w:rPr>
          <w:sz w:val="24"/>
          <w:b/>
        </w:rPr>
        <w:t>3.4.2交货地点</w:t>
      </w:r>
    </w:p>
    <w:p>
      <w:pPr>
        <w:pStyle w:val="null3"/>
      </w:pPr>
      <w:r>
        <w:rPr/>
        <w:t>采购包1：</w:t>
      </w:r>
    </w:p>
    <w:p>
      <w:pPr>
        <w:pStyle w:val="null3"/>
      </w:pPr>
      <w:r>
        <w:rPr/>
        <w:t>西安建筑科技大学雁塔校区教学大楼213。</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（仅限2024年12月20日前无法验收合格的项目） 合同签订前，乙方须在甲方指定的银行开立一般结算账户。合同签订后，甲方通过银行电汇付给乙方全额货款。 （仅限2024年12月20日前验收合格的项目） 签订合同后，设备到达指定地点、安装调试完成并验收合格后，支付合同总价的100%。 最终结算时，乙方须向甲方出具合同总价款的增值税专用发票</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文件及合同约定。</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质保期：验收合格通过之日起提供3年硬件及5年免费维保服务和10年技术支持。</w:t>
      </w:r>
    </w:p>
    <w:p>
      <w:pPr>
        <w:pStyle w:val="null3"/>
        <w:outlineLvl w:val="3"/>
      </w:pPr>
      <w:r>
        <w:rPr>
          <w:sz w:val="24"/>
          <w:b/>
        </w:rPr>
        <w:t>3.4.8违约责任与解决争议的方法</w:t>
      </w:r>
    </w:p>
    <w:p>
      <w:pPr>
        <w:pStyle w:val="null3"/>
      </w:pPr>
      <w:r>
        <w:rPr/>
        <w:t>采购包1：</w:t>
      </w:r>
    </w:p>
    <w:p>
      <w:pPr>
        <w:pStyle w:val="null3"/>
      </w:pPr>
      <w:r>
        <w:rPr/>
        <w:t>根据招标文件要求、投标文件及合同约定执行。</w:t>
      </w:r>
    </w:p>
    <w:p>
      <w:pPr>
        <w:pStyle w:val="null3"/>
        <w:jc w:val="left"/>
        <w:outlineLvl w:val="2"/>
      </w:pPr>
      <w:r>
        <w:rPr>
          <w:sz w:val="28"/>
          <w:b/>
        </w:rPr>
        <w:t>3.5其他要求</w:t>
      </w:r>
    </w:p>
    <w:p>
      <w:pPr>
        <w:pStyle w:val="null3"/>
      </w:pPr>
      <w:r>
        <w:rPr/>
        <w:t>3.5.1性能要求： 1.高效性：系统的响应时间要迅速，必须保证系统使用的高效性。 2.可用性：系统所提供的各项功能必须可实现所要求的对应业务功能需要。 3.简便可操作：系统操作方便，符合使用习惯，按钮符号易辨认。 4.开放性设计：能够根据实际需求进行应用系统的功能重组、功能模块可修改与升级。 5.可靠性：系统必须正常稳定运行，保证所处理事务的完整性。具有较强的灾难恢复能力，平均故障修复时间少于48小时。 6.安全性：保证数据和系统的安全性，要有用户身份认证机制和加密机制。 7.可维护性：对系统所涉及的各项应用及管理必须是可管理和维护的。 8.质量标准：实用、安全、可靠、性价比好、开放、适当考虑技术先进，保证系统有较长的生命周期。 3.5.2实施计划及要求： 1.计划要求：合同签订之后180日历日内完成所列内容，并且完成系统部署、用户培训、系统运行。 2.技术要求：本项目的技术文档包括：需求说明书、软件详细设计说明书、系统测试报告、系统用户手册。 3.5.3售后服务要求： 1.供应商应为本项目配备技术服务团队，并提供3年硬件及5年免费维保服务和10年技术支持，包括各种突发事件采取应急措施等。 2.服务内容包括：系统维护、应急维护、完善修改、软件迁移、系统更新等内容，硬件售后质量保障等。 3.服务响应时间：提供24小时技术电话支持（7×24），若电话中无法解决，供应商在24小时内派工程师到现场实施维护，及时排除软件故障，由此产生的费用均由供应商承担。 4.即时响应（包括电话响应）；电话响应无法解决 24 小时内到达现场。修复时间 48 小时内解决；如在 48 小时内无法修复，则提供部件冗余服务或采取应急措施，提供相同产品或不低于故障产品规格档次的备用产品供采购人使用，以确保货物的正常使用。 3.5.4演示清单（详见附件或“■”项）</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投标主体</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社会保障资金缴纳证明</w:t>
            </w:r>
          </w:p>
        </w:tc>
        <w:tc>
          <w:tcPr>
            <w:tcW w:type="dxa" w:w="3322"/>
          </w:tcPr>
          <w:p>
            <w:pPr>
              <w:pStyle w:val="null3"/>
            </w:pPr>
            <w:r>
              <w:rPr/>
              <w:t>投标人须提供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投标人须提供2024年1月至今已缴纳的至少一个月纳税证明或完税证明，依法免税的单位应提供相关证明材料。（以税款所属期限为准）</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财务状况证明</w:t>
            </w:r>
          </w:p>
        </w:tc>
        <w:tc>
          <w:tcPr>
            <w:tcW w:type="dxa" w:w="3322"/>
          </w:tcPr>
          <w:p>
            <w:pPr>
              <w:pStyle w:val="null3"/>
            </w:pPr>
            <w:r>
              <w:rPr/>
              <w:t>提供经会计师事务所审计的2023年财务审计报告，或在开标日期前六个月内其基本开户银行出具的资信证明。</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投标人应出具参加本次政府采购活动前3年内在经营活动中没有重大违法违纪，以及未被列入失信被执行人、重大税收违法案件当事人名单、政府采购严重违法失信行为记录名单的书面声明。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法定代表人或授权代表</w:t>
            </w:r>
          </w:p>
        </w:tc>
        <w:tc>
          <w:tcPr>
            <w:tcW w:type="dxa" w:w="3322"/>
          </w:tcPr>
          <w:p>
            <w:pPr>
              <w:pStyle w:val="null3"/>
            </w:pPr>
            <w:r>
              <w:rPr/>
              <w:t>非法定代表人参加投标，须提供法定代表人授权委托书及被授权人身份证原件；法定代表人参加投标时,只须提供法定代表人身份证原件。</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特殊资质证书</w:t>
            </w:r>
          </w:p>
        </w:tc>
        <w:tc>
          <w:tcPr>
            <w:tcW w:type="dxa" w:w="3322"/>
          </w:tcPr>
          <w:p>
            <w:pPr>
              <w:pStyle w:val="null3"/>
            </w:pPr>
            <w:r>
              <w:rPr/>
              <w:t>投标人具有电子与智能化工程专业承包二级及以上资质。</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是否联合体投标</w:t>
            </w:r>
          </w:p>
        </w:tc>
        <w:tc>
          <w:tcPr>
            <w:tcW w:type="dxa" w:w="3322"/>
          </w:tcPr>
          <w:p>
            <w:pPr>
              <w:pStyle w:val="null3"/>
            </w:pPr>
            <w:r>
              <w:rPr/>
              <w:t>本项目不接受联合体参与。</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落实的政府采购政策</w:t>
            </w:r>
          </w:p>
        </w:tc>
        <w:tc>
          <w:tcPr>
            <w:tcW w:type="dxa" w:w="3322"/>
          </w:tcPr>
          <w:p>
            <w:pPr>
              <w:pStyle w:val="null3"/>
            </w:pPr>
            <w:r>
              <w:rPr/>
              <w:t>1、《政府采购促进中小企业发展管理办法》（财库〔2020〕46号）； 2、《财政部关于进一步加大政府采购支持中小企业力度的通知》（财库〔2022〕19号） 3、《财政部司法部关于政府采购支持监狱企业发展有关问题的通知》（财库〔2014〕68号）； 4、《国务院办公厅关于建立政府强制采购节能产品制度的通知》（国办发〔2007〕51号）； 5、《财政部发展改革委生态环境部市场监督总局关于调整优化节能产品、环境标志产品政府采购执行机制的通知》（财库[2019]9号） 6、《市场监督总局关于发布参与实施政府采购节能产品、环境标志产品认证机构名录的公告》（2019年第16号） 7、《三部门联合发布关于促进残疾人就业政府采购政策的通知》（财库〔2017〕141号）。 8、《陕西省中小企业政府采购信用融资办法》（陕财办采〔2018〕23号）。 9.其他政府政策遵循最新政策。</w:t>
            </w:r>
          </w:p>
        </w:tc>
        <w:tc>
          <w:tcPr>
            <w:tcW w:type="dxa" w:w="1661"/>
          </w:tcPr>
          <w:p>
            <w:pPr>
              <w:pStyle w:val="null3"/>
            </w:pPr>
            <w:r>
              <w:rPr/>
              <w:t>中小企业声明函 残疾人福利性单位声明函 监狱企业的证明文件 针对软件和信息技术服务业的中小企业声明函</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投标报价是否超过预算或最高限价。</w:t>
            </w:r>
          </w:p>
        </w:tc>
        <w:tc>
          <w:tcPr>
            <w:tcW w:type="dxa" w:w="1661"/>
          </w:tcPr>
          <w:p>
            <w:pPr>
              <w:pStyle w:val="null3"/>
            </w:pPr>
            <w:r>
              <w:rPr/>
              <w:t>开标一览表 投标人开标一览表 标的清单 分项报价清单</w:t>
            </w:r>
          </w:p>
        </w:tc>
      </w:tr>
      <w:tr>
        <w:tc>
          <w:tcPr>
            <w:tcW w:type="dxa" w:w="831"/>
          </w:tcPr>
          <w:p>
            <w:pPr>
              <w:pStyle w:val="null3"/>
            </w:pPr>
            <w:r>
              <w:rPr/>
              <w:t>3</w:t>
            </w:r>
          </w:p>
        </w:tc>
        <w:tc>
          <w:tcPr>
            <w:tcW w:type="dxa" w:w="2492"/>
          </w:tcPr>
          <w:p>
            <w:pPr>
              <w:pStyle w:val="null3"/>
            </w:pPr>
            <w:r>
              <w:rPr/>
              <w:t>交货期</w:t>
            </w:r>
          </w:p>
        </w:tc>
        <w:tc>
          <w:tcPr>
            <w:tcW w:type="dxa" w:w="3322"/>
          </w:tcPr>
          <w:p>
            <w:pPr>
              <w:pStyle w:val="null3"/>
            </w:pPr>
            <w:r>
              <w:rPr/>
              <w:t>是否满足招标文件要求</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w:t>
            </w:r>
          </w:p>
        </w:tc>
        <w:tc>
          <w:tcPr>
            <w:tcW w:type="dxa" w:w="3322"/>
          </w:tcPr>
          <w:p>
            <w:pPr>
              <w:pStyle w:val="null3"/>
            </w:pPr>
            <w:r>
              <w:rPr/>
              <w:t>是否满足招标文件要求</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签字和盖章</w:t>
            </w:r>
          </w:p>
        </w:tc>
        <w:tc>
          <w:tcPr>
            <w:tcW w:type="dxa" w:w="3322"/>
          </w:tcPr>
          <w:p>
            <w:pPr>
              <w:pStyle w:val="null3"/>
            </w:pPr>
            <w:r>
              <w:rPr/>
              <w:t>签字和盖章均符合招标文件要求，且无遗漏。</w:t>
            </w:r>
          </w:p>
        </w:tc>
        <w:tc>
          <w:tcPr>
            <w:tcW w:type="dxa" w:w="1661"/>
          </w:tcPr>
          <w:p>
            <w:pPr>
              <w:pStyle w:val="null3"/>
            </w:pPr>
            <w:r>
              <w:rPr/>
              <w:t>产品使用寿命承诺函 投标人业绩一览表 投标人开标一览表 陕西省政府采购供应商拒绝政府采购领域商业贿赂承诺书 投标文件封面 分项报价清单</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符合招标文件的要求（自提交文件截止之日起90个日历日）</w:t>
            </w:r>
          </w:p>
        </w:tc>
        <w:tc>
          <w:tcPr>
            <w:tcW w:type="dxa" w:w="1661"/>
          </w:tcPr>
          <w:p>
            <w:pPr>
              <w:pStyle w:val="null3"/>
            </w:pPr>
            <w:r>
              <w:rPr/>
              <w:t>投标函</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是否按照采购文件要求缴纳保证金或担保机构出具的保函。</w:t>
            </w:r>
          </w:p>
        </w:tc>
        <w:tc>
          <w:tcPr>
            <w:tcW w:type="dxa" w:w="1661"/>
          </w:tcPr>
          <w:p>
            <w:pPr>
              <w:pStyle w:val="null3"/>
            </w:pPr>
            <w:r>
              <w:rPr/>
              <w:t>投标保证金</w:t>
            </w:r>
          </w:p>
        </w:tc>
      </w:tr>
      <w:tr>
        <w:tc>
          <w:tcPr>
            <w:tcW w:type="dxa" w:w="831"/>
          </w:tcPr>
          <w:p>
            <w:pPr>
              <w:pStyle w:val="null3"/>
            </w:pPr>
            <w:r>
              <w:rPr/>
              <w:t>8</w:t>
            </w:r>
          </w:p>
        </w:tc>
        <w:tc>
          <w:tcPr>
            <w:tcW w:type="dxa" w:w="2492"/>
          </w:tcPr>
          <w:p>
            <w:pPr>
              <w:pStyle w:val="null3"/>
            </w:pPr>
            <w:r>
              <w:rPr/>
              <w:t>法律法规和实质性要求</w:t>
            </w:r>
          </w:p>
        </w:tc>
        <w:tc>
          <w:tcPr>
            <w:tcW w:type="dxa" w:w="3322"/>
          </w:tcPr>
          <w:p>
            <w:pPr>
              <w:pStyle w:val="null3"/>
            </w:pPr>
            <w:r>
              <w:rPr/>
              <w:t>是否符合法律法规和采购文件规定的其他实质性要求。</w:t>
            </w:r>
          </w:p>
        </w:tc>
        <w:tc>
          <w:tcPr>
            <w:tcW w:type="dxa" w:w="1661"/>
          </w:tcPr>
          <w:p>
            <w:pPr>
              <w:pStyle w:val="null3"/>
            </w:pPr>
            <w:r>
              <w:rPr/>
              <w:t>投标函 陕西省政府采购供应商拒绝政府采购领域商业贿赂承诺书</w:t>
            </w:r>
          </w:p>
        </w:tc>
      </w:tr>
      <w:tr>
        <w:tc>
          <w:tcPr>
            <w:tcW w:type="dxa" w:w="831"/>
          </w:tcPr>
          <w:p>
            <w:pPr>
              <w:pStyle w:val="null3"/>
            </w:pPr>
            <w:r>
              <w:rPr/>
              <w:t>9</w:t>
            </w:r>
          </w:p>
        </w:tc>
        <w:tc>
          <w:tcPr>
            <w:tcW w:type="dxa" w:w="2492"/>
          </w:tcPr>
          <w:p>
            <w:pPr>
              <w:pStyle w:val="null3"/>
            </w:pPr>
            <w:r>
              <w:rPr/>
              <w:t>产品使用寿命承诺函</w:t>
            </w:r>
          </w:p>
        </w:tc>
        <w:tc>
          <w:tcPr>
            <w:tcW w:type="dxa" w:w="3322"/>
          </w:tcPr>
          <w:p>
            <w:pPr>
              <w:pStyle w:val="null3"/>
            </w:pPr>
            <w:r>
              <w:rPr/>
              <w:t>供应商针对提供的产品作出使用寿命的承诺</w:t>
            </w:r>
          </w:p>
        </w:tc>
        <w:tc>
          <w:tcPr>
            <w:tcW w:type="dxa" w:w="1661"/>
          </w:tcPr>
          <w:p>
            <w:pPr>
              <w:pStyle w:val="null3"/>
            </w:pPr>
            <w:r>
              <w:rPr/>
              <w:t>产品使用寿命承诺函</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1、响应产品技术参数清楚、完整、明确，能够完全满足招标要求得 15 分;非“▲”项参数负偏离一项扣 0.5分，加“▲”项参数负偏离一项扣 1分，直到扣完为止。投标人应尽可能多的提供相关技术参数佐证材料予以证明其技术参数的响应性(产品证明材料包括但不限于有效期内所投产品的检测报告、产品官网截图、详细参数彩页、产品的认证证书、数据文件或使用说明书等技术资料)。 2、投标产品技术参数应根据投标产品实际情况逐项填写，响应内容不能完全复制招标文件技术参数要求，如投标文件完全复制招标文件技术参数要求的，评标委员会将对其本项扣7.5分。 注：演示项技术参数不参与技术参数项的打分。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技术参数</w:t>
            </w:r>
          </w:p>
          <w:p>
            <w:pPr>
              <w:pStyle w:val="null3"/>
            </w:pPr>
            <w:r>
              <w:rPr/>
              <w:t>产品技术参数表</w:t>
            </w:r>
          </w:p>
        </w:tc>
      </w:tr>
      <w:tr>
        <w:tc>
          <w:tcPr>
            <w:tcW w:type="dxa" w:w="831"/>
            <w:vMerge/>
          </w:tcPr>
          <w:p/>
        </w:tc>
        <w:tc>
          <w:tcPr>
            <w:tcW w:type="dxa" w:w="1661"/>
          </w:tcPr>
          <w:p>
            <w:pPr>
              <w:pStyle w:val="null3"/>
            </w:pPr>
            <w:r>
              <w:rPr/>
              <w:t>演示</w:t>
            </w:r>
          </w:p>
        </w:tc>
        <w:tc>
          <w:tcPr>
            <w:tcW w:type="dxa" w:w="2492"/>
          </w:tcPr>
          <w:p>
            <w:pPr>
              <w:pStyle w:val="null3"/>
            </w:pPr>
            <w:r>
              <w:rPr/>
              <w:t>软件产品能提供功能满足采购人要求的演示视频等证明资料。（具体演示内容详见第三章 3.3技术要求 演示清单或附件演示清单） 总时长不应超过30分钟。 视频演示应满足以下要求：功能齐全、数据结合交通平台需求、可以进行动态操作演示、有成熟的功能模块、操作简单、交互性与用户体验良好、适用性与兼容性强、有实际的应用场景、演示内容清晰和专业。 演示视频共10项，满分20分，每缺少一项或与需求不符或不满足要求或直接套用其他项目内容的扣2分，某一项不完整扣1分，扣完为止，未提供不得分。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演示</w:t>
            </w:r>
          </w:p>
        </w:tc>
      </w:tr>
      <w:tr>
        <w:tc>
          <w:tcPr>
            <w:tcW w:type="dxa" w:w="831"/>
            <w:vMerge/>
          </w:tcPr>
          <w:p/>
        </w:tc>
        <w:tc>
          <w:tcPr>
            <w:tcW w:type="dxa" w:w="1661"/>
          </w:tcPr>
          <w:p>
            <w:pPr>
              <w:pStyle w:val="null3"/>
            </w:pPr>
            <w:r>
              <w:rPr/>
              <w:t>质量保证</w:t>
            </w:r>
          </w:p>
        </w:tc>
        <w:tc>
          <w:tcPr>
            <w:tcW w:type="dxa" w:w="2492"/>
          </w:tcPr>
          <w:p>
            <w:pPr>
              <w:pStyle w:val="null3"/>
            </w:pPr>
            <w:r>
              <w:rPr/>
              <w:t>1、所投货物（产品）货源渠道正常，并能够提供货物（产品）质量的相关证明资料。确保供应的货物（产品）为全新正品，无假货、水货、翻新货且无产权纠纷，提供所投货物（产品）的合法来源渠道证明文件（包括但不限于销售协议、代理协议、原厂授权等）相关证明材料（复印件加盖公章），资料齐全得2分；资料有缺失得1分；未提供的不得分。 2、根据项目实际需求，提供质量保证方案。内容包含：①产品性能、设备选型②质量保证措施等。方案齐全、措施完备得3分，每缺少一项或与实际需求不符或不满足要求或与本项目需求不切合或直接套用其他项目内容的扣1.5分，某一项不完整扣1分，扣完为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实施方案</w:t>
            </w:r>
          </w:p>
        </w:tc>
        <w:tc>
          <w:tcPr>
            <w:tcW w:type="dxa" w:w="2492"/>
          </w:tcPr>
          <w:p>
            <w:pPr>
              <w:pStyle w:val="null3"/>
            </w:pPr>
            <w:r>
              <w:rPr/>
              <w:t>1、投标人根据项目需求提供完整实施方案，能够对本项目实施过程中可能出现重点、难点问题并给出相应的解决方案：①方案简单易用、细节完善；②项目进度计划安排具体；③进度协调配套措施有效。④识别项目可能遇到的技术难点和风险，提供相应的解决方案。⑤系统安装完成后的测试方案。方案齐全、措施完备、计划合理得5分;每缺少一项或与实际需求不符或不满足要求或与本项目需求不切合或直接套用其他项目内容的扣1分，某一项不完整的扣0.5分，扣完为止；未提供不得分。 2、投标人针对本项目有详细的人员组织安排。①责任分工明确；②供货安装、验收等有明确的人员保障措施；③保证项目按期交付达到验收标准。方案齐全、措施完备得3分；每缺少一项或与实际需求不符或不满足要求或与本项目需求不切合或直接套用其他项目内容的扣1分，某一项不完整扣0.5分，扣完为止；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售后服务及服务承诺</w:t>
            </w:r>
          </w:p>
        </w:tc>
        <w:tc>
          <w:tcPr>
            <w:tcW w:type="dxa" w:w="2492"/>
          </w:tcPr>
          <w:p>
            <w:pPr>
              <w:pStyle w:val="null3"/>
            </w:pPr>
            <w:r>
              <w:rPr/>
              <w:t>投标人针对本次项目提交详尽的售后服务方案，内容包括但不限于：①在接到故障报修的情况下，能够及时到达现场排除故障；②产品交付用户后出现故障响应时间等，有明确的软硬件维护年限承诺；③有明确的的服务网点、服务标准及方案。方案合理、明确、清晰，具有较强的可操作性，得3分；每缺少一项或与实际需求不符或不满足要求或与本项目需求不切合或直接套用其他项目内容的扣1分，某一项不完整扣0.5分，扣完为止；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售后服务及服务承诺</w:t>
            </w:r>
          </w:p>
        </w:tc>
      </w:tr>
      <w:tr>
        <w:tc>
          <w:tcPr>
            <w:tcW w:type="dxa" w:w="831"/>
            <w:vMerge/>
          </w:tcPr>
          <w:p/>
        </w:tc>
        <w:tc>
          <w:tcPr>
            <w:tcW w:type="dxa" w:w="1661"/>
          </w:tcPr>
          <w:p>
            <w:pPr>
              <w:pStyle w:val="null3"/>
            </w:pPr>
            <w:r>
              <w:rPr/>
              <w:t>技术培训</w:t>
            </w:r>
          </w:p>
        </w:tc>
        <w:tc>
          <w:tcPr>
            <w:tcW w:type="dxa" w:w="2492"/>
          </w:tcPr>
          <w:p>
            <w:pPr>
              <w:pStyle w:val="null3"/>
            </w:pPr>
            <w:r>
              <w:rPr/>
              <w:t>提供切实可行的培训计划，能够根据采购人要求指定培训方案，使采购人技术人员通过培训能够熟练掌握技术操作，并有完整的培训方案，列出详细的：①培训内容（应包括所提供产品的原理和技术性能、操作维护方法、安装调试、排除故障等各个方面）②培训方式等说明(包括培训人数、培训时间、培训内容、效果评价等)。完全满足得2分，每缺少一项或与实际需求不符或不满足要求或与本项目需求不切合或直接套用其他项目内容的扣1分，某一项不完整扣0.5分，扣完为止；未提供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技术培训</w:t>
            </w:r>
          </w:p>
        </w:tc>
      </w:tr>
      <w:tr>
        <w:tc>
          <w:tcPr>
            <w:tcW w:type="dxa" w:w="831"/>
            <w:vMerge/>
          </w:tcPr>
          <w:p/>
        </w:tc>
        <w:tc>
          <w:tcPr>
            <w:tcW w:type="dxa" w:w="1661"/>
          </w:tcPr>
          <w:p>
            <w:pPr>
              <w:pStyle w:val="null3"/>
            </w:pPr>
            <w:r>
              <w:rPr/>
              <w:t>业绩</w:t>
            </w:r>
          </w:p>
        </w:tc>
        <w:tc>
          <w:tcPr>
            <w:tcW w:type="dxa" w:w="2492"/>
          </w:tcPr>
          <w:p>
            <w:pPr>
              <w:pStyle w:val="null3"/>
            </w:pPr>
            <w:r>
              <w:rPr/>
              <w:t>提供近三年投标人实施的类似项目业绩，每提供 1 个得 1 分，最高得 2分，不提供不得分。 评审标准：以上所有业绩须提供项目合同复印件加盖公章，如合同关键页（即合同首页、合同标的物、合同金额页及双方签字盖章页）以合同签订时间为准。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投标人业绩一览表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价格分=(评标基准价/投标报价)×45注：1、计算分数时四舍五入取小数点后两位。</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详见附件：针对软件和信息技术服务业的中小企业声明函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详见附件：投标人开标一览表</w:t>
      </w:r>
    </w:p>
    <w:p>
      <w:pPr>
        <w:pStyle w:val="null3"/>
        <w:ind w:firstLine="960"/>
      </w:pPr>
      <w:r>
        <w:rPr/>
        <w:t>详见附件：分项报价清单</w:t>
      </w:r>
    </w:p>
    <w:p>
      <w:pPr>
        <w:pStyle w:val="null3"/>
        <w:ind w:firstLine="960"/>
      </w:pPr>
      <w:r>
        <w:rPr/>
        <w:t>详见附件：标的清单</w:t>
      </w:r>
    </w:p>
    <w:p>
      <w:pPr>
        <w:pStyle w:val="null3"/>
        <w:ind w:firstLine="960"/>
      </w:pPr>
      <w:r>
        <w:rPr/>
        <w:t>详见附件：投标人资格证明文件</w:t>
      </w:r>
    </w:p>
    <w:p>
      <w:pPr>
        <w:pStyle w:val="null3"/>
        <w:ind w:firstLine="960"/>
      </w:pPr>
      <w:r>
        <w:rPr/>
        <w:t>详见附件：投标保证金</w:t>
      </w:r>
    </w:p>
    <w:p>
      <w:pPr>
        <w:pStyle w:val="null3"/>
        <w:ind w:firstLine="960"/>
      </w:pPr>
      <w:r>
        <w:rPr/>
        <w:t>详见附件：技术参数</w:t>
      </w:r>
    </w:p>
    <w:p>
      <w:pPr>
        <w:pStyle w:val="null3"/>
        <w:ind w:firstLine="960"/>
      </w:pPr>
      <w:r>
        <w:rPr/>
        <w:t>详见附件：演示</w:t>
      </w:r>
    </w:p>
    <w:p>
      <w:pPr>
        <w:pStyle w:val="null3"/>
        <w:ind w:firstLine="960"/>
      </w:pPr>
      <w:r>
        <w:rPr/>
        <w:t>详见附件：质量保证</w:t>
      </w:r>
    </w:p>
    <w:p>
      <w:pPr>
        <w:pStyle w:val="null3"/>
        <w:ind w:firstLine="960"/>
      </w:pPr>
      <w:r>
        <w:rPr/>
        <w:t>详见附件：实施方案</w:t>
      </w:r>
    </w:p>
    <w:p>
      <w:pPr>
        <w:pStyle w:val="null3"/>
        <w:ind w:firstLine="960"/>
      </w:pPr>
      <w:r>
        <w:rPr/>
        <w:t>详见附件：售后服务及服务承诺</w:t>
      </w:r>
    </w:p>
    <w:p>
      <w:pPr>
        <w:pStyle w:val="null3"/>
        <w:ind w:firstLine="960"/>
      </w:pPr>
      <w:r>
        <w:rPr/>
        <w:t>详见附件：技术培训</w:t>
      </w:r>
    </w:p>
    <w:p>
      <w:pPr>
        <w:pStyle w:val="null3"/>
        <w:ind w:firstLine="960"/>
      </w:pPr>
      <w:r>
        <w:rPr/>
        <w:t>详见附件：投标人业绩一览表</w:t>
      </w:r>
    </w:p>
    <w:p>
      <w:pPr>
        <w:pStyle w:val="null3"/>
        <w:ind w:firstLine="960"/>
      </w:pPr>
      <w:r>
        <w:rPr/>
        <w:t>详见附件：陕西省政府采购供应商拒绝政府采购领域商业贿赂承诺书</w:t>
      </w:r>
    </w:p>
    <w:p>
      <w:pPr>
        <w:pStyle w:val="null3"/>
        <w:ind w:firstLine="960"/>
      </w:pPr>
      <w:r>
        <w:rPr/>
        <w:t>详见附件：产品使用寿命承诺函</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详见附件：参考合同.docx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