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电镜电化学原位样品台和原子尺度力热电集成系统采购项目</w:t>
      </w:r>
    </w:p>
    <w:p>
      <w:pPr>
        <w:pStyle w:val="null3"/>
        <w:jc w:val="center"/>
        <w:outlineLvl w:val="2"/>
      </w:pPr>
      <w:r>
        <w:rPr>
          <w:sz w:val="28"/>
          <w:b/>
        </w:rPr>
        <w:t>采购项目编号：</w:t>
      </w:r>
      <w:r>
        <w:rPr>
          <w:sz w:val="28"/>
          <w:b/>
        </w:rPr>
        <w:t>DQA-2024082-ZB</w:t>
      </w:r>
      <w:r>
        <w:br/>
      </w:r>
      <w:r>
        <w:br/>
      </w:r>
      <w:r>
        <w:br/>
      </w:r>
    </w:p>
    <w:p>
      <w:pPr>
        <w:pStyle w:val="null3"/>
        <w:jc w:val="center"/>
        <w:outlineLvl w:val="2"/>
      </w:pPr>
      <w:r>
        <w:rPr>
          <w:sz w:val="28"/>
          <w:b/>
        </w:rPr>
        <w:t>西安工业大学</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2024年11月22日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陕西德勤招标有限公司</w:t>
      </w:r>
      <w:r>
        <w:rPr/>
        <w:t>（以下简称“代理机构”）受</w:t>
      </w:r>
      <w:r>
        <w:rPr/>
        <w:t>西安工业大学</w:t>
      </w:r>
      <w:r>
        <w:rPr/>
        <w:t>委托，拟对</w:t>
      </w:r>
      <w:r>
        <w:rPr/>
        <w:t>电镜电化学原位样品台和原子尺度力热电集成系统采购项目</w:t>
      </w:r>
      <w:r>
        <w:rPr/>
        <w:t>进行国内公开招标，兹邀请符合本次招标要求的供应商参加投标。</w:t>
      </w:r>
    </w:p>
    <w:p>
      <w:pPr>
        <w:pStyle w:val="null3"/>
        <w:outlineLvl w:val="2"/>
      </w:pPr>
      <w:r>
        <w:rPr>
          <w:sz w:val="28"/>
          <w:b/>
        </w:rPr>
        <w:t>一、采购项目编号：</w:t>
      </w:r>
      <w:r>
        <w:rPr>
          <w:sz w:val="28"/>
          <w:b/>
        </w:rPr>
        <w:t>DQA-2024082-ZB</w:t>
      </w:r>
    </w:p>
    <w:p>
      <w:pPr>
        <w:pStyle w:val="null3"/>
        <w:outlineLvl w:val="2"/>
      </w:pPr>
      <w:r>
        <w:rPr>
          <w:sz w:val="28"/>
          <w:b/>
        </w:rPr>
        <w:t>二、采购项目名称：</w:t>
      </w:r>
      <w:r>
        <w:rPr>
          <w:sz w:val="28"/>
          <w:b/>
        </w:rPr>
        <w:t>电镜电化学原位样品台和原子尺度力热电集成系统采购项目</w:t>
      </w:r>
    </w:p>
    <w:p>
      <w:pPr>
        <w:pStyle w:val="null3"/>
        <w:outlineLvl w:val="2"/>
      </w:pPr>
      <w:r>
        <w:rPr>
          <w:sz w:val="28"/>
          <w:b/>
        </w:rPr>
        <w:t>三、招标项目简介</w:t>
      </w:r>
    </w:p>
    <w:p>
      <w:pPr>
        <w:pStyle w:val="null3"/>
        <w:ind w:firstLine="480"/>
      </w:pPr>
      <w:r>
        <w:rPr/>
        <w:t>项目拟采购电镜电化学原位样品台和原子尺度力热电集成系统</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 xml:space="preserve"> 梁老师、余老师</w:t>
      </w:r>
    </w:p>
    <w:p>
      <w:pPr>
        <w:pStyle w:val="null3"/>
      </w:pPr>
      <w:r>
        <w:rPr/>
        <w:t xml:space="preserve"> 联系电话： </w:t>
      </w:r>
      <w:r>
        <w:rPr/>
        <w:t>029-86173142</w:t>
      </w:r>
    </w:p>
    <w:p>
      <w:pPr>
        <w:pStyle w:val="null3"/>
        <w:outlineLvl w:val="2"/>
      </w:pPr>
      <w:r>
        <w:rPr>
          <w:sz w:val="28"/>
          <w:b/>
        </w:rPr>
        <w:t>代理机构：</w:t>
      </w:r>
      <w:r>
        <w:rPr>
          <w:sz w:val="28"/>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采购包1：2,400,000.00元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采购包1保证金金额：45,000.00元</w:t>
            </w:r>
          </w:p>
          <w:p>
            <w:pPr>
              <w:pStyle w:val="null3"/>
            </w:pPr>
            <w:r>
              <w:rPr/>
              <w:t>缴交渠道：转账、支票、汇票等（需通过实体账户、户名及开户行信息）,电子保函</w:t>
            </w:r>
          </w:p>
          <w:p>
            <w:pPr>
              <w:pStyle w:val="null3"/>
            </w:pPr>
            <w:r>
              <w:rPr/>
              <w:t>开户名称：光大银行西安丈八东路支行</w:t>
            </w:r>
          </w:p>
          <w:p>
            <w:pPr>
              <w:pStyle w:val="null3"/>
            </w:pPr>
            <w:r>
              <w:rPr/>
              <w:t>开户银行：陕西德勤招标有限公司</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说明：1.中标人在签订合同前5个工作日内，向采购人缴纳合同总价5%的履约保证金； 2.中标人如期履约完成且不存在其他任何违约责任，采购人无息由原缴费账户退还履约保证金全款。 3.若中标人未能按照合同约定履行，则采购人有权全额扣除履约保证金，并保留追究中标人违约相关的法律责任。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代理服务费收费标准：中标供应商在领取中标通知书前，须向采购代理机构一次性支付采购代理服务费，采购代理服务费按照中标金额的0.6%计取。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陕西德勤招标有限公司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详见采购合同条款</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联系人：贾旭鸣</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sz w:val="21"/>
        </w:rPr>
        <w:t>项目拟采购电镜电化学原位样品台和原子尺度力热电集成系统。该系统能够在透射电镜中实现对实验材料施加精确可控的各种外部加载，包括力学、热学、电学，对材料的苛刻使役环境进行真空下的模拟。进一步通过透射电镜，实时、原位地研究在力学、热学、电学加载下的材料显微结构与性能的变化。通过对样品施加可控的力学、热学、电学外场，同时对样品的晶体学方向进行准确的双轴倾转调节，调整到样品的晶带轴与电子束入射方向平行，从而可以得到高质量的原子成像以及电子衍射花样等，进而实现各外场下的材料显微结构演化的原子层次原位研究，以揭示原位条件下的材料的强韧化、断裂时效、蠕变、疲劳、器件失效等问题中的缺陷运动、元素扩散、相变等微观机理。</w:t>
      </w:r>
    </w:p>
    <w:p>
      <w:pPr>
        <w:pStyle w:val="null3"/>
        <w:outlineLvl w:val="2"/>
      </w:pPr>
      <w:r>
        <w:rPr>
          <w:sz w:val="28"/>
          <w:b/>
        </w:rPr>
        <w:t>3.2采购内容</w:t>
      </w:r>
    </w:p>
    <w:p>
      <w:pPr>
        <w:pStyle w:val="null3"/>
      </w:pPr>
      <w:r>
        <w:rPr/>
        <w:t>采购包1：</w:t>
      </w:r>
    </w:p>
    <w:p>
      <w:pPr>
        <w:pStyle w:val="null3"/>
      </w:pPr>
      <w:r>
        <w:rPr/>
        <w:t>采购包预算金额（元）: 2,400,000.00</w:t>
      </w:r>
    </w:p>
    <w:p>
      <w:pPr>
        <w:pStyle w:val="null3"/>
      </w:pPr>
      <w:r>
        <w:rPr/>
        <w:t>采购包最高限价（元）: 2,400,000.00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电镜电化学原位样品台和原子尺度力热电集成系统</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标的名称：电镜电化学原位样品台和原子尺度力热电集成系统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15"/>
              <w:gridCol w:w="522"/>
              <w:gridCol w:w="1247"/>
              <w:gridCol w:w="294"/>
              <w:gridCol w:w="274"/>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序号</w:t>
                  </w:r>
                </w:p>
              </w:tc>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设备名称</w:t>
                  </w:r>
                </w:p>
              </w:tc>
              <w:tc>
                <w:tcPr>
                  <w:tcW w:type="dxa" w:w="1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技术指标要求</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数量</w:t>
                  </w:r>
                </w:p>
              </w:tc>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单位</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电镜电化学原位样品台和原子尺度力热电集成系统</w:t>
                  </w:r>
                </w:p>
              </w:tc>
              <w:tc>
                <w:tcPr>
                  <w:tcW w:type="dxa" w:w="1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r>
                    <w:rPr>
                      <w:rFonts w:ascii="宋体" w:hAnsi="宋体" w:cs="宋体" w:eastAsia="宋体"/>
                      <w:sz w:val="19"/>
                    </w:rPr>
                    <w:t>温度加载方式：微机电系统芯片加热</w:t>
                  </w:r>
                </w:p>
                <w:p>
                  <w:pPr>
                    <w:pStyle w:val="null3"/>
                  </w:pPr>
                  <w:r>
                    <w:rPr>
                      <w:rFonts w:ascii="宋体" w:hAnsi="宋体" w:cs="宋体" w:eastAsia="宋体"/>
                      <w:sz w:val="19"/>
                    </w:rPr>
                    <w:t>▲</w:t>
                  </w:r>
                  <w:r>
                    <w:rPr>
                      <w:rFonts w:ascii="calibri" w:hAnsi="calibri" w:cs="calibri" w:eastAsia="calibri"/>
                      <w:sz w:val="19"/>
                    </w:rPr>
                    <w:t>2</w:t>
                  </w:r>
                  <w:r>
                    <w:rPr>
                      <w:rFonts w:ascii="宋体" w:hAnsi="宋体" w:cs="宋体" w:eastAsia="宋体"/>
                      <w:sz w:val="19"/>
                    </w:rPr>
                    <w:t>最高温度加载：≥</w:t>
                  </w:r>
                  <w:r>
                    <w:rPr>
                      <w:rFonts w:ascii="calibri" w:hAnsi="calibri" w:cs="calibri" w:eastAsia="calibri"/>
                      <w:sz w:val="19"/>
                    </w:rPr>
                    <w:t>1200</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3</w:t>
                  </w:r>
                  <w:r>
                    <w:rPr>
                      <w:rFonts w:ascii="宋体" w:hAnsi="宋体" w:cs="宋体" w:eastAsia="宋体"/>
                      <w:sz w:val="19"/>
                    </w:rPr>
                    <w:t>温度加载及测量方式：</w:t>
                  </w:r>
                  <w:r>
                    <w:rPr>
                      <w:rFonts w:ascii="calibri" w:hAnsi="calibri" w:cs="calibri" w:eastAsia="calibri"/>
                      <w:sz w:val="19"/>
                    </w:rPr>
                    <w:t>4</w:t>
                  </w:r>
                  <w:r>
                    <w:rPr>
                      <w:rFonts w:ascii="宋体" w:hAnsi="宋体" w:cs="宋体" w:eastAsia="宋体"/>
                      <w:sz w:val="19"/>
                    </w:rPr>
                    <w:t>电极法（</w:t>
                  </w:r>
                  <w:r>
                    <w:rPr>
                      <w:rFonts w:ascii="calibri" w:hAnsi="calibri" w:cs="calibri" w:eastAsia="calibri"/>
                      <w:sz w:val="19"/>
                    </w:rPr>
                    <w:t>2</w:t>
                  </w:r>
                  <w:r>
                    <w:rPr>
                      <w:rFonts w:ascii="宋体" w:hAnsi="宋体" w:cs="宋体" w:eastAsia="宋体"/>
                      <w:sz w:val="19"/>
                    </w:rPr>
                    <w:t>电极输入，</w:t>
                  </w:r>
                  <w:r>
                    <w:rPr>
                      <w:rFonts w:ascii="calibri" w:hAnsi="calibri" w:cs="calibri" w:eastAsia="calibri"/>
                      <w:sz w:val="19"/>
                    </w:rPr>
                    <w:t>2</w:t>
                  </w:r>
                  <w:r>
                    <w:rPr>
                      <w:rFonts w:ascii="宋体" w:hAnsi="宋体" w:cs="宋体" w:eastAsia="宋体"/>
                      <w:sz w:val="19"/>
                    </w:rPr>
                    <w:t>电极实时测量反馈）</w:t>
                  </w:r>
                </w:p>
                <w:p>
                  <w:pPr>
                    <w:pStyle w:val="null3"/>
                  </w:pPr>
                  <w:r>
                    <w:rPr>
                      <w:rFonts w:ascii="宋体" w:hAnsi="宋体" w:cs="宋体" w:eastAsia="宋体"/>
                      <w:sz w:val="19"/>
                    </w:rPr>
                    <w:t>▲</w:t>
                  </w:r>
                  <w:r>
                    <w:rPr>
                      <w:rFonts w:ascii="calibri" w:hAnsi="calibri" w:cs="calibri" w:eastAsia="calibri"/>
                      <w:sz w:val="19"/>
                    </w:rPr>
                    <w:t>4</w:t>
                  </w:r>
                  <w:r>
                    <w:rPr>
                      <w:rFonts w:ascii="宋体" w:hAnsi="宋体" w:cs="宋体" w:eastAsia="宋体"/>
                      <w:sz w:val="19"/>
                    </w:rPr>
                    <w:t>温控模式：自动、手动</w:t>
                  </w:r>
                </w:p>
                <w:p>
                  <w:pPr>
                    <w:pStyle w:val="null3"/>
                  </w:pPr>
                  <w:r>
                    <w:rPr>
                      <w:rFonts w:ascii="calibri" w:hAnsi="calibri" w:cs="calibri" w:eastAsia="calibri"/>
                      <w:sz w:val="19"/>
                    </w:rPr>
                    <w:t>5</w:t>
                  </w:r>
                  <w:r>
                    <w:rPr>
                      <w:rFonts w:ascii="宋体" w:hAnsi="宋体" w:cs="宋体" w:eastAsia="宋体"/>
                      <w:sz w:val="19"/>
                    </w:rPr>
                    <w:t>温控稳定性：＜±</w:t>
                  </w:r>
                  <w:r>
                    <w:rPr>
                      <w:rFonts w:ascii="calibri" w:hAnsi="calibri" w:cs="calibri" w:eastAsia="calibri"/>
                      <w:sz w:val="19"/>
                    </w:rPr>
                    <w:t>1</w:t>
                  </w:r>
                  <w:r>
                    <w:rPr>
                      <w:rFonts w:ascii="宋体" w:hAnsi="宋体" w:cs="宋体" w:eastAsia="宋体"/>
                      <w:sz w:val="19"/>
                    </w:rPr>
                    <w:t>℃</w:t>
                  </w:r>
                </w:p>
                <w:p>
                  <w:pPr>
                    <w:pStyle w:val="null3"/>
                  </w:pPr>
                  <w:r>
                    <w:rPr>
                      <w:rFonts w:ascii="calibri" w:hAnsi="calibri" w:cs="calibri" w:eastAsia="calibri"/>
                      <w:sz w:val="19"/>
                    </w:rPr>
                    <w:t>6</w:t>
                  </w:r>
                  <w:r>
                    <w:rPr>
                      <w:rFonts w:ascii="宋体" w:hAnsi="宋体" w:cs="宋体" w:eastAsia="宋体"/>
                      <w:sz w:val="19"/>
                    </w:rPr>
                    <w:t>力驱动方式：集成微机电系统力驱动载台</w:t>
                  </w:r>
                </w:p>
                <w:p>
                  <w:pPr>
                    <w:pStyle w:val="null3"/>
                  </w:pPr>
                  <w:r>
                    <w:rPr>
                      <w:rFonts w:ascii="宋体" w:hAnsi="宋体" w:cs="宋体" w:eastAsia="宋体"/>
                      <w:sz w:val="19"/>
                    </w:rPr>
                    <w:t>▲</w:t>
                  </w:r>
                  <w:r>
                    <w:rPr>
                      <w:rFonts w:ascii="calibri" w:hAnsi="calibri" w:cs="calibri" w:eastAsia="calibri"/>
                      <w:sz w:val="19"/>
                    </w:rPr>
                    <w:t>7</w:t>
                  </w:r>
                  <w:r>
                    <w:rPr>
                      <w:rFonts w:ascii="宋体" w:hAnsi="宋体" w:cs="宋体" w:eastAsia="宋体"/>
                      <w:sz w:val="19"/>
                    </w:rPr>
                    <w:t>力加载模式：拉伸</w:t>
                  </w:r>
                  <w:r>
                    <w:rPr>
                      <w:rFonts w:ascii="calibri" w:hAnsi="calibri" w:cs="calibri" w:eastAsia="calibri"/>
                      <w:sz w:val="19"/>
                    </w:rPr>
                    <w:t>/</w:t>
                  </w:r>
                  <w:r>
                    <w:rPr>
                      <w:rFonts w:ascii="宋体" w:hAnsi="宋体" w:cs="宋体" w:eastAsia="宋体"/>
                      <w:sz w:val="19"/>
                    </w:rPr>
                    <w:t>压缩</w:t>
                  </w:r>
                </w:p>
                <w:p>
                  <w:pPr>
                    <w:pStyle w:val="null3"/>
                  </w:pPr>
                  <w:r>
                    <w:rPr>
                      <w:rFonts w:ascii="宋体" w:hAnsi="宋体" w:cs="宋体" w:eastAsia="宋体"/>
                      <w:sz w:val="19"/>
                    </w:rPr>
                    <w:t>▲</w:t>
                  </w:r>
                  <w:r>
                    <w:rPr>
                      <w:rFonts w:ascii="calibri" w:hAnsi="calibri" w:cs="calibri" w:eastAsia="calibri"/>
                      <w:sz w:val="19"/>
                    </w:rPr>
                    <w:t>8</w:t>
                  </w:r>
                  <w:r>
                    <w:rPr>
                      <w:rFonts w:ascii="宋体" w:hAnsi="宋体" w:cs="宋体" w:eastAsia="宋体"/>
                      <w:sz w:val="19"/>
                    </w:rPr>
                    <w:t>力加载方向：面内单轴加载</w:t>
                  </w:r>
                </w:p>
                <w:p>
                  <w:pPr>
                    <w:pStyle w:val="null3"/>
                  </w:pPr>
                  <w:r>
                    <w:rPr>
                      <w:rFonts w:ascii="calibri" w:hAnsi="calibri" w:cs="calibri" w:eastAsia="calibri"/>
                      <w:sz w:val="19"/>
                    </w:rPr>
                    <w:t>9</w:t>
                  </w:r>
                  <w:r>
                    <w:rPr>
                      <w:rFonts w:ascii="宋体" w:hAnsi="宋体" w:cs="宋体" w:eastAsia="宋体"/>
                      <w:sz w:val="19"/>
                    </w:rPr>
                    <w:t>力控制模式：自动</w:t>
                  </w:r>
                  <w:r>
                    <w:rPr>
                      <w:rFonts w:ascii="calibri" w:hAnsi="calibri" w:cs="calibri" w:eastAsia="calibri"/>
                      <w:sz w:val="19"/>
                    </w:rPr>
                    <w:t>/</w:t>
                  </w:r>
                  <w:r>
                    <w:rPr>
                      <w:rFonts w:ascii="宋体" w:hAnsi="宋体" w:cs="宋体" w:eastAsia="宋体"/>
                      <w:sz w:val="19"/>
                    </w:rPr>
                    <w:t>手动</w:t>
                  </w:r>
                </w:p>
                <w:p>
                  <w:pPr>
                    <w:pStyle w:val="null3"/>
                  </w:pPr>
                  <w:r>
                    <w:rPr>
                      <w:rFonts w:ascii="calibri" w:hAnsi="calibri" w:cs="calibri" w:eastAsia="calibri"/>
                      <w:sz w:val="19"/>
                    </w:rPr>
                    <w:t>10</w:t>
                  </w:r>
                  <w:r>
                    <w:rPr>
                      <w:rFonts w:ascii="宋体" w:hAnsi="宋体" w:cs="宋体" w:eastAsia="宋体"/>
                      <w:sz w:val="19"/>
                    </w:rPr>
                    <w:t>最大驱动力：＞</w:t>
                  </w:r>
                  <w:r>
                    <w:rPr>
                      <w:rFonts w:ascii="calibri" w:hAnsi="calibri" w:cs="calibri" w:eastAsia="calibri"/>
                      <w:sz w:val="19"/>
                    </w:rPr>
                    <w:t>2 mN</w:t>
                  </w:r>
                </w:p>
                <w:p>
                  <w:pPr>
                    <w:pStyle w:val="null3"/>
                  </w:pPr>
                  <w:r>
                    <w:rPr>
                      <w:rFonts w:ascii="calibri" w:hAnsi="calibri" w:cs="calibri" w:eastAsia="calibri"/>
                      <w:sz w:val="19"/>
                    </w:rPr>
                    <w:t>11</w:t>
                  </w:r>
                  <w:r>
                    <w:rPr>
                      <w:rFonts w:ascii="宋体" w:hAnsi="宋体" w:cs="宋体" w:eastAsia="宋体"/>
                      <w:sz w:val="19"/>
                    </w:rPr>
                    <w:t>最大驱动行程：≥</w:t>
                  </w:r>
                  <w:r>
                    <w:rPr>
                      <w:rFonts w:ascii="calibri" w:hAnsi="calibri" w:cs="calibri" w:eastAsia="calibri"/>
                      <w:sz w:val="19"/>
                    </w:rPr>
                    <w:t>2</w:t>
                  </w:r>
                  <w:r>
                    <w:rPr>
                      <w:rFonts w:ascii="&quot;times new roman&quot;" w:hAnsi="&quot;times new roman&quot;" w:cs="&quot;times new roman&quot;" w:eastAsia="&quot;times new roman&quot;"/>
                      <w:sz w:val="19"/>
                    </w:rPr>
                    <w:t xml:space="preserve"> </w:t>
                  </w:r>
                  <w:r>
                    <w:rPr>
                      <w:rFonts w:ascii="times new roman, times, serif" w:hAnsi="times new roman, times, serif" w:cs="times new roman, times, serif" w:eastAsia="times new roman, times, serif"/>
                      <w:sz w:val="19"/>
                    </w:rPr>
                    <w:t>μm</w:t>
                  </w:r>
                </w:p>
                <w:p>
                  <w:pPr>
                    <w:pStyle w:val="null3"/>
                  </w:pPr>
                  <w:r>
                    <w:rPr>
                      <w:rFonts w:ascii="宋体" w:hAnsi="宋体" w:cs="宋体" w:eastAsia="宋体"/>
                      <w:sz w:val="19"/>
                    </w:rPr>
                    <w:t>▲</w:t>
                  </w:r>
                  <w:r>
                    <w:rPr>
                      <w:rFonts w:ascii="calibri" w:hAnsi="calibri" w:cs="calibri" w:eastAsia="calibri"/>
                      <w:sz w:val="19"/>
                    </w:rPr>
                    <w:t>12</w:t>
                  </w:r>
                  <w:r>
                    <w:rPr>
                      <w:rFonts w:ascii="宋体" w:hAnsi="宋体" w:cs="宋体" w:eastAsia="宋体"/>
                      <w:sz w:val="19"/>
                    </w:rPr>
                    <w:t>驱动精度：＜</w:t>
                  </w:r>
                  <w:r>
                    <w:rPr>
                      <w:rFonts w:ascii="calibri" w:hAnsi="calibri" w:cs="calibri" w:eastAsia="calibri"/>
                      <w:sz w:val="19"/>
                    </w:rPr>
                    <w:t>500 pm</w:t>
                  </w:r>
                </w:p>
                <w:p>
                  <w:pPr>
                    <w:pStyle w:val="null3"/>
                  </w:pPr>
                  <w:r>
                    <w:rPr>
                      <w:rFonts w:ascii="宋体" w:hAnsi="宋体" w:cs="宋体" w:eastAsia="宋体"/>
                      <w:sz w:val="19"/>
                    </w:rPr>
                    <w:t>▲</w:t>
                  </w:r>
                  <w:r>
                    <w:rPr>
                      <w:rFonts w:ascii="calibri" w:hAnsi="calibri" w:cs="calibri" w:eastAsia="calibri"/>
                      <w:sz w:val="19"/>
                    </w:rPr>
                    <w:t>13</w:t>
                  </w:r>
                  <w:r>
                    <w:rPr>
                      <w:rFonts w:ascii="宋体" w:hAnsi="宋体" w:cs="宋体" w:eastAsia="宋体"/>
                      <w:sz w:val="19"/>
                    </w:rPr>
                    <w:t>电学加载及测量方式：</w:t>
                  </w:r>
                  <w:r>
                    <w:rPr>
                      <w:rFonts w:ascii="calibri" w:hAnsi="calibri" w:cs="calibri" w:eastAsia="calibri"/>
                      <w:sz w:val="19"/>
                    </w:rPr>
                    <w:t>4</w:t>
                  </w:r>
                  <w:r>
                    <w:rPr>
                      <w:rFonts w:ascii="宋体" w:hAnsi="宋体" w:cs="宋体" w:eastAsia="宋体"/>
                      <w:sz w:val="19"/>
                    </w:rPr>
                    <w:t>电极（</w:t>
                  </w:r>
                  <w:r>
                    <w:rPr>
                      <w:rFonts w:ascii="calibri" w:hAnsi="calibri" w:cs="calibri" w:eastAsia="calibri"/>
                      <w:sz w:val="19"/>
                    </w:rPr>
                    <w:t>2</w:t>
                  </w:r>
                  <w:r>
                    <w:rPr>
                      <w:rFonts w:ascii="宋体" w:hAnsi="宋体" w:cs="宋体" w:eastAsia="宋体"/>
                      <w:sz w:val="19"/>
                    </w:rPr>
                    <w:t>电极输入，</w:t>
                  </w:r>
                  <w:r>
                    <w:rPr>
                      <w:rFonts w:ascii="calibri" w:hAnsi="calibri" w:cs="calibri" w:eastAsia="calibri"/>
                      <w:sz w:val="19"/>
                    </w:rPr>
                    <w:t>2</w:t>
                  </w:r>
                  <w:r>
                    <w:rPr>
                      <w:rFonts w:ascii="宋体" w:hAnsi="宋体" w:cs="宋体" w:eastAsia="宋体"/>
                      <w:sz w:val="19"/>
                    </w:rPr>
                    <w:t>电极实时测量反馈）</w:t>
                  </w:r>
                </w:p>
                <w:p>
                  <w:pPr>
                    <w:pStyle w:val="null3"/>
                  </w:pPr>
                  <w:r>
                    <w:rPr>
                      <w:rFonts w:ascii="calibri" w:hAnsi="calibri" w:cs="calibri" w:eastAsia="calibri"/>
                      <w:sz w:val="19"/>
                    </w:rPr>
                    <w:t>14</w:t>
                  </w:r>
                  <w:r>
                    <w:rPr>
                      <w:rFonts w:ascii="宋体" w:hAnsi="宋体" w:cs="宋体" w:eastAsia="宋体"/>
                      <w:sz w:val="19"/>
                    </w:rPr>
                    <w:t>电压范围：</w:t>
                  </w:r>
                  <w:r>
                    <w:rPr>
                      <w:rFonts w:ascii="calibri" w:hAnsi="calibri" w:cs="calibri" w:eastAsia="calibri"/>
                      <w:sz w:val="19"/>
                    </w:rPr>
                    <w:t>0-50V</w:t>
                  </w:r>
                </w:p>
                <w:p>
                  <w:pPr>
                    <w:pStyle w:val="null3"/>
                  </w:pPr>
                  <w:r>
                    <w:rPr>
                      <w:rFonts w:ascii="calibri" w:hAnsi="calibri" w:cs="calibri" w:eastAsia="calibri"/>
                      <w:sz w:val="19"/>
                    </w:rPr>
                    <w:t>15</w:t>
                  </w:r>
                  <w:r>
                    <w:rPr>
                      <w:rFonts w:ascii="宋体" w:hAnsi="宋体" w:cs="宋体" w:eastAsia="宋体"/>
                      <w:sz w:val="19"/>
                    </w:rPr>
                    <w:t>电流范围：</w:t>
                  </w:r>
                  <w:r>
                    <w:rPr>
                      <w:rFonts w:ascii="calibri" w:hAnsi="calibri" w:cs="calibri" w:eastAsia="calibri"/>
                      <w:sz w:val="19"/>
                    </w:rPr>
                    <w:t>0-60mA</w:t>
                  </w:r>
                </w:p>
                <w:p>
                  <w:pPr>
                    <w:pStyle w:val="null3"/>
                  </w:pPr>
                  <w:r>
                    <w:rPr>
                      <w:rFonts w:ascii="calibri" w:hAnsi="calibri" w:cs="calibri" w:eastAsia="calibri"/>
                      <w:sz w:val="19"/>
                    </w:rPr>
                    <w:t>16</w:t>
                  </w:r>
                  <w:r>
                    <w:rPr>
                      <w:rFonts w:ascii="宋体" w:hAnsi="宋体" w:cs="宋体" w:eastAsia="宋体"/>
                      <w:sz w:val="19"/>
                    </w:rPr>
                    <w:t>电流精度：</w:t>
                  </w:r>
                  <w:r>
                    <w:rPr>
                      <w:rFonts w:ascii="calibri" w:hAnsi="calibri" w:cs="calibri" w:eastAsia="calibri"/>
                      <w:sz w:val="19"/>
                    </w:rPr>
                    <w:t>pA</w:t>
                  </w:r>
                  <w:r>
                    <w:rPr>
                      <w:rFonts w:ascii="宋体" w:hAnsi="宋体" w:cs="宋体" w:eastAsia="宋体"/>
                      <w:sz w:val="19"/>
                    </w:rPr>
                    <w:t>级</w:t>
                  </w:r>
                </w:p>
                <w:p>
                  <w:pPr>
                    <w:pStyle w:val="null3"/>
                  </w:pPr>
                  <w:r>
                    <w:rPr>
                      <w:rFonts w:ascii="calibri" w:hAnsi="calibri" w:cs="calibri" w:eastAsia="calibri"/>
                      <w:sz w:val="19"/>
                    </w:rPr>
                    <w:t>17</w:t>
                  </w:r>
                  <w:r>
                    <w:rPr>
                      <w:rFonts w:ascii="宋体" w:hAnsi="宋体" w:cs="宋体" w:eastAsia="宋体"/>
                      <w:sz w:val="19"/>
                    </w:rPr>
                    <w:t>最大电场：≥</w:t>
                  </w:r>
                  <w:r>
                    <w:rPr>
                      <w:rFonts w:ascii="calibri" w:hAnsi="calibri" w:cs="calibri" w:eastAsia="calibri"/>
                      <w:sz w:val="19"/>
                    </w:rPr>
                    <w:t>100</w:t>
                  </w:r>
                  <w:r>
                    <w:rPr>
                      <w:rFonts w:ascii="&quot;times new roman&quot;" w:hAnsi="&quot;times new roman&quot;" w:cs="&quot;times new roman&quot;" w:eastAsia="&quot;times new roman&quot;"/>
                      <w:sz w:val="19"/>
                    </w:rPr>
                    <w:t xml:space="preserve"> </w:t>
                  </w:r>
                  <w:r>
                    <w:rPr>
                      <w:rFonts w:ascii="calibri" w:hAnsi="calibri" w:cs="calibri" w:eastAsia="calibri"/>
                      <w:sz w:val="19"/>
                    </w:rPr>
                    <w:t>kV/cm</w:t>
                  </w:r>
                </w:p>
                <w:p>
                  <w:pPr>
                    <w:pStyle w:val="null3"/>
                  </w:pPr>
                  <w:r>
                    <w:rPr>
                      <w:rFonts w:ascii="calibri" w:hAnsi="calibri" w:cs="calibri" w:eastAsia="calibri"/>
                      <w:sz w:val="19"/>
                    </w:rPr>
                    <w:t>18</w:t>
                  </w:r>
                  <w:r>
                    <w:rPr>
                      <w:rFonts w:ascii="宋体" w:hAnsi="宋体" w:cs="宋体" w:eastAsia="宋体"/>
                      <w:sz w:val="19"/>
                    </w:rPr>
                    <w:t>电学加载模式：</w:t>
                  </w:r>
                  <w:r>
                    <w:rPr>
                      <w:rFonts w:ascii="宋体" w:hAnsi="宋体" w:cs="宋体" w:eastAsia="宋体"/>
                      <w:sz w:val="19"/>
                    </w:rPr>
                    <w:t>直流</w:t>
                  </w:r>
                  <w:r>
                    <w:rPr>
                      <w:rFonts w:ascii="calibri" w:hAnsi="calibri" w:cs="calibri" w:eastAsia="calibri"/>
                      <w:sz w:val="19"/>
                    </w:rPr>
                    <w:t>/</w:t>
                  </w:r>
                  <w:r>
                    <w:rPr>
                      <w:rFonts w:ascii="宋体" w:hAnsi="宋体" w:cs="宋体" w:eastAsia="宋体"/>
                      <w:sz w:val="19"/>
                    </w:rPr>
                    <w:t>交流</w:t>
                  </w:r>
                  <w:r>
                    <w:rPr>
                      <w:rFonts w:ascii="calibri" w:hAnsi="calibri" w:cs="calibri" w:eastAsia="calibri"/>
                      <w:sz w:val="19"/>
                    </w:rPr>
                    <w:t>/</w:t>
                  </w:r>
                  <w:r>
                    <w:rPr>
                      <w:rFonts w:ascii="宋体" w:hAnsi="宋体" w:cs="宋体" w:eastAsia="宋体"/>
                      <w:sz w:val="19"/>
                    </w:rPr>
                    <w:t>恒压</w:t>
                  </w:r>
                  <w:r>
                    <w:rPr>
                      <w:rFonts w:ascii="calibri" w:hAnsi="calibri" w:cs="calibri" w:eastAsia="calibri"/>
                      <w:sz w:val="19"/>
                    </w:rPr>
                    <w:t>/</w:t>
                  </w:r>
                  <w:r>
                    <w:rPr>
                      <w:rFonts w:ascii="宋体" w:hAnsi="宋体" w:cs="宋体" w:eastAsia="宋体"/>
                      <w:sz w:val="19"/>
                    </w:rPr>
                    <w:t>恒流</w:t>
                  </w:r>
                  <w:r>
                    <w:rPr>
                      <w:rFonts w:ascii="calibri" w:hAnsi="calibri" w:cs="calibri" w:eastAsia="calibri"/>
                      <w:sz w:val="19"/>
                    </w:rPr>
                    <w:t>/</w:t>
                  </w:r>
                  <w:r>
                    <w:rPr>
                      <w:rFonts w:ascii="宋体" w:hAnsi="宋体" w:cs="宋体" w:eastAsia="宋体"/>
                      <w:sz w:val="19"/>
                    </w:rPr>
                    <w:t>斜坡</w:t>
                  </w:r>
                  <w:r>
                    <w:rPr>
                      <w:rFonts w:ascii="calibri" w:hAnsi="calibri" w:cs="calibri" w:eastAsia="calibri"/>
                      <w:sz w:val="19"/>
                    </w:rPr>
                    <w:t>/</w:t>
                  </w:r>
                  <w:r>
                    <w:rPr>
                      <w:rFonts w:ascii="宋体" w:hAnsi="宋体" w:cs="宋体" w:eastAsia="宋体"/>
                      <w:sz w:val="19"/>
                    </w:rPr>
                    <w:t>脉冲</w:t>
                  </w:r>
                </w:p>
                <w:p>
                  <w:pPr>
                    <w:pStyle w:val="null3"/>
                  </w:pPr>
                  <w:r>
                    <w:rPr>
                      <w:rFonts w:ascii="宋体" w:hAnsi="宋体" w:cs="宋体" w:eastAsia="宋体"/>
                      <w:sz w:val="19"/>
                    </w:rPr>
                    <w:t>▲</w:t>
                  </w:r>
                  <w:r>
                    <w:rPr>
                      <w:rFonts w:ascii="calibri" w:hAnsi="calibri" w:cs="calibri" w:eastAsia="calibri"/>
                      <w:sz w:val="19"/>
                    </w:rPr>
                    <w:t>19</w:t>
                  </w:r>
                  <w:r>
                    <w:rPr>
                      <w:rFonts w:ascii="宋体" w:hAnsi="宋体" w:cs="宋体" w:eastAsia="宋体"/>
                      <w:sz w:val="19"/>
                    </w:rPr>
                    <w:t>倾转控制：应力场加载条件下全过程自由正交双轴倾转</w:t>
                  </w:r>
                </w:p>
                <w:p>
                  <w:pPr>
                    <w:pStyle w:val="null3"/>
                  </w:pPr>
                  <w:r>
                    <w:rPr>
                      <w:rFonts w:ascii="宋体" w:hAnsi="宋体" w:cs="宋体" w:eastAsia="宋体"/>
                      <w:sz w:val="19"/>
                    </w:rPr>
                    <w:t>▲</w:t>
                  </w:r>
                  <w:r>
                    <w:rPr>
                      <w:rFonts w:ascii="calibri" w:hAnsi="calibri" w:cs="calibri" w:eastAsia="calibri"/>
                      <w:sz w:val="19"/>
                    </w:rPr>
                    <w:t xml:space="preserve">20 </w:t>
                  </w:r>
                  <w:r>
                    <w:rPr>
                      <w:rFonts w:ascii="宋体" w:hAnsi="宋体" w:cs="宋体" w:eastAsia="宋体"/>
                      <w:sz w:val="19"/>
                    </w:rPr>
                    <w:t>α轴倾转角度：≥±</w:t>
                  </w:r>
                  <w:r>
                    <w:rPr>
                      <w:rFonts w:ascii="calibri" w:hAnsi="calibri" w:cs="calibri" w:eastAsia="calibri"/>
                      <w:sz w:val="19"/>
                    </w:rPr>
                    <w:t>15</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 xml:space="preserve">21 </w:t>
                  </w:r>
                  <w:r>
                    <w:rPr>
                      <w:rFonts w:ascii="宋体" w:hAnsi="宋体" w:cs="宋体" w:eastAsia="宋体"/>
                      <w:sz w:val="19"/>
                    </w:rPr>
                    <w:t>β轴倾转角度：≥±</w:t>
                  </w:r>
                  <w:r>
                    <w:rPr>
                      <w:rFonts w:ascii="calibri" w:hAnsi="calibri" w:cs="calibri" w:eastAsia="calibri"/>
                      <w:sz w:val="19"/>
                    </w:rPr>
                    <w:t>10</w:t>
                  </w:r>
                  <w:r>
                    <w:rPr>
                      <w:rFonts w:ascii="宋体" w:hAnsi="宋体" w:cs="宋体" w:eastAsia="宋体"/>
                      <w:sz w:val="19"/>
                    </w:rPr>
                    <w:t>°</w:t>
                  </w:r>
                </w:p>
                <w:p>
                  <w:pPr>
                    <w:pStyle w:val="null3"/>
                  </w:pPr>
                  <w:r>
                    <w:rPr>
                      <w:rFonts w:ascii="calibri" w:hAnsi="calibri" w:cs="calibri" w:eastAsia="calibri"/>
                      <w:sz w:val="19"/>
                    </w:rPr>
                    <w:t xml:space="preserve">22 </w:t>
                  </w:r>
                  <w:r>
                    <w:rPr>
                      <w:rFonts w:ascii="宋体" w:hAnsi="宋体" w:cs="宋体" w:eastAsia="宋体"/>
                      <w:sz w:val="19"/>
                    </w:rPr>
                    <w:t>倾转步长：＜</w:t>
                  </w:r>
                  <w:r>
                    <w:rPr>
                      <w:rFonts w:ascii="calibri" w:hAnsi="calibri" w:cs="calibri" w:eastAsia="calibri"/>
                      <w:sz w:val="19"/>
                    </w:rPr>
                    <w:t>0.1</w:t>
                  </w:r>
                  <w:r>
                    <w:rPr>
                      <w:rFonts w:ascii="宋体" w:hAnsi="宋体" w:cs="宋体" w:eastAsia="宋体"/>
                      <w:sz w:val="19"/>
                    </w:rPr>
                    <w:t>°</w:t>
                  </w:r>
                </w:p>
                <w:p>
                  <w:pPr>
                    <w:pStyle w:val="null3"/>
                  </w:pPr>
                  <w:r>
                    <w:rPr>
                      <w:rFonts w:ascii="calibri" w:hAnsi="calibri" w:cs="calibri" w:eastAsia="calibri"/>
                      <w:sz w:val="19"/>
                    </w:rPr>
                    <w:t>23</w:t>
                  </w:r>
                  <w:r>
                    <w:rPr>
                      <w:rFonts w:ascii="宋体" w:hAnsi="宋体" w:cs="宋体" w:eastAsia="宋体"/>
                      <w:sz w:val="19"/>
                    </w:rPr>
                    <w:t>空间分辨率：＜</w:t>
                  </w:r>
                  <w:r>
                    <w:rPr>
                      <w:rFonts w:ascii="calibri" w:hAnsi="calibri" w:cs="calibri" w:eastAsia="calibri"/>
                      <w:sz w:val="19"/>
                    </w:rPr>
                    <w:t>0.1nm</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1</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套</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合同签订后120日历日交货</w:t>
      </w:r>
    </w:p>
    <w:p>
      <w:pPr>
        <w:pStyle w:val="null3"/>
        <w:outlineLvl w:val="3"/>
      </w:pPr>
      <w:r>
        <w:rPr>
          <w:sz w:val="24"/>
          <w:b/>
        </w:rPr>
        <w:t>3.4.2交货地点</w:t>
      </w:r>
    </w:p>
    <w:p>
      <w:pPr>
        <w:pStyle w:val="null3"/>
      </w:pPr>
      <w:r>
        <w:rPr/>
        <w:t>采购包1：</w:t>
      </w:r>
    </w:p>
    <w:p>
      <w:pPr>
        <w:pStyle w:val="null3"/>
      </w:pPr>
      <w:r>
        <w:rPr/>
        <w:t>西安工业大学未央校区教五一层</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20.00</w:t>
      </w:r>
      <w:r>
        <w:rPr/>
        <w:t>%。</w:t>
      </w:r>
    </w:p>
    <w:p>
      <w:pPr>
        <w:pStyle w:val="null3"/>
      </w:pPr>
      <w:r>
        <w:rPr/>
        <w:t>采购包1：</w:t>
      </w:r>
      <w:r>
        <w:rPr/>
        <w:t xml:space="preserve"> 付款条件说明： </w:t>
      </w:r>
      <w:r>
        <w:rPr/>
        <w:t>安装调试经采购人验收合格后</w:t>
      </w:r>
      <w:r>
        <w:rPr/>
        <w:t xml:space="preserve"> ，达到付款条件起 </w:t>
      </w:r>
      <w:r>
        <w:rPr/>
        <w:t>15</w:t>
      </w:r>
      <w:r>
        <w:rPr/>
        <w:t xml:space="preserve"> 日内，支付合同总金额的 </w:t>
      </w:r>
      <w:r>
        <w:rPr/>
        <w:t>80.00</w:t>
      </w:r>
      <w:r>
        <w:rPr/>
        <w:t>%。</w:t>
      </w:r>
    </w:p>
    <w:p>
      <w:pPr>
        <w:pStyle w:val="null3"/>
        <w:outlineLvl w:val="3"/>
      </w:pPr>
      <w:r>
        <w:rPr>
          <w:sz w:val="24"/>
          <w:b/>
        </w:rPr>
        <w:t>3.4.5验收标准和方法</w:t>
      </w:r>
    </w:p>
    <w:p>
      <w:pPr>
        <w:pStyle w:val="null3"/>
      </w:pPr>
      <w:r>
        <w:rPr/>
        <w:t>采购包1：</w:t>
      </w:r>
    </w:p>
    <w:p>
      <w:pPr>
        <w:pStyle w:val="null3"/>
      </w:pPr>
      <w:r>
        <w:rPr/>
        <w:t>1.验收要求 （1）初验：货物安装调试合格后，进行试运行测试，通过试运行测试后进入试运行，试运行不少于7工作日。由中标人向采购人提供详细的试运行报告，报告中至少应详细记录各种实测、运行数据。项目试运行且通过中标人自测后提交采购人使用单位进行初验。验收内容按试运行报告，现场查看货物运行情况。初验完成后，中标人填写初验验收报告并经采购人使用单位确认。 （2）整体验收即终验：该项目初验完成后，采购人根据使用单位提供的初验验收报告，组织采购人相关人员和专家组成的验收小组对系统设备进行最终验收。验收依据为本合同文本、招投标文件和国内相应的标准、规范，本合同内所列功能参数逐条验收，并符合采购人稳定安全正常使用的需求。验收合格后，采购人填写终验验收单，并由中标人向采购人提交货物所包含的所有资料，以便采购人使用单位日后管理和维护。验收不合格的，限期整改，整改过程中产生的费用和货物发生的一切损失由中标人承担；整改超过二次的，采购人有权单方解除本合同，中标人应无条件退还已收取的全部合同价款，并按合同总价30%向采购人支付违约金，违约金不足弥补采购人损失的，由中标人负责赔偿。 2.培训要求：中标人免费派一名应用工程师前往采购人现场进行应用培训,对采购人进行5人以上的仪器操作和日常维护的现场培训，包括仪器原理、使用方法和维护方法等，培训时间计划表和培训大纲经双方协商确定，培训至采购人能够独立掌握仪器操作及日常维护。</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本项目整体质保期：验收合格后1年；质保期内免费提供正常使用的易损件和备件；软件系统提供终身免费升级服务。 设备经过双方检验认可后，签署验收报告，产品保修期自验收合格之日起计算，由中标人提供产品保修文件。 质保期内所有维修服务均由中标人免费上门取、送、修。安装调试1个月内，如有质量问题，供应商无条件免费提供备件以保证设备正常使用。在保修期内，任何质量问题，中标人负责免费维修。 质保期过后需换件时，应提供原装器件，并按成本价收费。 服务响应时间：供应商接到维修电话后2小时内给予明确答复，24小时内到达现场维修。维修人员到现场后若问题特殊无法现场修复的，中标人需在48小时内给出合理解决方案。</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jc w:val="left"/>
        <w:outlineLvl w:val="2"/>
      </w:pPr>
      <w:r>
        <w:rPr>
          <w:sz w:val="28"/>
          <w:b/>
        </w:rPr>
        <w:t>3.5其他要求</w:t>
      </w:r>
    </w:p>
    <w:p>
      <w:pPr>
        <w:pStyle w:val="null3"/>
      </w:pPr>
      <w:r>
        <w:rPr/>
        <w:t>1、（1）投标人需要在线提交所有通过电子化交易平台实施的政府采购项目的投标文件，同时，线下提交纸质投标文件正本壹份、副本贰份。若电子投标文件与纸质投标文件不一致的，以电子投标文件为准。（2）投标文件，正、副本分别各自装订成册密封。在封口处加盖投标人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3、因文件关于合同签订时间无法修改，特在此处说明，中标人应当在中标通知书发出之日起25日内与采购人签订政府采购合同。 4、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中标人应承担的其他义务的费用等。合同总价一次性包死，不受市场价格变化因素的影响。除本合同总金额外，采购人不再支付任何其他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控股管理关系</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分项报价表（货物）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技术方案（货物） 保证金汇款声明函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4</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5</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7</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技术方案（货物） 保证金汇款声明函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25分。结合规格、技术参数偏离表的响应证明材料，按招标文件内配置最低要求，每出现1个负偏离，扣1分，带“▲”号指标项每出现1个负偏离扣2分。扣完为止。投标人须按招标文件要求提供带“▲”号指标项的证明材料（证明材料包括但不限于加盖投标人公章的第三方机构出具的检测报告或功能截图或产品说明书或加盖厂家公章的技术参数白皮书等），不提供将视为负偏离。</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投标人针对本项目时间合理性，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提供投标人2021年1月1日至今同类项目业绩（以合同签订时间为准），提供中标通知书和完整合同复印件（扫描件）加盖投标人公章，每份计1分，最高得5分。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产品质量保障</w:t>
            </w:r>
          </w:p>
        </w:tc>
        <w:tc>
          <w:tcPr>
            <w:tcW w:type="dxa" w:w="2492"/>
          </w:tcPr>
          <w:p>
            <w:pPr>
              <w:pStyle w:val="null3"/>
            </w:pPr>
            <w:r>
              <w:rPr/>
              <w:t>1、整体配置具有合理性、一致性、兼容性；2、产品品牌、型号、产地明确，备品配件供应有保障；3、有具体可行的质量保证承诺；4、保证使用单位能熟练操作维护和正常使用。选型方案先进可靠，质量保证承诺详尽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针对本项目提供售后服务方案，内容包含：1、为本项目配备的售后服务团队；2、为本项目提供的后期运维及提升等服务承诺；3、可提供的增值服务；4、保修期的保修范围和维护期的服务范围等。 评审标准： 方案描述详尽清晰，可行性高，内容完整无缺项漏项，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详见附件：书面声明</w:t>
      </w:r>
    </w:p>
    <w:p>
      <w:pPr>
        <w:pStyle w:val="null3"/>
        <w:ind w:firstLine="960"/>
      </w:pPr>
      <w:r>
        <w:rPr/>
        <w:t>详见附件：控股管理关系</w:t>
      </w:r>
    </w:p>
    <w:p>
      <w:pPr>
        <w:pStyle w:val="null3"/>
        <w:ind w:firstLine="960"/>
      </w:pPr>
      <w:r>
        <w:rPr/>
        <w:t>详见附件：近三年无重大违法、违纪书面声明</w:t>
      </w:r>
    </w:p>
    <w:p>
      <w:pPr>
        <w:pStyle w:val="null3"/>
        <w:ind w:firstLine="960"/>
      </w:pPr>
      <w:r>
        <w:rPr/>
        <w:t>详见附件：技术方案（货物）</w:t>
      </w:r>
    </w:p>
    <w:p>
      <w:pPr>
        <w:pStyle w:val="null3"/>
        <w:ind w:firstLine="960"/>
      </w:pPr>
      <w:r>
        <w:rPr/>
        <w:t>详见附件：分项报价表（货物）</w:t>
      </w:r>
    </w:p>
    <w:p>
      <w:pPr>
        <w:pStyle w:val="null3"/>
        <w:ind w:firstLine="960"/>
      </w:pPr>
      <w:r>
        <w:rPr/>
        <w:t>详见附件：非联合体不分包投标声明</w:t>
      </w:r>
    </w:p>
    <w:p>
      <w:pPr>
        <w:pStyle w:val="null3"/>
        <w:ind w:firstLine="960"/>
      </w:pPr>
      <w:r>
        <w:rPr/>
        <w:t>详见附件：法定代表人授权书</w:t>
      </w:r>
    </w:p>
    <w:p>
      <w:pPr>
        <w:pStyle w:val="null3"/>
        <w:ind w:firstLine="960"/>
      </w:pPr>
      <w:r>
        <w:rPr/>
        <w:t>详见附件：保证金汇款声明函</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