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754B65">
      <w:pPr>
        <w:pStyle w:val="8"/>
        <w:numPr>
          <w:numId w:val="0"/>
        </w:numPr>
        <w:jc w:val="center"/>
        <w:rPr>
          <w:highlight w:val="none"/>
        </w:rPr>
      </w:pPr>
      <w:bookmarkStart w:id="0" w:name="_Toc8759"/>
      <w:bookmarkStart w:id="17" w:name="_GoBack"/>
      <w:r>
        <w:rPr>
          <w:highlight w:val="none"/>
        </w:rPr>
        <w:t>拟签订的合同参考文本</w:t>
      </w:r>
      <w:bookmarkEnd w:id="0"/>
    </w:p>
    <w:bookmarkEnd w:id="17"/>
    <w:p w14:paraId="478A3ECC">
      <w:pPr>
        <w:rPr>
          <w:highlight w:val="none"/>
        </w:rPr>
      </w:pPr>
    </w:p>
    <w:p w14:paraId="00D51BB4">
      <w:pPr>
        <w:snapToGrid w:val="0"/>
        <w:spacing w:line="360" w:lineRule="auto"/>
        <w:jc w:val="center"/>
        <w:rPr>
          <w:rStyle w:val="9"/>
          <w:rFonts w:hint="default" w:ascii="宋体" w:hAnsi="宋体" w:eastAsia="宋体" w:cs="Times New Roman"/>
          <w:sz w:val="44"/>
          <w:szCs w:val="44"/>
          <w:highlight w:val="none"/>
        </w:rPr>
      </w:pPr>
      <w:bookmarkStart w:id="1" w:name="_Toc10379"/>
      <w:bookmarkStart w:id="2" w:name="_Toc29289"/>
      <w:bookmarkStart w:id="3" w:name="_Toc28907"/>
    </w:p>
    <w:p w14:paraId="7DC32262">
      <w:pPr>
        <w:snapToGrid w:val="0"/>
        <w:spacing w:line="360" w:lineRule="auto"/>
        <w:jc w:val="center"/>
        <w:rPr>
          <w:rStyle w:val="9"/>
          <w:rFonts w:hint="default" w:ascii="宋体" w:hAnsi="宋体" w:eastAsia="宋体" w:cs="Times New Roman"/>
          <w:sz w:val="44"/>
          <w:szCs w:val="44"/>
          <w:highlight w:val="none"/>
        </w:rPr>
      </w:pPr>
      <w:r>
        <w:rPr>
          <w:rStyle w:val="9"/>
          <w:rFonts w:hint="default" w:ascii="宋体" w:hAnsi="宋体" w:eastAsia="宋体" w:cs="Times New Roman"/>
          <w:sz w:val="44"/>
          <w:szCs w:val="44"/>
          <w:highlight w:val="none"/>
        </w:rPr>
        <w:t>西安建筑科技大学</w:t>
      </w:r>
    </w:p>
    <w:bookmarkEnd w:id="1"/>
    <w:bookmarkEnd w:id="2"/>
    <w:bookmarkEnd w:id="3"/>
    <w:p w14:paraId="43E9CAE1">
      <w:pPr>
        <w:snapToGrid w:val="0"/>
        <w:spacing w:line="360" w:lineRule="auto"/>
        <w:jc w:val="center"/>
        <w:rPr>
          <w:rStyle w:val="9"/>
          <w:rFonts w:hint="eastAsia" w:ascii="宋体" w:hAnsi="宋体" w:eastAsia="宋体" w:cs="Times New Roman"/>
          <w:sz w:val="44"/>
          <w:szCs w:val="44"/>
          <w:highlight w:val="none"/>
          <w:lang w:eastAsia="zh-CN"/>
        </w:rPr>
      </w:pPr>
      <w:r>
        <w:rPr>
          <w:rStyle w:val="9"/>
          <w:rFonts w:hint="eastAsia" w:ascii="宋体" w:hAnsi="宋体" w:cs="Times New Roman"/>
          <w:sz w:val="44"/>
          <w:szCs w:val="44"/>
          <w:highlight w:val="none"/>
          <w:lang w:eastAsia="zh-CN"/>
        </w:rPr>
        <w:t>电液伺服疲劳试验系统、原位拉伸台等设备采购项目</w:t>
      </w:r>
    </w:p>
    <w:p w14:paraId="7BDDFC19">
      <w:pPr>
        <w:snapToGrid w:val="0"/>
        <w:spacing w:line="360" w:lineRule="auto"/>
        <w:jc w:val="center"/>
        <w:rPr>
          <w:rFonts w:hint="eastAsia" w:ascii="宋体" w:hAnsi="宋体"/>
          <w:b/>
          <w:bCs/>
          <w:sz w:val="24"/>
          <w:szCs w:val="24"/>
          <w:highlight w:val="none"/>
          <w:lang w:eastAsia="zh-CN"/>
        </w:rPr>
      </w:pPr>
    </w:p>
    <w:p w14:paraId="4A0D0F65">
      <w:pPr>
        <w:snapToGrid w:val="0"/>
        <w:spacing w:line="360" w:lineRule="auto"/>
        <w:jc w:val="center"/>
        <w:rPr>
          <w:rFonts w:hint="eastAsia" w:ascii="宋体" w:hAnsi="宋体" w:eastAsia="宋体"/>
          <w:b/>
          <w:bCs/>
          <w:sz w:val="44"/>
          <w:szCs w:val="44"/>
          <w:highlight w:val="none"/>
          <w:lang w:eastAsia="zh-CN"/>
        </w:rPr>
      </w:pPr>
      <w:r>
        <w:rPr>
          <w:rFonts w:hint="eastAsia" w:ascii="宋体" w:hAnsi="宋体"/>
          <w:b/>
          <w:bCs/>
          <w:sz w:val="44"/>
          <w:szCs w:val="44"/>
          <w:highlight w:val="none"/>
          <w:lang w:eastAsia="zh-CN"/>
        </w:rPr>
        <w:t>【</w:t>
      </w:r>
      <w:r>
        <w:rPr>
          <w:rFonts w:hint="eastAsia" w:ascii="宋体" w:hAnsi="宋体"/>
          <w:b/>
          <w:bCs/>
          <w:sz w:val="44"/>
          <w:szCs w:val="44"/>
          <w:highlight w:val="none"/>
          <w:lang w:val="en-US" w:eastAsia="zh-CN"/>
        </w:rPr>
        <w:t>第</w:t>
      </w:r>
      <w:r>
        <w:rPr>
          <w:rFonts w:hint="eastAsia" w:ascii="宋体" w:hAnsi="宋体"/>
          <w:b/>
          <w:bCs/>
          <w:sz w:val="44"/>
          <w:szCs w:val="44"/>
          <w:highlight w:val="none"/>
          <w:u w:val="single"/>
          <w:lang w:val="en-US" w:eastAsia="zh-CN"/>
        </w:rPr>
        <w:t xml:space="preserve">   </w:t>
      </w:r>
      <w:r>
        <w:rPr>
          <w:rFonts w:hint="eastAsia" w:ascii="宋体" w:hAnsi="宋体"/>
          <w:b/>
          <w:bCs/>
          <w:sz w:val="44"/>
          <w:szCs w:val="44"/>
          <w:highlight w:val="none"/>
          <w:u w:val="none"/>
          <w:lang w:val="en-US" w:eastAsia="zh-CN"/>
        </w:rPr>
        <w:t>包：</w:t>
      </w:r>
      <w:r>
        <w:rPr>
          <w:rFonts w:hint="eastAsia" w:ascii="宋体" w:hAnsi="宋体"/>
          <w:b/>
          <w:bCs/>
          <w:sz w:val="44"/>
          <w:szCs w:val="44"/>
          <w:highlight w:val="none"/>
          <w:u w:val="single"/>
          <w:lang w:val="en-US" w:eastAsia="zh-CN"/>
        </w:rPr>
        <w:t xml:space="preserve">          </w:t>
      </w:r>
      <w:r>
        <w:rPr>
          <w:rFonts w:hint="eastAsia" w:ascii="宋体" w:hAnsi="宋体"/>
          <w:b/>
          <w:bCs/>
          <w:sz w:val="44"/>
          <w:szCs w:val="44"/>
          <w:highlight w:val="none"/>
          <w:lang w:eastAsia="zh-CN"/>
        </w:rPr>
        <w:t>】</w:t>
      </w:r>
    </w:p>
    <w:p w14:paraId="25E596F7">
      <w:pPr>
        <w:snapToGrid w:val="0"/>
        <w:spacing w:line="360" w:lineRule="auto"/>
        <w:jc w:val="center"/>
        <w:rPr>
          <w:rFonts w:hint="eastAsia" w:ascii="宋体" w:hAnsi="宋体"/>
          <w:b/>
          <w:bCs/>
          <w:sz w:val="44"/>
          <w:szCs w:val="44"/>
          <w:highlight w:val="none"/>
        </w:rPr>
      </w:pPr>
    </w:p>
    <w:p w14:paraId="63036BEE">
      <w:pPr>
        <w:snapToGrid w:val="0"/>
        <w:spacing w:line="360" w:lineRule="auto"/>
        <w:jc w:val="center"/>
        <w:rPr>
          <w:rFonts w:hint="eastAsia" w:ascii="宋体" w:hAnsi="宋体"/>
          <w:b/>
          <w:bCs/>
          <w:sz w:val="72"/>
          <w:szCs w:val="72"/>
          <w:highlight w:val="none"/>
        </w:rPr>
      </w:pPr>
      <w:r>
        <w:rPr>
          <w:rFonts w:hint="eastAsia" w:ascii="宋体" w:hAnsi="宋体"/>
          <w:b/>
          <w:bCs/>
          <w:sz w:val="72"/>
          <w:szCs w:val="72"/>
          <w:highlight w:val="none"/>
        </w:rPr>
        <w:t>仪器设备购置合同</w:t>
      </w:r>
    </w:p>
    <w:p w14:paraId="6DB05C7B">
      <w:pPr>
        <w:snapToGrid w:val="0"/>
        <w:spacing w:line="360" w:lineRule="auto"/>
        <w:ind w:firstLine="2570" w:firstLineChars="800"/>
        <w:rPr>
          <w:rFonts w:hint="eastAsia" w:ascii="宋体" w:hAnsi="宋体"/>
          <w:b/>
          <w:bCs/>
          <w:sz w:val="32"/>
          <w:szCs w:val="32"/>
          <w:highlight w:val="none"/>
        </w:rPr>
      </w:pPr>
      <w:r>
        <w:rPr>
          <w:rFonts w:hint="eastAsia" w:ascii="宋体" w:hAnsi="宋体"/>
          <w:b/>
          <w:bCs/>
          <w:sz w:val="32"/>
          <w:szCs w:val="32"/>
          <w:highlight w:val="none"/>
        </w:rPr>
        <w:t>项目编号：</w:t>
      </w:r>
      <w:r>
        <w:rPr>
          <w:rFonts w:hint="eastAsia" w:ascii="宋体" w:hAnsi="宋体"/>
          <w:b/>
          <w:bCs/>
          <w:sz w:val="32"/>
          <w:szCs w:val="32"/>
          <w:highlight w:val="none"/>
          <w:u w:val="single"/>
        </w:rPr>
        <w:t xml:space="preserve">         </w:t>
      </w:r>
      <w:r>
        <w:rPr>
          <w:rFonts w:hint="eastAsia" w:ascii="宋体" w:hAnsi="宋体"/>
          <w:b/>
          <w:bCs/>
          <w:sz w:val="32"/>
          <w:szCs w:val="32"/>
          <w:highlight w:val="none"/>
        </w:rPr>
        <w:t xml:space="preserve"> </w:t>
      </w:r>
    </w:p>
    <w:p w14:paraId="406A32EB">
      <w:pPr>
        <w:snapToGrid w:val="0"/>
        <w:spacing w:line="360" w:lineRule="auto"/>
        <w:jc w:val="center"/>
        <w:rPr>
          <w:rFonts w:hint="eastAsia" w:ascii="宋体" w:hAnsi="宋体"/>
          <w:b/>
          <w:bCs/>
          <w:spacing w:val="26"/>
          <w:sz w:val="36"/>
          <w:szCs w:val="36"/>
          <w:highlight w:val="none"/>
        </w:rPr>
      </w:pPr>
    </w:p>
    <w:p w14:paraId="409D8AF6">
      <w:pPr>
        <w:snapToGrid w:val="0"/>
        <w:spacing w:line="360" w:lineRule="auto"/>
        <w:rPr>
          <w:rFonts w:hint="eastAsia" w:ascii="宋体" w:hAnsi="宋体"/>
          <w:b/>
          <w:sz w:val="32"/>
          <w:szCs w:val="32"/>
          <w:highlight w:val="none"/>
        </w:rPr>
      </w:pPr>
    </w:p>
    <w:p w14:paraId="15F0FE3C">
      <w:pPr>
        <w:snapToGrid w:val="0"/>
        <w:spacing w:line="360" w:lineRule="auto"/>
        <w:rPr>
          <w:rFonts w:hint="eastAsia" w:ascii="宋体" w:hAnsi="宋体"/>
          <w:b/>
          <w:sz w:val="32"/>
          <w:szCs w:val="32"/>
          <w:highlight w:val="none"/>
        </w:rPr>
      </w:pPr>
    </w:p>
    <w:p w14:paraId="580CFA74">
      <w:pPr>
        <w:snapToGrid w:val="0"/>
        <w:spacing w:line="360" w:lineRule="auto"/>
        <w:ind w:firstLine="1205" w:firstLineChars="400"/>
        <w:rPr>
          <w:rFonts w:hint="eastAsia" w:ascii="宋体" w:hAnsi="宋体"/>
          <w:b/>
          <w:bCs/>
          <w:sz w:val="30"/>
          <w:szCs w:val="30"/>
          <w:highlight w:val="none"/>
        </w:rPr>
      </w:pPr>
      <w:r>
        <w:rPr>
          <w:rFonts w:hint="eastAsia" w:ascii="宋体" w:hAnsi="宋体"/>
          <w:b/>
          <w:bCs/>
          <w:sz w:val="30"/>
          <w:szCs w:val="30"/>
          <w:highlight w:val="none"/>
        </w:rPr>
        <w:t>甲方：</w:t>
      </w:r>
      <w:r>
        <w:rPr>
          <w:rFonts w:hint="eastAsia" w:ascii="宋体" w:hAnsi="宋体"/>
          <w:b/>
          <w:bCs/>
          <w:sz w:val="30"/>
          <w:szCs w:val="30"/>
          <w:highlight w:val="none"/>
          <w:u w:val="single"/>
        </w:rPr>
        <w:t xml:space="preserve">      西安建筑科技大学       </w:t>
      </w:r>
    </w:p>
    <w:p w14:paraId="1E56A74D">
      <w:pPr>
        <w:snapToGrid w:val="0"/>
        <w:spacing w:line="360" w:lineRule="auto"/>
        <w:ind w:firstLine="1205" w:firstLineChars="400"/>
        <w:rPr>
          <w:rFonts w:hint="eastAsia" w:ascii="宋体" w:hAnsi="宋体"/>
          <w:b/>
          <w:bCs/>
          <w:sz w:val="30"/>
          <w:szCs w:val="30"/>
          <w:highlight w:val="none"/>
        </w:rPr>
      </w:pPr>
      <w:r>
        <w:rPr>
          <w:rFonts w:hint="eastAsia" w:ascii="宋体" w:hAnsi="宋体"/>
          <w:b/>
          <w:bCs/>
          <w:sz w:val="30"/>
          <w:szCs w:val="30"/>
          <w:highlight w:val="none"/>
        </w:rPr>
        <w:t>乙方：</w:t>
      </w:r>
      <w:r>
        <w:rPr>
          <w:rFonts w:hint="eastAsia" w:ascii="宋体" w:hAnsi="宋体"/>
          <w:b/>
          <w:bCs/>
          <w:sz w:val="30"/>
          <w:szCs w:val="30"/>
          <w:highlight w:val="none"/>
          <w:u w:val="single"/>
        </w:rPr>
        <w:t xml:space="preserve">                             </w:t>
      </w:r>
    </w:p>
    <w:p w14:paraId="17FA84E5">
      <w:pPr>
        <w:snapToGrid w:val="0"/>
        <w:spacing w:line="360" w:lineRule="auto"/>
        <w:jc w:val="center"/>
        <w:rPr>
          <w:rFonts w:hint="eastAsia" w:ascii="宋体" w:hAnsi="宋体"/>
          <w:b/>
          <w:bCs/>
          <w:sz w:val="30"/>
          <w:szCs w:val="30"/>
          <w:highlight w:val="none"/>
        </w:rPr>
      </w:pPr>
      <w:r>
        <w:rPr>
          <w:rFonts w:hint="eastAsia" w:ascii="宋体" w:hAnsi="宋体"/>
          <w:b/>
          <w:bCs/>
          <w:sz w:val="30"/>
          <w:szCs w:val="30"/>
          <w:highlight w:val="none"/>
        </w:rPr>
        <w:t xml:space="preserve">  </w:t>
      </w:r>
    </w:p>
    <w:p w14:paraId="51CF123B">
      <w:pPr>
        <w:snapToGrid w:val="0"/>
        <w:spacing w:line="360" w:lineRule="auto"/>
        <w:jc w:val="center"/>
        <w:rPr>
          <w:rFonts w:hint="eastAsia" w:ascii="宋体" w:hAnsi="宋体"/>
          <w:b/>
          <w:bCs/>
          <w:spacing w:val="26"/>
          <w:sz w:val="30"/>
          <w:szCs w:val="30"/>
          <w:highlight w:val="none"/>
        </w:rPr>
      </w:pPr>
      <w:r>
        <w:rPr>
          <w:rFonts w:hint="eastAsia" w:ascii="宋体" w:hAnsi="宋体"/>
          <w:b/>
          <w:bCs/>
          <w:spacing w:val="26"/>
          <w:sz w:val="30"/>
          <w:szCs w:val="30"/>
          <w:highlight w:val="none"/>
        </w:rPr>
        <w:t xml:space="preserve"> 二〇二四年</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月</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日</w:t>
      </w:r>
    </w:p>
    <w:p w14:paraId="25CBC837">
      <w:pPr>
        <w:snapToGrid w:val="0"/>
        <w:spacing w:line="360" w:lineRule="auto"/>
        <w:rPr>
          <w:highlight w:val="none"/>
        </w:rPr>
      </w:pPr>
      <w:r>
        <w:rPr>
          <w:highlight w:val="none"/>
        </w:rPr>
        <w:br w:type="page"/>
      </w:r>
    </w:p>
    <w:p w14:paraId="69957E42">
      <w:pPr>
        <w:adjustRightInd w:val="0"/>
        <w:snapToGrid w:val="0"/>
        <w:jc w:val="center"/>
        <w:rPr>
          <w:rFonts w:ascii="黑体" w:eastAsia="黑体"/>
          <w:color w:val="auto"/>
          <w:sz w:val="36"/>
          <w:szCs w:val="36"/>
          <w:highlight w:val="none"/>
        </w:rPr>
      </w:pPr>
      <w:r>
        <w:rPr>
          <w:rFonts w:hint="eastAsia" w:ascii="黑体" w:eastAsia="黑体"/>
          <w:color w:val="auto"/>
          <w:sz w:val="36"/>
          <w:szCs w:val="36"/>
          <w:highlight w:val="none"/>
        </w:rPr>
        <w:t>仪器设备购置合同</w:t>
      </w:r>
    </w:p>
    <w:p w14:paraId="05C712D2">
      <w:pPr>
        <w:adjustRightInd w:val="0"/>
        <w:snapToGrid w:val="0"/>
        <w:jc w:val="center"/>
        <w:rPr>
          <w:rFonts w:hint="eastAsia" w:ascii="仿宋_GB2312" w:hAnsi="宋体" w:eastAsia="仿宋_GB2312"/>
          <w:b/>
          <w:color w:val="auto"/>
          <w:sz w:val="44"/>
          <w:szCs w:val="44"/>
          <w:highlight w:val="none"/>
        </w:rPr>
      </w:pPr>
    </w:p>
    <w:p w14:paraId="4097385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西安建筑科技大学（以下简称甲方）与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（以下简称乙方）就购置乙方代理的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生产的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等设备，已完成招投标等相关程序，现双方达成如下合同条款：</w:t>
      </w:r>
      <w:r>
        <w:rPr>
          <w:rFonts w:hint="eastAsia" w:ascii="宋体" w:hAnsi="宋体" w:eastAsia="宋体" w:cs="宋体"/>
          <w:bCs/>
          <w:color w:val="auto"/>
          <w:sz w:val="24"/>
          <w:szCs w:val="24"/>
          <w:highlight w:val="none"/>
        </w:rPr>
        <w:t xml:space="preserve"> </w:t>
      </w:r>
    </w:p>
    <w:p w14:paraId="4791D2C4">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outlineLvl w:val="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 xml:space="preserve"> 合同内容</w:t>
      </w:r>
    </w:p>
    <w:p w14:paraId="3AF77504">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1.1仪器设备购置清单（单位：人民币）</w:t>
      </w: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11"/>
        <w:gridCol w:w="1049"/>
      </w:tblGrid>
      <w:tr w14:paraId="1D537E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695" w:type="dxa"/>
            <w:tcBorders>
              <w:top w:val="single" w:color="auto" w:sz="4" w:space="0"/>
              <w:left w:val="single" w:color="auto" w:sz="4" w:space="0"/>
              <w:bottom w:val="single" w:color="auto" w:sz="4" w:space="0"/>
              <w:right w:val="single" w:color="auto" w:sz="4" w:space="0"/>
            </w:tcBorders>
            <w:noWrap w:val="0"/>
            <w:vAlign w:val="center"/>
          </w:tcPr>
          <w:p w14:paraId="73EDAE94">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产品名称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0A2725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83A2FA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4B65BAF8">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3EDF865C">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p>
        </w:tc>
        <w:tc>
          <w:tcPr>
            <w:tcW w:w="1111" w:type="dxa"/>
            <w:tcBorders>
              <w:top w:val="single" w:color="auto" w:sz="4" w:space="0"/>
              <w:left w:val="single" w:color="auto" w:sz="4" w:space="0"/>
              <w:bottom w:val="single" w:color="auto" w:sz="4" w:space="0"/>
              <w:right w:val="single" w:color="auto" w:sz="4" w:space="0"/>
            </w:tcBorders>
            <w:noWrap w:val="0"/>
            <w:vAlign w:val="center"/>
          </w:tcPr>
          <w:p w14:paraId="48B989A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单价</w:t>
            </w:r>
          </w:p>
        </w:tc>
        <w:tc>
          <w:tcPr>
            <w:tcW w:w="1049" w:type="dxa"/>
            <w:tcBorders>
              <w:top w:val="single" w:color="auto" w:sz="4" w:space="0"/>
              <w:left w:val="single" w:color="auto" w:sz="4" w:space="0"/>
              <w:bottom w:val="single" w:color="auto" w:sz="4" w:space="0"/>
              <w:right w:val="single" w:color="auto" w:sz="4" w:space="0"/>
            </w:tcBorders>
            <w:noWrap w:val="0"/>
            <w:vAlign w:val="center"/>
          </w:tcPr>
          <w:p w14:paraId="549C4A95">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w:t>
            </w:r>
          </w:p>
        </w:tc>
      </w:tr>
      <w:tr w14:paraId="1EC8C2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695" w:type="dxa"/>
            <w:tcBorders>
              <w:top w:val="single" w:color="auto" w:sz="4" w:space="0"/>
              <w:left w:val="single" w:color="auto" w:sz="4" w:space="0"/>
              <w:bottom w:val="single" w:color="auto" w:sz="4" w:space="0"/>
              <w:right w:val="single" w:color="auto" w:sz="4" w:space="0"/>
            </w:tcBorders>
            <w:noWrap w:val="0"/>
            <w:vAlign w:val="top"/>
          </w:tcPr>
          <w:p w14:paraId="28BA8D8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7290149C">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69A6862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334DD78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0BD3E085">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p>
        </w:tc>
        <w:tc>
          <w:tcPr>
            <w:tcW w:w="1111" w:type="dxa"/>
            <w:tcBorders>
              <w:top w:val="single" w:color="auto" w:sz="4" w:space="0"/>
              <w:left w:val="single" w:color="auto" w:sz="4" w:space="0"/>
              <w:bottom w:val="single" w:color="auto" w:sz="4" w:space="0"/>
              <w:right w:val="single" w:color="auto" w:sz="4" w:space="0"/>
            </w:tcBorders>
            <w:noWrap w:val="0"/>
            <w:vAlign w:val="top"/>
          </w:tcPr>
          <w:p w14:paraId="195D52A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p>
        </w:tc>
        <w:tc>
          <w:tcPr>
            <w:tcW w:w="1049" w:type="dxa"/>
            <w:tcBorders>
              <w:top w:val="single" w:color="auto" w:sz="4" w:space="0"/>
              <w:left w:val="single" w:color="auto" w:sz="4" w:space="0"/>
              <w:bottom w:val="single" w:color="auto" w:sz="4" w:space="0"/>
              <w:right w:val="single" w:color="auto" w:sz="4" w:space="0"/>
            </w:tcBorders>
            <w:noWrap w:val="0"/>
            <w:vAlign w:val="top"/>
          </w:tcPr>
          <w:p w14:paraId="4DDCD6E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p>
        </w:tc>
      </w:tr>
      <w:tr w14:paraId="68692B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3D88A712">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合计金额（大写）：</w:t>
            </w: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14:paraId="32A0B502">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小写</w:t>
            </w:r>
          </w:p>
        </w:tc>
      </w:tr>
    </w:tbl>
    <w:p w14:paraId="27651E05">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1.2本合同总额为设备到达目的地(CIP西安机场) 到岸价格（含备品备件费）、完成验收的价格,另外还包括包装运杂费（含搬运、装卸、保险费等）、材料费、工程费、安装费、调试费、代理费等相关费用。</w:t>
      </w:r>
    </w:p>
    <w:p w14:paraId="79444642">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1.3合同总额为一次性包死价格，不受市场价格及外汇汇率变化的影响，在合同不发生变更时作为付款结算的依据。</w:t>
      </w:r>
    </w:p>
    <w:p w14:paraId="4F8DF36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设备的技术参数要求</w:t>
      </w:r>
    </w:p>
    <w:p w14:paraId="0C557774">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6240B946">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1.4.2乙方应向甲方提供有关标准的中文文本。</w:t>
      </w:r>
    </w:p>
    <w:p w14:paraId="0EB7296A">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1.4.3除非技术规范中另有规定，计量单位均采用中华人民共和国法定计量单位。</w:t>
      </w:r>
    </w:p>
    <w:p w14:paraId="08831DD6">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right="0" w:rightChars="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包装运输要求</w:t>
      </w:r>
    </w:p>
    <w:p w14:paraId="14755D8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 xml:space="preserve">   </w:t>
      </w:r>
      <w:r>
        <w:rPr>
          <w:rFonts w:hint="eastAsia" w:ascii="宋体" w:hAnsi="宋体" w:eastAsia="宋体" w:cs="宋体"/>
          <w:bCs/>
          <w:color w:val="auto"/>
          <w:sz w:val="24"/>
          <w:szCs w:val="24"/>
          <w:highlight w:val="none"/>
        </w:rPr>
        <w:t xml:space="preserve"> 2.1除非本合同另有规定，所提供的全部货物必须采用坚固出口标准保护措施。包装应适用于空运、内陆运输和仓储，并具有良好的防潮、防震、防锈和防野蛮装卸等保护措施，以确保设备货物安全运抵指定地点。乙方应承担由于其包装不妥而引起的设备货物锈蚀、损坏和丢失的责任。</w:t>
      </w:r>
    </w:p>
    <w:p w14:paraId="5FE64E0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1C48F0C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3.供货时间及地点</w:t>
      </w:r>
    </w:p>
    <w:p w14:paraId="5776FB14">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3.1合同签订后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日之内到货，货到后</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日内完成安装、调试，交付使用。</w:t>
      </w:r>
    </w:p>
    <w:p w14:paraId="02EADE1C">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3.2交货地点为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（具体到房间）</w:t>
      </w:r>
      <w:r>
        <w:rPr>
          <w:rFonts w:hint="eastAsia" w:ascii="宋体" w:hAnsi="宋体" w:eastAsia="宋体" w:cs="宋体"/>
          <w:color w:val="auto"/>
          <w:sz w:val="24"/>
          <w:szCs w:val="24"/>
          <w:highlight w:val="none"/>
        </w:rPr>
        <w:t>。乙方负责安排卸货工具及人员。</w:t>
      </w:r>
    </w:p>
    <w:p w14:paraId="31E12628">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3.3甲方负责老师：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联系方式：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单位：</w:t>
      </w:r>
      <w:r>
        <w:rPr>
          <w:rFonts w:hint="eastAsia" w:ascii="宋体" w:hAnsi="宋体" w:eastAsia="宋体" w:cs="宋体"/>
          <w:color w:val="auto"/>
          <w:sz w:val="24"/>
          <w:szCs w:val="24"/>
          <w:highlight w:val="none"/>
          <w:u w:val="single"/>
          <w:lang w:val="en-US" w:eastAsia="zh-CN"/>
        </w:rPr>
        <w:t xml:space="preserve">                </w:t>
      </w:r>
    </w:p>
    <w:p w14:paraId="3E4B35E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4.甲方义务</w:t>
      </w:r>
    </w:p>
    <w:p w14:paraId="02797481">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4.1甲方负责提供安装调试设备所需的不在本合同采购范围内的其他设备和外围环境。</w:t>
      </w:r>
    </w:p>
    <w:p w14:paraId="7617D48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4.2甲方负责指定合同设备的安装地点，安装地点应符合合同设备的安装条件或安装规范。</w:t>
      </w:r>
    </w:p>
    <w:p w14:paraId="11DE26F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72" w:firstLineChars="196"/>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5.乙方义务</w:t>
      </w:r>
    </w:p>
    <w:p w14:paraId="21589944">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 CIP\CIF\DAP条款下的保险由乙方负责，乙方应以合同货币办理保险，按合同金额的110%投保乙方仓库至甲方指定地点。</w:t>
      </w:r>
    </w:p>
    <w:p w14:paraId="17CD508A">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5.2乙方应严格按照供货时间，及时给甲方供货。</w:t>
      </w:r>
    </w:p>
    <w:p w14:paraId="7D4C22A1">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5.3乙方提供给甲方的产品必须是设计科学、技术成熟、工艺精良，是用优质材料制造的、先进的、原厂生产的未曾使用过的、全新的合格产品。</w:t>
      </w:r>
    </w:p>
    <w:p w14:paraId="05CBC03A">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5.4有强制性安全标准的产品，乙方应提供该产品的制造许可证证明，在正常使用下不应对操作者造成任何人身伤害，如因产品质量或标示不明确而对操作者造成损失的，甲方将保留依法索赔的权利。</w:t>
      </w:r>
    </w:p>
    <w:p w14:paraId="718A1285">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5.5设计技术专利、外型专利、应用软件专利等均应符合我国的有关法律及行业标准，凡因以上问题与第三方发生的任何纠纷均与甲方无关。</w:t>
      </w:r>
    </w:p>
    <w:p w14:paraId="24F2490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5.6产品性能必须与其标示的技术指标相符合，产品验收中主要的技术参数达不到标准时，甲方有权无条件退货或依据有关法律索赔。</w:t>
      </w:r>
    </w:p>
    <w:p w14:paraId="166C3F3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5.7设备到货后，乙方应负责设备的安装、调试等相关工作，直至设备能够正常工作，达到验收标准。</w:t>
      </w:r>
    </w:p>
    <w:p w14:paraId="43F211B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72" w:firstLineChars="196"/>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6.技术服务承诺</w:t>
      </w:r>
    </w:p>
    <w:p w14:paraId="18CA70E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360" w:firstLineChars="150"/>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6.1乙方负责提供仪器设备相应的技术资料，包括产品合格证、产品保修单、安装使用及维护说明书以及运输装箱清单等,并对所有技术材料的真实性、准确性、先进性、完整性负责。</w:t>
      </w:r>
    </w:p>
    <w:p w14:paraId="5C1847A1">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6.2人员培训：乙方免费为甲方培训设备使用人员。培训内容包括：设备操作、维护、简单维修等。</w:t>
      </w:r>
    </w:p>
    <w:p w14:paraId="05903C89">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6.3售后服务：质保期内乙方对甲方提出的服务响应不得超出（ 24 ）小时，并派人到现场排除故障或制订解决方案。乙方售后服务及维修专线：</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0B20F85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6.4具体服务详见乙方投标文件中的服务承诺书。</w:t>
      </w:r>
    </w:p>
    <w:p w14:paraId="4340B7A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6.5产品质量保证期为设备验收合格后    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设备正常使用年限    年</w:t>
      </w:r>
      <w:r>
        <w:rPr>
          <w:rFonts w:hint="eastAsia" w:ascii="宋体" w:hAnsi="宋体" w:eastAsia="宋体" w:cs="宋体"/>
          <w:color w:val="auto"/>
          <w:sz w:val="24"/>
          <w:szCs w:val="24"/>
          <w:highlight w:val="none"/>
        </w:rPr>
        <w:t>。质量保证期内乙方免费维修，包括设备的零配件及国内不能解决的故障需要返回生产厂维修时所发生的一切费用。质保期满后，乙方负责设备的终身维修。甲方如需更换设备的零配件，乙方只收取零配件的成本费，并由乙方负责更换。</w:t>
      </w:r>
    </w:p>
    <w:p w14:paraId="02DA78DA">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6.6如果甲方在质保期内收到关于缺陷或不合格的通知或发现存在质量问题，乙方应立即修理或更换相关产品，并承担修理费和运费等相关费用。</w:t>
      </w:r>
    </w:p>
    <w:p w14:paraId="308405C5">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7.验收方法及标准</w:t>
      </w:r>
    </w:p>
    <w:p w14:paraId="1529559D">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7.1开箱验收</w:t>
      </w:r>
    </w:p>
    <w:p w14:paraId="21C53A34">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7.1.1产品运抵现场后，双方应及时开箱验收，并制作验收记录，以确认与本合同约定的数量、型号等是否一致。</w:t>
      </w:r>
    </w:p>
    <w:p w14:paraId="72B28D68">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7.1.2 乙方应在交货前对产品的质量、规格、数量等进行详细而全面的检验，并出具证明产品符合合同规定的文件。该文件将作为申请付款单据的一部分，但有关质量、规格、数量的检验不应视为最终检验。</w:t>
      </w:r>
    </w:p>
    <w:p w14:paraId="0B667370">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7.1.3乙方所供设备中含有国产配件、设备等，必须按我国现使用的标准制造，所购标准件和原材料均是国家名牌企业（或用户指定厂家）的合格产品，不会受到其它方提出的专利权、商标权或工业设计权等起诉。其余技术条件完全按照甲方要求。</w:t>
      </w:r>
    </w:p>
    <w:p w14:paraId="79FB10D9">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7.1.4 开箱验收中如发现产品的数量、规格与合同约定不符，甲方有权拒收产品，乙方应及时按甲方要求免费对拒收产品采取更换或其他必要的补救措施，直至开箱验收合格，方视为乙方完成交货。</w:t>
      </w:r>
    </w:p>
    <w:p w14:paraId="7F1636BE">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  检验验收</w:t>
      </w:r>
    </w:p>
    <w:p w14:paraId="02564C58">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7.2.1 交货完成后，乙方应及时组装、调试、试运行，按照合同条款规定的试运行完成后，双方及时组织对产品检验验收。合同双方均须派人参加合同要求双方参加的试验、检验。</w:t>
      </w:r>
    </w:p>
    <w:p w14:paraId="7D404089">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设备调试期限为乙方到达甲方用户现场后    个工作日内。</w:t>
      </w:r>
    </w:p>
    <w:p w14:paraId="41C5BCC1">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7.2.3  在具体实施合同规定的检验验收之前，乙方需提前提交相应的测试计划（包括测试程序、测试内容和检验标准、试验时间安排等）供甲方确认。</w:t>
      </w:r>
    </w:p>
    <w:p w14:paraId="196E37C3">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7.2.4  除需甲方确认的试验验收外，乙方还应对所有检验验收测试的结果、步骤、原始数据等作妥善记录。如甲方要求，乙方应提供这些记录给甲方。</w:t>
      </w:r>
    </w:p>
    <w:p w14:paraId="7D623121">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7.2.5检验测试出现全部或部分未达到本合同所约定的技术指标，甲方有权选择下列任一处理方式：</w:t>
      </w:r>
    </w:p>
    <w:p w14:paraId="2C89F340">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a.重新测试直至合格为止；</w:t>
      </w:r>
    </w:p>
    <w:p w14:paraId="7FE7777A">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b.要求乙方对货物进行免费更换，然后重新测试直至合格为止；</w:t>
      </w:r>
    </w:p>
    <w:p w14:paraId="75782C71">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无论选择何种方式，甲方因此而发生的因乙方原因引起的所有费用均由乙方负担。</w:t>
      </w:r>
    </w:p>
    <w:p w14:paraId="7189FBD8">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使用过程检验</w:t>
      </w:r>
    </w:p>
    <w:p w14:paraId="1324F69E">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2A788C75">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7.3.2如果合同双方对乙方提供的上述试验结果报告的解释有分歧，双方须于出现分歧后10天内给对方声明，以陈述己方的观点。声明须附有关证据。分歧应通过协商解决。</w:t>
      </w:r>
    </w:p>
    <w:p w14:paraId="64E0D248">
      <w:pPr>
        <w:keepNext w:val="0"/>
        <w:keepLines w:val="0"/>
        <w:pageBreakBefore w:val="0"/>
        <w:widowControl w:val="0"/>
        <w:tabs>
          <w:tab w:val="left" w:pos="3810"/>
        </w:tabs>
        <w:kinsoku/>
        <w:wordWrap/>
        <w:overflowPunct/>
        <w:topLinePunct w:val="0"/>
        <w:autoSpaceDE/>
        <w:autoSpaceDN/>
        <w:bidi w:val="0"/>
        <w:adjustRightInd w:val="0"/>
        <w:snapToGrid w:val="0"/>
        <w:spacing w:line="360" w:lineRule="auto"/>
        <w:ind w:left="0" w:right="0" w:rightChars="0" w:firstLine="472" w:firstLineChars="196"/>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8.合同款项支付方式</w:t>
      </w:r>
    </w:p>
    <w:p w14:paraId="14B8A440">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8.1履约保证金</w:t>
      </w:r>
    </w:p>
    <w:p w14:paraId="3279CF66">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8.1.1合同签订前，乙方须向甲方提交合同总价的10%作为履约保证金；</w:t>
      </w:r>
    </w:p>
    <w:p w14:paraId="0EEAB2E3">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8.1.2设备到货并由甲方验收合格后，乙方申请，甲方将履约保证金（无息）退还乙方。</w:t>
      </w:r>
    </w:p>
    <w:p w14:paraId="0CBDA480">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8.2合同款支付（请在确定支付方式前面的“</w:t>
      </w:r>
      <w:r>
        <w:rPr>
          <w:rFonts w:hint="eastAsia" w:ascii="宋体" w:hAnsi="宋体" w:eastAsia="宋体" w:cs="宋体"/>
          <w:color w:val="auto"/>
          <w:sz w:val="24"/>
          <w:szCs w:val="24"/>
          <w:highlight w:val="none"/>
        </w:rPr>
        <w:sym w:font="Wingdings 2" w:char="00A3"/>
      </w:r>
      <w:r>
        <w:rPr>
          <w:rFonts w:hint="eastAsia" w:ascii="宋体" w:hAnsi="宋体" w:eastAsia="宋体" w:cs="宋体"/>
          <w:color w:val="auto"/>
          <w:sz w:val="24"/>
          <w:szCs w:val="24"/>
          <w:highlight w:val="none"/>
        </w:rPr>
        <w:t>”内打“√” ）</w:t>
      </w:r>
    </w:p>
    <w:p w14:paraId="032AADE6">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国产设备：（请在确定支付方式前面的“</w:t>
      </w:r>
      <w:r>
        <w:rPr>
          <w:rFonts w:hint="eastAsia" w:ascii="宋体" w:hAnsi="宋体" w:eastAsia="宋体" w:cs="宋体"/>
          <w:color w:val="auto"/>
          <w:sz w:val="24"/>
          <w:szCs w:val="24"/>
          <w:highlight w:val="none"/>
        </w:rPr>
        <w:sym w:font="Wingdings 2" w:char="00A3"/>
      </w:r>
      <w:r>
        <w:rPr>
          <w:rFonts w:hint="eastAsia" w:ascii="宋体" w:hAnsi="宋体" w:eastAsia="宋体" w:cs="宋体"/>
          <w:b w:val="0"/>
          <w:bCs/>
          <w:color w:val="auto"/>
          <w:sz w:val="24"/>
          <w:szCs w:val="24"/>
          <w:highlight w:val="none"/>
        </w:rPr>
        <w:t>”内打“√”）</w:t>
      </w:r>
    </w:p>
    <w:p w14:paraId="0114082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szCs w:val="24"/>
          <w:highlight w:val="none"/>
        </w:rPr>
        <w:sym w:font="Wingdings 2" w:char="00A3"/>
      </w:r>
      <w:r>
        <w:rPr>
          <w:rFonts w:hint="eastAsia" w:ascii="宋体" w:hAnsi="宋体" w:eastAsia="宋体" w:cs="宋体"/>
          <w:b w:val="0"/>
          <w:bCs/>
          <w:color w:val="auto"/>
          <w:sz w:val="24"/>
          <w:szCs w:val="24"/>
          <w:highlight w:val="none"/>
        </w:rPr>
        <w:t>（仅限2024年12月20日前无法验收合格的项目）</w:t>
      </w:r>
    </w:p>
    <w:p w14:paraId="26F88116">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合同签订前，乙方须在甲方指定的银行开立一般结算账户。合同签订后，甲方通过银行电汇付给乙方全额货款。</w:t>
      </w:r>
    </w:p>
    <w:p w14:paraId="11C9ACDC">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szCs w:val="24"/>
          <w:highlight w:val="none"/>
        </w:rPr>
        <w:sym w:font="Wingdings 2" w:char="00A3"/>
      </w:r>
      <w:r>
        <w:rPr>
          <w:rFonts w:hint="eastAsia" w:ascii="宋体" w:hAnsi="宋体" w:eastAsia="宋体" w:cs="宋体"/>
          <w:b w:val="0"/>
          <w:bCs/>
          <w:color w:val="auto"/>
          <w:sz w:val="24"/>
          <w:szCs w:val="24"/>
          <w:highlight w:val="none"/>
        </w:rPr>
        <w:t>（仅限2024年12月20日前验收合格的项目）</w:t>
      </w:r>
    </w:p>
    <w:p w14:paraId="26F45346">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签订合同后，设备到达指定地点、安装调试完成并验收合格后，支付合同总价的100%。</w:t>
      </w:r>
    </w:p>
    <w:p w14:paraId="4B213F3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进口设备：</w:t>
      </w:r>
    </w:p>
    <w:p w14:paraId="2734A77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p>
    <w:p w14:paraId="694B3BB8">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9.索赔</w:t>
      </w:r>
    </w:p>
    <w:p w14:paraId="352C2365">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51A8A83C">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bookmarkStart w:id="4" w:name="_Ref467378076"/>
      <w:r>
        <w:rPr>
          <w:rFonts w:hint="eastAsia" w:ascii="宋体" w:hAnsi="宋体" w:eastAsia="宋体" w:cs="宋体"/>
          <w:color w:val="auto"/>
          <w:sz w:val="24"/>
          <w:szCs w:val="24"/>
          <w:highlight w:val="none"/>
        </w:rPr>
        <w:t>9.2在验收合格前，乙方对甲方提出的索赔负有责任，乙方应按照甲方同意的下列一种或多种方式解决索赔事宜：</w:t>
      </w:r>
      <w:bookmarkEnd w:id="4"/>
    </w:p>
    <w:p w14:paraId="637B07EA">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523CD479">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9.2.2根据货物低劣程度、损坏程度以及甲方所遭受损失的数额，经甲乙双方商定降低货物的价格，或由有资质的中介机构评估，以降低后的价格或评估价格为准。</w:t>
      </w:r>
    </w:p>
    <w:p w14:paraId="4D8289D8">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7AFDDF0E">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bookmarkStart w:id="5" w:name="_Ref127159050"/>
      <w:r>
        <w:rPr>
          <w:rFonts w:hint="eastAsia" w:ascii="宋体" w:hAnsi="宋体" w:eastAsia="宋体" w:cs="宋体"/>
          <w:color w:val="auto"/>
          <w:sz w:val="24"/>
          <w:szCs w:val="24"/>
          <w:highlight w:val="none"/>
        </w:rPr>
        <w:t>9.3乙方收到甲方发出的索赔通知之日起5个工作日内未作答复的，甲方可从合同款或履约保证金中扣回索赔金额，如金额不足以补偿索赔金额，乙方应补足差额部分。</w:t>
      </w:r>
      <w:bookmarkEnd w:id="5"/>
    </w:p>
    <w:p w14:paraId="021BF7AF">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10.违约责任</w:t>
      </w:r>
    </w:p>
    <w:p w14:paraId="2D64CECC">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 除不可抗力原因外，如遇下列情况之一者，乙方所缴纳的合同履约金甲方有权不予退还，作为对甲方的赔偿，且甲方有权解除本合同：（1）合同签订后不能按合同时限要求供货或安装调试；（2）所供设备不合格、与合同不符；（3）不能按合同履约；（4）因产品质量原因，不能通过验收。</w:t>
      </w:r>
    </w:p>
    <w:p w14:paraId="6F166265">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10.2如乙方产品质量不符合国家标准、行业内控标准或本合同技术附件要求的，甲方有权退货，乙方应退还全部货款，并承担甲方合同总价款10％的违约金及其他损失。</w:t>
      </w:r>
    </w:p>
    <w:p w14:paraId="42E76F9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10.3 在合同规定的供货期内乙方未全部交货，除应如数补齐外，还应承担合同总款的10％违约金。</w:t>
      </w:r>
    </w:p>
    <w:p w14:paraId="6571637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 乙方对货物不按招标文件要求，擅自更换，除恢复原招标产品外，应承担更换部分价款10%的违约金；乙方如对产品材质、随机配品以次充好，除全部按要求恢复外，应承担此部分价款10%的违约金。</w:t>
      </w:r>
    </w:p>
    <w:p w14:paraId="04C6895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10.5 除不可抗力因素外，乙方对所供产品出现的问题推诿、拖延，24小时未做出服务响应且乙方没有按照合同规定的时间交货和提供服务，甲方可要求乙方支付违约金。违约金每日按合同总价款的5‰计收。否则，甲方有权拒绝乙方以后参加学校竞标。</w:t>
      </w:r>
    </w:p>
    <w:p w14:paraId="2046536A">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10.6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6E12C78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11.合同争议的解决</w:t>
      </w:r>
    </w:p>
    <w:p w14:paraId="523A69FA">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双方友好协商解决，协商未果由西安仲裁委员会仲裁。</w:t>
      </w:r>
    </w:p>
    <w:p w14:paraId="536E282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12.违约解除合同</w:t>
      </w:r>
    </w:p>
    <w:p w14:paraId="742A26B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12.1出现下列情形之一的，视为乙方违约。甲方可向乙方发出书面通知，部分或全部终止合同，同时保留向乙方索赔的权利。</w:t>
      </w:r>
    </w:p>
    <w:p w14:paraId="6070AAC8">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12.1.1乙方未能在合同规定的限期或甲方同意延长的限期内，提供全部或部分货物的； </w:t>
      </w:r>
    </w:p>
    <w:p w14:paraId="6BD1130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12.1.2乙方未能履行合同规定的其它主要义务的；</w:t>
      </w:r>
    </w:p>
    <w:p w14:paraId="25DD2B7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12.1.3乙方在本合同履行过程中有欺诈行为的。</w:t>
      </w:r>
    </w:p>
    <w:p w14:paraId="632D201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6110600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13.其它事项</w:t>
      </w:r>
    </w:p>
    <w:p w14:paraId="2D838D5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合同经双方签字盖章后生效。本合同一式五份，甲方执四份，乙方执一份，执行完毕后自行失效。</w:t>
      </w:r>
    </w:p>
    <w:p w14:paraId="6C25FE4F">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13.2下述文件为本合同的一部分，并与本合同一起阅读和解释，且具有同等法律效力：</w:t>
      </w:r>
    </w:p>
    <w:p w14:paraId="0F96C28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a.合同附件（设备的具体配置及技术参数）；</w:t>
      </w:r>
    </w:p>
    <w:p w14:paraId="641FC30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b.招标文件；</w:t>
      </w:r>
    </w:p>
    <w:p w14:paraId="29BF934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c.投标文件；</w:t>
      </w:r>
    </w:p>
    <w:p w14:paraId="70DB340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d.进出口代理协议；</w:t>
      </w:r>
    </w:p>
    <w:p w14:paraId="611567D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e.中标通知书。</w:t>
      </w:r>
    </w:p>
    <w:p w14:paraId="6DFE04C5">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13.3合同的附件、投标文件均作为本合同不可分割的内容，且具有同等法律效力。合同的附件由甲方使用单位负责审核并签章。</w:t>
      </w:r>
    </w:p>
    <w:p w14:paraId="5597FA15">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 在本合同执行过程中，甲、乙双方协商签订的补充合同与原合同具有同等法律效力。</w:t>
      </w:r>
    </w:p>
    <w:p w14:paraId="6A765D4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 未尽事宜，双方协商解决。</w:t>
      </w:r>
    </w:p>
    <w:p w14:paraId="3FA7407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600" w:firstLineChars="250"/>
        <w:textAlignment w:val="auto"/>
        <w:rPr>
          <w:rFonts w:hint="eastAsia" w:ascii="宋体" w:hAnsi="宋体" w:eastAsia="宋体" w:cs="宋体"/>
          <w:color w:val="auto"/>
          <w:sz w:val="24"/>
          <w:szCs w:val="24"/>
          <w:highlight w:val="none"/>
        </w:rPr>
      </w:pPr>
    </w:p>
    <w:p w14:paraId="2962D596">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合同签订地点：西安.西安建筑科技大学</w:t>
      </w:r>
    </w:p>
    <w:p w14:paraId="1E7D3986">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合同签订时间：</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rPr>
        <w:t>年</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rPr>
        <w:t>月</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rPr>
        <w:t>日</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1"/>
        <w:gridCol w:w="4699"/>
      </w:tblGrid>
      <w:tr w14:paraId="72288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0688C58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甲  方（盖章）：西安建筑科技大学</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1E7CB5E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乙  方（盖章）：</w:t>
            </w:r>
            <w:r>
              <w:rPr>
                <w:rFonts w:hint="eastAsia" w:ascii="宋体" w:hAnsi="宋体" w:eastAsia="宋体" w:cs="宋体"/>
                <w:color w:val="auto"/>
                <w:sz w:val="24"/>
                <w:szCs w:val="24"/>
                <w:highlight w:val="none"/>
              </w:rPr>
              <w:t xml:space="preserve"> </w:t>
            </w:r>
          </w:p>
        </w:tc>
      </w:tr>
      <w:tr w14:paraId="451B0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63D1731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地  址：西安市雁塔路13号</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5490777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地  址：</w:t>
            </w:r>
            <w:r>
              <w:rPr>
                <w:rFonts w:hint="eastAsia" w:ascii="宋体" w:hAnsi="宋体" w:eastAsia="宋体" w:cs="宋体"/>
                <w:color w:val="auto"/>
                <w:sz w:val="24"/>
                <w:szCs w:val="24"/>
                <w:highlight w:val="none"/>
              </w:rPr>
              <w:t xml:space="preserve"> </w:t>
            </w:r>
          </w:p>
        </w:tc>
      </w:tr>
      <w:tr w14:paraId="42BB8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4833E5A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法定代表人（签字）：</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6A74879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法定代表人（签字）：</w:t>
            </w:r>
          </w:p>
        </w:tc>
      </w:tr>
      <w:tr w14:paraId="6A21D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031FF93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委托代理人（签字）：</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09C567E8">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委托代理人（签字）：</w:t>
            </w:r>
          </w:p>
        </w:tc>
      </w:tr>
      <w:tr w14:paraId="3AE36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68266A8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开户名：西安建筑科技大学</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41E4FDEA">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开户名： </w:t>
            </w:r>
          </w:p>
        </w:tc>
      </w:tr>
      <w:tr w14:paraId="4A7F8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20B2E038">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开户行：工行雁塔路支行</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2F73FED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开户行： </w:t>
            </w:r>
          </w:p>
        </w:tc>
      </w:tr>
      <w:tr w14:paraId="21A2B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1C6030AF">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帐  号：3700023009026400639</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5976B4E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帐  号：</w:t>
            </w:r>
          </w:p>
        </w:tc>
      </w:tr>
      <w:tr w14:paraId="37C58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544E6F9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联系人：</w:t>
            </w:r>
            <w:r>
              <w:rPr>
                <w:rFonts w:hint="eastAsia" w:ascii="宋体" w:hAnsi="宋体" w:eastAsia="宋体" w:cs="宋体"/>
                <w:b/>
                <w:color w:val="auto"/>
                <w:sz w:val="24"/>
                <w:szCs w:val="24"/>
                <w:highlight w:val="none"/>
                <w:lang w:val="en-US" w:eastAsia="zh-CN"/>
              </w:rPr>
              <w:t>刘世泽</w:t>
            </w:r>
            <w:r>
              <w:rPr>
                <w:rFonts w:hint="eastAsia" w:ascii="宋体" w:hAnsi="宋体" w:eastAsia="宋体" w:cs="宋体"/>
                <w:b/>
                <w:color w:val="auto"/>
                <w:sz w:val="24"/>
                <w:szCs w:val="24"/>
                <w:highlight w:val="none"/>
              </w:rPr>
              <w:t xml:space="preserve"> </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49755C1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联系人：</w:t>
            </w:r>
            <w:r>
              <w:rPr>
                <w:rFonts w:hint="eastAsia" w:ascii="宋体" w:hAnsi="宋体" w:eastAsia="宋体" w:cs="宋体"/>
                <w:color w:val="auto"/>
                <w:sz w:val="24"/>
                <w:szCs w:val="24"/>
                <w:highlight w:val="none"/>
              </w:rPr>
              <w:t xml:space="preserve"> </w:t>
            </w:r>
          </w:p>
        </w:tc>
      </w:tr>
      <w:tr w14:paraId="335A7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6703427F">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xml:space="preserve">联系电话：029-82202312  </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154A67E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联系电话：</w:t>
            </w:r>
          </w:p>
        </w:tc>
      </w:tr>
    </w:tbl>
    <w:p w14:paraId="50B5017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z w:val="24"/>
          <w:szCs w:val="24"/>
          <w:highlight w:val="none"/>
        </w:rPr>
        <w:t xml:space="preserve">技术附件: </w:t>
      </w:r>
    </w:p>
    <w:p w14:paraId="680FF032">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bookmarkStart w:id="6" w:name="_Toc390373038"/>
      <w:bookmarkStart w:id="7" w:name="_Toc390360542"/>
      <w:r>
        <w:rPr>
          <w:rFonts w:hint="eastAsia" w:ascii="宋体" w:hAnsi="宋体" w:eastAsia="宋体" w:cs="宋体"/>
          <w:b/>
          <w:color w:val="auto"/>
          <w:sz w:val="24"/>
          <w:szCs w:val="24"/>
          <w:highlight w:val="none"/>
        </w:rPr>
        <w:t>1.中标产品技术参数明细</w:t>
      </w:r>
    </w:p>
    <w:p w14:paraId="754CE15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我公司承诺：合同中数列产品均满足标书及使用要求，无任何负偏离。并与所供产品完全一致。</w:t>
      </w:r>
    </w:p>
    <w:bookmarkEnd w:id="6"/>
    <w:bookmarkEnd w:id="7"/>
    <w:p w14:paraId="1E60DD4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Style w:val="7"/>
          <w:rFonts w:hint="eastAsia" w:ascii="宋体" w:hAnsi="宋体" w:eastAsia="宋体" w:cs="宋体"/>
          <w:color w:val="auto"/>
          <w:sz w:val="24"/>
          <w:szCs w:val="24"/>
          <w:highlight w:val="none"/>
        </w:rPr>
        <w:t>1.1</w:t>
      </w:r>
      <w:r>
        <w:rPr>
          <w:rFonts w:hint="eastAsia" w:ascii="宋体" w:hAnsi="宋体" w:eastAsia="宋体" w:cs="宋体"/>
          <w:b/>
          <w:color w:val="auto"/>
          <w:sz w:val="24"/>
          <w:szCs w:val="24"/>
          <w:highlight w:val="none"/>
        </w:rPr>
        <w:t>设备用途</w:t>
      </w:r>
    </w:p>
    <w:p w14:paraId="54C42D56">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1.2设备运行条件</w:t>
      </w:r>
    </w:p>
    <w:p w14:paraId="3FCF53FF">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1.3设备构成</w:t>
      </w:r>
    </w:p>
    <w:p w14:paraId="4DBD5C1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1.4设备主要参数指标</w:t>
      </w:r>
    </w:p>
    <w:p w14:paraId="2291D10F">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1.5质量要求与安全要求</w:t>
      </w:r>
    </w:p>
    <w:p w14:paraId="03910B5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1.6设备技术资料清单</w:t>
      </w:r>
    </w:p>
    <w:p w14:paraId="77934452">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1.7设备运行一般流程图</w:t>
      </w:r>
    </w:p>
    <w:p w14:paraId="09332D98">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Style w:val="7"/>
          <w:rFonts w:hint="eastAsia" w:ascii="宋体" w:hAnsi="宋体" w:eastAsia="宋体" w:cs="宋体"/>
          <w:bCs w:val="0"/>
          <w:color w:val="auto"/>
          <w:sz w:val="24"/>
          <w:szCs w:val="24"/>
          <w:highlight w:val="none"/>
        </w:rPr>
      </w:pPr>
    </w:p>
    <w:p w14:paraId="5A9E427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2.售后服务内容</w:t>
      </w:r>
      <w:bookmarkStart w:id="8" w:name="_Toc373263358"/>
      <w:bookmarkStart w:id="9" w:name="_Toc390373053"/>
      <w:bookmarkStart w:id="10" w:name="_Toc390360557"/>
    </w:p>
    <w:bookmarkEnd w:id="8"/>
    <w:bookmarkEnd w:id="9"/>
    <w:bookmarkEnd w:id="10"/>
    <w:p w14:paraId="3398DA6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bookmarkStart w:id="11" w:name="_Toc373263359"/>
      <w:bookmarkStart w:id="12" w:name="_Toc390373054"/>
      <w:bookmarkStart w:id="13" w:name="_Toc390360558"/>
      <w:r>
        <w:rPr>
          <w:rFonts w:hint="eastAsia" w:ascii="宋体" w:hAnsi="宋体" w:eastAsia="宋体" w:cs="宋体"/>
          <w:b/>
          <w:color w:val="auto"/>
          <w:sz w:val="24"/>
          <w:szCs w:val="24"/>
          <w:highlight w:val="none"/>
        </w:rPr>
        <w:t>2.1技术服务、售后服务体系、故障响应时间、应急维修措施</w:t>
      </w:r>
      <w:bookmarkEnd w:id="11"/>
      <w:bookmarkEnd w:id="12"/>
      <w:bookmarkEnd w:id="13"/>
    </w:p>
    <w:p w14:paraId="5F0BD561">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outlineLvl w:val="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2.1.1技术服务措施</w:t>
      </w:r>
    </w:p>
    <w:p w14:paraId="4EE27C4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outlineLvl w:val="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2.1.2售后服务体系</w:t>
      </w:r>
    </w:p>
    <w:p w14:paraId="6202437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jc w:val="left"/>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质保期内服务</w:t>
      </w:r>
    </w:p>
    <w:p w14:paraId="492A7695">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jc w:val="left"/>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质保期外服务</w:t>
      </w:r>
    </w:p>
    <w:p w14:paraId="0BE7E2F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outlineLvl w:val="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2.1.3故障响应时间</w:t>
      </w:r>
    </w:p>
    <w:p w14:paraId="7065C2F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outlineLvl w:val="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2.1.4应急维修措施</w:t>
      </w:r>
      <w:bookmarkStart w:id="14" w:name="_Toc390360559"/>
      <w:bookmarkStart w:id="15" w:name="_Toc373263360"/>
      <w:bookmarkStart w:id="16" w:name="_Toc390373055"/>
    </w:p>
    <w:p w14:paraId="38539BB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outlineLvl w:val="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2.1.5易损件、备件的供应</w:t>
      </w:r>
    </w:p>
    <w:p w14:paraId="31495738">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outlineLvl w:val="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2.1.6质保期以外技术支持或技术服务</w:t>
      </w:r>
    </w:p>
    <w:p w14:paraId="0399A12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outlineLvl w:val="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2.1.7制定切实可行的操作规程和使用指南</w:t>
      </w:r>
    </w:p>
    <w:p w14:paraId="5B5D1945">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p>
    <w:p w14:paraId="4D957C0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3.培训服务内容</w:t>
      </w:r>
    </w:p>
    <w:p w14:paraId="5E75E0A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3.1培训方案</w:t>
      </w:r>
    </w:p>
    <w:p w14:paraId="1AC9FB0C">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培训目标和要求</w:t>
      </w:r>
    </w:p>
    <w:p w14:paraId="2E8932C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3.2培训对象</w:t>
      </w:r>
    </w:p>
    <w:p w14:paraId="42EA2B6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3.3培训方式</w:t>
      </w:r>
    </w:p>
    <w:p w14:paraId="0C441EB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3.3.1系统使用培训：</w:t>
      </w:r>
    </w:p>
    <w:p w14:paraId="2A559EE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3.3.2培训课程及培训人数：</w:t>
      </w:r>
    </w:p>
    <w:p w14:paraId="30E16AE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3.3.3培训教师安排</w:t>
      </w:r>
    </w:p>
    <w:p w14:paraId="3EC513E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3.3.4培训时间安排</w:t>
      </w:r>
    </w:p>
    <w:p w14:paraId="2B04E4B1">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3.3.5培训及安全保证</w:t>
      </w:r>
    </w:p>
    <w:p w14:paraId="1F54BDB5">
      <w:pPr>
        <w:pStyle w:val="4"/>
        <w:keepNext w:val="0"/>
        <w:keepLines w:val="0"/>
        <w:pageBreakBefore w:val="0"/>
        <w:widowControl w:val="0"/>
        <w:kinsoku/>
        <w:wordWrap/>
        <w:overflowPunct/>
        <w:topLinePunct w:val="0"/>
        <w:autoSpaceDE/>
        <w:autoSpaceDN/>
        <w:bidi w:val="0"/>
        <w:adjustRightInd w:val="0"/>
        <w:snapToGrid w:val="0"/>
        <w:spacing w:after="0" w:line="360" w:lineRule="auto"/>
        <w:ind w:left="0" w:leftChars="0" w:right="0" w:rightChars="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①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264F4ACF">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 设备本体对可能造成伤害的部位均应采用防护板或防护网隔离并有醒目警示。</w:t>
      </w:r>
    </w:p>
    <w:p w14:paraId="51D1746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 所用电气元件均按照国标选配，确保稳定安全，符合三防要求。</w:t>
      </w:r>
    </w:p>
    <w:p w14:paraId="022A242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outlineLvl w:val="3"/>
        <w:rPr>
          <w:rFonts w:hint="eastAsia" w:ascii="宋体" w:hAnsi="宋体" w:eastAsia="宋体" w:cs="宋体"/>
          <w:color w:val="auto"/>
          <w:sz w:val="24"/>
          <w:szCs w:val="24"/>
          <w:highlight w:val="none"/>
        </w:rPr>
      </w:pPr>
    </w:p>
    <w:bookmarkEnd w:id="14"/>
    <w:bookmarkEnd w:id="15"/>
    <w:bookmarkEnd w:id="16"/>
    <w:p w14:paraId="19A20632">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p>
    <w:p w14:paraId="5A3B4EAA">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p>
    <w:p w14:paraId="52E1E9F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p>
    <w:p w14:paraId="55DEC76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甲方使用单位：西安建筑科技大学XX学院    乙方：   </w:t>
      </w:r>
    </w:p>
    <w:p w14:paraId="112E1B76">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p>
    <w:p w14:paraId="74B63CA4">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w:t>
      </w:r>
    </w:p>
    <w:p w14:paraId="2ACA918C">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负责人：                                  负责人：</w:t>
      </w:r>
    </w:p>
    <w:p w14:paraId="7A7D4362">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p>
    <w:p w14:paraId="0294DAEC">
      <w:pPr>
        <w:rPr>
          <w:highlight w:val="none"/>
        </w:rPr>
      </w:pPr>
    </w:p>
    <w:p w14:paraId="3F7E5FF2">
      <w:pPr>
        <w:snapToGrid w:val="0"/>
        <w:spacing w:line="360" w:lineRule="auto"/>
        <w:rPr>
          <w:highlight w:val="none"/>
        </w:rPr>
      </w:pPr>
    </w:p>
    <w:p w14:paraId="75485FCD"/>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ECAB19">
    <w:pPr>
      <w:pStyle w:val="10"/>
      <w:tabs>
        <w:tab w:val="clear" w:pos="4153"/>
        <w:tab w:val="clear" w:pos="8306"/>
      </w:tabs>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_x0000_s1026"/>
              <wp:cNvGraphicFramePr/>
              <a:graphic xmlns:a="http://schemas.openxmlformats.org/drawingml/2006/main">
                <a:graphicData uri="http://schemas.microsoft.com/office/word/2010/wordprocessingShape">
                  <wps:wsp>
                    <wps:cNvSpPr/>
                    <wps:spPr>
                      <a:xfrm>
                        <a:off x="0" y="0"/>
                        <a:ext cx="1828800" cy="1828800"/>
                      </a:xfrm>
                      <a:prstGeom prst="rect">
                        <a:avLst/>
                      </a:prstGeom>
                    </wps:spPr>
                    <wps:txbx>
                      <w:txbxContent>
                        <w:p w14:paraId="7CF99BC6">
                          <w:pPr>
                            <w:pStyle w:val="10"/>
                            <w:tabs>
                              <w:tab w:val="clear" w:pos="4153"/>
                              <w:tab w:val="clear" w:pos="8306"/>
                            </w:tabs>
                          </w:pPr>
                          <w:r>
                            <w:t xml:space="preserve">第 </w:t>
                          </w:r>
                          <w:r>
                            <w:fldChar w:fldCharType="begin"/>
                          </w:r>
                          <w:r>
                            <w:instrText xml:space="preserve"> PAGE  \* MERGEFORMAT </w:instrText>
                          </w:r>
                          <w:r>
                            <w:fldChar w:fldCharType="separate"/>
                          </w:r>
                          <w:r>
                            <w:t>1</w:t>
                          </w:r>
                          <w:r>
                            <w:fldChar w:fldCharType="end"/>
                          </w:r>
                          <w:r>
                            <w:t xml:space="preserve"> 页</w:t>
                          </w:r>
                        </w:p>
                        <w:p w14:paraId="7EB4A84F"/>
                      </w:txbxContent>
                    </wps:txbx>
                    <wps:bodyPr rot="0" vert="horz" wrap="square" lIns="91440" tIns="45720" rIns="91440" bIns="45720" anchor="t" anchorCtr="0"/>
                  </wps:wsp>
                </a:graphicData>
              </a:graphic>
            </wp:anchor>
          </w:drawing>
        </mc:Choice>
        <mc:Fallback>
          <w:pict>
            <v:rect id="_x0000_s1026" o:spid="_x0000_s1026" o:spt="1"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Yxs8E0wAAAAUBAAAPAAAAAAAAAAEAIAAAACIAAABkcnMvZG93bnJldi54bWxQSwECFAAUAAAA&#10;CACHTuJAFZlYpLoBAACGAwAADgAAAAAAAAABACAAAAAiAQAAZHJzL2Uyb0RvYy54bWxQSwUGAAAA&#10;AAYABgBZAQAATgUAAAAA&#10;">
              <v:fill on="f" focussize="0,0"/>
              <v:stroke on="f"/>
              <v:imagedata o:title=""/>
              <o:lock v:ext="edit" aspectratio="f"/>
              <v:textbox>
                <w:txbxContent>
                  <w:p w14:paraId="7CF99BC6">
                    <w:pPr>
                      <w:pStyle w:val="10"/>
                      <w:tabs>
                        <w:tab w:val="clear" w:pos="4153"/>
                        <w:tab w:val="clear" w:pos="8306"/>
                      </w:tabs>
                    </w:pPr>
                    <w:r>
                      <w:t xml:space="preserve">第 </w:t>
                    </w:r>
                    <w:r>
                      <w:fldChar w:fldCharType="begin"/>
                    </w:r>
                    <w:r>
                      <w:instrText xml:space="preserve"> PAGE  \* MERGEFORMAT </w:instrText>
                    </w:r>
                    <w:r>
                      <w:fldChar w:fldCharType="separate"/>
                    </w:r>
                    <w:r>
                      <w:t>1</w:t>
                    </w:r>
                    <w:r>
                      <w:fldChar w:fldCharType="end"/>
                    </w:r>
                    <w:r>
                      <w:t xml:space="preserve"> 页</w:t>
                    </w:r>
                  </w:p>
                  <w:p w14:paraId="7EB4A84F"/>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3A0390"/>
    <w:multiLevelType w:val="singleLevel"/>
    <w:tmpl w:val="5A3A0390"/>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B83C99"/>
    <w:rsid w:val="6FB83C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Indent 2"/>
    <w:basedOn w:val="1"/>
    <w:qFormat/>
    <w:uiPriority w:val="0"/>
    <w:pPr>
      <w:ind w:left="555"/>
    </w:pPr>
    <w:rPr>
      <w:sz w:val="28"/>
      <w:szCs w:val="20"/>
    </w:rPr>
  </w:style>
  <w:style w:type="paragraph" w:styleId="4">
    <w:name w:val="Body Text First Indent 2"/>
    <w:basedOn w:val="2"/>
    <w:unhideWhenUsed/>
    <w:qFormat/>
    <w:uiPriority w:val="0"/>
    <w:pPr>
      <w:ind w:firstLine="420" w:firstLineChars="200"/>
    </w:pPr>
  </w:style>
  <w:style w:type="character" w:styleId="7">
    <w:name w:val="Strong"/>
    <w:qFormat/>
    <w:uiPriority w:val="22"/>
    <w:rPr>
      <w:b/>
      <w:bCs/>
    </w:rPr>
  </w:style>
  <w:style w:type="paragraph" w:customStyle="1" w:styleId="8">
    <w:name w:val="标题 11"/>
    <w:basedOn w:val="1"/>
    <w:link w:val="9"/>
    <w:qFormat/>
    <w:uiPriority w:val="0"/>
    <w:pPr>
      <w:spacing w:beforeAutospacing="1" w:afterAutospacing="1"/>
      <w:jc w:val="left"/>
      <w:outlineLvl w:val="0"/>
    </w:pPr>
    <w:rPr>
      <w:rFonts w:hint="eastAsia" w:ascii="宋体" w:hAnsi="宋体"/>
      <w:b/>
      <w:bCs/>
      <w:kern w:val="44"/>
      <w:sz w:val="48"/>
      <w:szCs w:val="48"/>
    </w:rPr>
  </w:style>
  <w:style w:type="character" w:customStyle="1" w:styleId="9">
    <w:name w:val="标题 1 字符"/>
    <w:link w:val="8"/>
    <w:qFormat/>
    <w:uiPriority w:val="0"/>
    <w:rPr>
      <w:rFonts w:hint="eastAsia" w:ascii="宋体" w:hAnsi="宋体"/>
      <w:b/>
      <w:bCs/>
      <w:kern w:val="44"/>
      <w:sz w:val="48"/>
      <w:szCs w:val="48"/>
    </w:rPr>
  </w:style>
  <w:style w:type="paragraph" w:customStyle="1" w:styleId="10">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2024-11-22T14:20:00Z</dcterms:created>
  <dc:creator>开瑞</dc:creator>
  <cp:lastModifiedBy>开瑞</cp:lastModifiedBy>
  <dcterms:modified xsi:type="dcterms:W3CDTF">2024-11-22T14:20:23Z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E90F6CE6456E4886BBEAF0F36700B597_11</vt:lpwstr>
  </property>
</Properties>
</file>