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视频监控系统建设项目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项目编号：HX-ZFDL-2400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</w:rPr>
        <w:t>施工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方案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项目组织管理机构及人员施工组织安排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文明施工及环境保护措施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  <w:t>进度保障措施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zh-CN" w:eastAsia="zh-CN"/>
        </w:rPr>
      </w:pPr>
    </w:p>
    <w:p>
      <w:pPr>
        <w:pStyle w:val="2"/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确保工程质量技术组织措施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机械材料及合理化建议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维修服务措施及保修承诺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6"/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6"/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6"/>
        <w:spacing w:line="360" w:lineRule="auto"/>
        <w:rPr>
          <w:rFonts w:hint="eastAsia"/>
          <w:sz w:val="24"/>
          <w:szCs w:val="24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依据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详细评审标准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分章节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编制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响应格式及内容自拟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总实施方案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施工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方案、项目组织管理机构及人员施工组织安排、文明施工及环境保护措施、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zh-CN" w:eastAsia="zh-CN"/>
        </w:rPr>
        <w:t>进度保障措施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、确保工程质量技术组织措施、机械材料及合理化建议、维修服务措施及保修承诺。</w:t>
      </w:r>
    </w:p>
    <w:p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38A090F-1288-4C22-9674-AD005E3F7C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5F3F7AF-2FD7-47E7-88E7-F8AC4806AC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6E20B70-AAC4-4274-BBF5-59F0FCD1EA0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D8331"/>
    <w:multiLevelType w:val="singleLevel"/>
    <w:tmpl w:val="C01D83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jYjBkMzU5NjJhYzc2OGUxZDlmZjdlNzUyYjk0MDAifQ=="/>
    <w:docVar w:name="KSO_WPS_MARK_KEY" w:val="2b9441ac-5bfe-4286-8f6a-e72d424ff682"/>
  </w:docVars>
  <w:rsids>
    <w:rsidRoot w:val="00000000"/>
    <w:rsid w:val="03F23D37"/>
    <w:rsid w:val="0B007C9F"/>
    <w:rsid w:val="23A92A8C"/>
    <w:rsid w:val="2DD077B2"/>
    <w:rsid w:val="45E245F5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232</Words>
  <Characters>244</Characters>
  <Lines>0</Lines>
  <Paragraphs>0</Paragraphs>
  <TotalTime>0</TotalTime>
  <ScaleCrop>false</ScaleCrop>
  <LinksUpToDate>false</LinksUpToDate>
  <CharactersWithSpaces>269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胡琼</cp:lastModifiedBy>
  <dcterms:modified xsi:type="dcterms:W3CDTF">2024-12-05T07:38:45Z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CFFEEF3295244AC59832E058AE283626_13</vt:lpwstr>
  </property>
</Properties>
</file>