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版本号：241205002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视频监控系统建设项目</w:t>
      </w:r>
    </w:p>
    <w:p>
      <w:pPr>
        <w:pStyle w:val="null3"/>
        <w:jc w:val="center"/>
        <w:outlineLvl w:val="2"/>
      </w:pPr>
      <w:r>
        <w:rPr>
          <w:sz w:val="28"/>
          <w:b/>
        </w:rPr>
        <w:t>采购项目编号：</w:t>
      </w:r>
      <w:r>
        <w:rPr>
          <w:sz w:val="28"/>
          <w:b/>
        </w:rPr>
        <w:t>HX-ZFDL-24003</w:t>
      </w:r>
      <w:r>
        <w:br/>
      </w:r>
      <w:r>
        <w:br/>
      </w:r>
      <w:r>
        <w:br/>
      </w:r>
    </w:p>
    <w:p>
      <w:pPr>
        <w:pStyle w:val="null3"/>
        <w:jc w:val="center"/>
        <w:outlineLvl w:val="2"/>
      </w:pPr>
      <w:r>
        <w:rPr>
          <w:sz w:val="28"/>
          <w:b/>
        </w:rPr>
        <w:t>陕西省森林工业职工医院</w:t>
      </w:r>
    </w:p>
    <w:p>
      <w:pPr>
        <w:pStyle w:val="null3"/>
        <w:jc w:val="center"/>
        <w:outlineLvl w:val="2"/>
      </w:pPr>
      <w:r>
        <w:rPr>
          <w:sz w:val="28"/>
          <w:b/>
        </w:rPr>
        <w:t>华兴天成项目咨询有限公司</w:t>
      </w:r>
      <w:r>
        <w:rPr>
          <w:sz w:val="28"/>
          <w:b/>
        </w:rPr>
        <w:t>共同编制</w:t>
      </w:r>
    </w:p>
    <w:p>
      <w:pPr>
        <w:pStyle w:val="null3"/>
        <w:jc w:val="center"/>
        <w:outlineLvl w:val="2"/>
      </w:pPr>
      <w:r>
        <w:rPr>
          <w:sz w:val="28"/>
          <w:b/>
        </w:rPr>
        <w:t>2024年12月05日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华兴天成项目咨询有限公司</w:t>
      </w:r>
      <w:r>
        <w:rPr/>
        <w:t>（以下简称“代理机构”）受</w:t>
      </w:r>
      <w:r>
        <w:rPr/>
        <w:t>陕西省森林工业职工医院</w:t>
      </w:r>
      <w:r>
        <w:rPr/>
        <w:t>委托，拟对</w:t>
      </w:r>
      <w:r>
        <w:rPr/>
        <w:t>视频监控系统建设项目</w:t>
      </w:r>
      <w:r>
        <w:rPr/>
        <w:t>采用竞争性磋商采购方式进行采购，兹邀请供应商参加本项目的竞争性磋商。</w:t>
      </w:r>
    </w:p>
    <w:p>
      <w:pPr>
        <w:pStyle w:val="null3"/>
        <w:outlineLvl w:val="2"/>
      </w:pPr>
      <w:r>
        <w:rPr>
          <w:sz w:val="28"/>
          <w:b/>
        </w:rPr>
        <w:t>一、采购项目编号：</w:t>
      </w:r>
      <w:r>
        <w:rPr>
          <w:sz w:val="28"/>
          <w:b/>
        </w:rPr>
        <w:t>HX-ZFDL-24003</w:t>
      </w:r>
    </w:p>
    <w:p>
      <w:pPr>
        <w:pStyle w:val="null3"/>
        <w:outlineLvl w:val="2"/>
      </w:pPr>
      <w:r>
        <w:rPr>
          <w:sz w:val="28"/>
          <w:b/>
        </w:rPr>
        <w:t>二、采购项目名称：</w:t>
      </w:r>
      <w:r>
        <w:rPr>
          <w:sz w:val="28"/>
          <w:b/>
        </w:rPr>
        <w:t>视频监控系统建设项目</w:t>
      </w:r>
    </w:p>
    <w:p>
      <w:pPr>
        <w:pStyle w:val="null3"/>
        <w:outlineLvl w:val="2"/>
      </w:pPr>
      <w:r>
        <w:rPr>
          <w:sz w:val="28"/>
          <w:b/>
        </w:rPr>
        <w:t>三、磋商项目简介</w:t>
      </w:r>
    </w:p>
    <w:p>
      <w:pPr>
        <w:pStyle w:val="null3"/>
        <w:ind w:firstLine="480"/>
      </w:pPr>
      <w:r>
        <w:rPr/>
        <w:t>本项目为陕西省森林工业职工医院视频监控系统建设项目，本项目对全院（含荣华院区）室外、室内、重点部位等监控摄像机升级和完善，以及单身公寓区域监控系统的升级并网。</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采购包1（视频监控系统建设项目）：属于专门面向中小企业采购。</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1、有效的主体资格证明：具有独立承担民事责任能力的法人、其他组织，提供有效续存的营业执照或法人登记证；</w:t>
      </w:r>
    </w:p>
    <w:p>
      <w:pPr>
        <w:pStyle w:val="null3"/>
      </w:pPr>
      <w:r>
        <w:rPr/>
        <w:t>2、财务报告状况：提供2023年度经审计的完整财务报告或开标日期前三个月内其基本存款账户开户银行出具的资信证明。（如提供资信证明，须同时提供基本存款账户开户许可证或基本账户信息表）；</w:t>
      </w:r>
    </w:p>
    <w:p>
      <w:pPr>
        <w:pStyle w:val="null3"/>
      </w:pPr>
      <w:r>
        <w:rPr/>
        <w:t>3、税收缴纳证明：提供2024年01月至今已缴纳的至少一个月的完税证明 (新成立一个月内的公司和依法免税或零报税的供应商应提供相关文件证明) ；</w:t>
      </w:r>
    </w:p>
    <w:p>
      <w:pPr>
        <w:pStyle w:val="null3"/>
      </w:pPr>
      <w:r>
        <w:rPr/>
        <w:t>4、社会保障资金缴纳证明：提供2024年01月至今已缴存的至少一个月的社会保障资金缴存单据或社保机构开具的社会保险参保缴费情况证明，依法不需要缴纳社会保障资金的单位应提供相关证明材料；</w:t>
      </w:r>
    </w:p>
    <w:p>
      <w:pPr>
        <w:pStyle w:val="null3"/>
      </w:pPr>
      <w:r>
        <w:rPr/>
        <w:t>5、专业能力书面承诺：具有履行合同所必需的设备和专业技术能力的书面承诺；</w:t>
      </w:r>
    </w:p>
    <w:p>
      <w:pPr>
        <w:pStyle w:val="null3"/>
      </w:pPr>
      <w:r>
        <w:rPr/>
        <w:t>6、三年无重大书面声明：提供参加采购活动前三年内在经营活动中没有重大违法记录的书面声明；</w:t>
      </w:r>
    </w:p>
    <w:p>
      <w:pPr>
        <w:pStyle w:val="null3"/>
      </w:pPr>
      <w:r>
        <w:rPr/>
        <w:t>7、信用：供应商未被列入信用中国网站(www.creditchina.gov.cn)“失信被执行人、 重大税收违法失信主体 ”；不处于中国政府采购网(www.ccgp.gov.cn)“政府采购严重违法失信行为信息记录 ”中的禁止参加政府采购活动期间；</w:t>
      </w:r>
    </w:p>
    <w:p>
      <w:pPr>
        <w:pStyle w:val="null3"/>
      </w:pPr>
      <w:r>
        <w:rPr/>
        <w:t>8、资质要求：供应商须具备电子与智能化工程专业二级及以上资质，且具备有效的安全生产许可证，并在人员、设备、资金等方面具有相应的施工能力；</w:t>
      </w:r>
    </w:p>
    <w:p>
      <w:pPr>
        <w:pStyle w:val="null3"/>
      </w:pPr>
      <w:r>
        <w:rPr/>
        <w:t>9、项目经理：拟派项目经理须具备机电工程专业二级及以上注册建造师执业资格，具备有效的安全生产考核合格证书，且无在建工程（提供无在建项目承诺书）；</w:t>
      </w:r>
    </w:p>
    <w:p>
      <w:pPr>
        <w:pStyle w:val="null3"/>
      </w:pPr>
      <w:r>
        <w:rPr/>
        <w:t>10、授权委托书：法定代表人参加磋商的须提供法定代表人证明书及身份证；法定代表人授权代表参加磋商的，须提供法定代表人证明书、法定代表人授权书及授权代表身份证；</w:t>
      </w:r>
    </w:p>
    <w:p>
      <w:pPr>
        <w:pStyle w:val="null3"/>
      </w:pPr>
      <w:r>
        <w:rPr/>
        <w:t>11、联合体：本项目不接受联合体。</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陕西省森林工业职工医院</w:t>
      </w:r>
    </w:p>
    <w:p>
      <w:pPr>
        <w:pStyle w:val="null3"/>
      </w:pPr>
      <w:r>
        <w:rPr/>
        <w:t xml:space="preserve"> 地址： </w:t>
      </w:r>
      <w:r>
        <w:rPr/>
        <w:t>西安市鄠邑区画展街9号</w:t>
      </w:r>
    </w:p>
    <w:p>
      <w:pPr>
        <w:pStyle w:val="null3"/>
      </w:pPr>
      <w:r>
        <w:rPr/>
        <w:t xml:space="preserve"> 邮编： </w:t>
      </w:r>
      <w:r>
        <w:rPr/>
        <w:t>710300</w:t>
      </w:r>
    </w:p>
    <w:p>
      <w:pPr>
        <w:pStyle w:val="null3"/>
      </w:pPr>
      <w:r>
        <w:rPr/>
        <w:t xml:space="preserve"> 联系人： </w:t>
      </w:r>
      <w:r>
        <w:rPr/>
        <w:t>张工</w:t>
      </w:r>
    </w:p>
    <w:p>
      <w:pPr>
        <w:pStyle w:val="null3"/>
      </w:pPr>
      <w:r>
        <w:rPr/>
        <w:t xml:space="preserve"> 联系电话： </w:t>
      </w:r>
      <w:r>
        <w:rPr/>
        <w:t>15249246243</w:t>
      </w:r>
    </w:p>
    <w:p>
      <w:pPr>
        <w:pStyle w:val="null3"/>
        <w:outlineLvl w:val="3"/>
      </w:pPr>
      <w:r>
        <w:rPr>
          <w:sz w:val="24"/>
          <w:b/>
        </w:rPr>
        <w:t>代理机构：</w:t>
      </w:r>
      <w:r>
        <w:rPr>
          <w:sz w:val="24"/>
          <w:b/>
        </w:rPr>
        <w:t>华兴天成项目咨询有限公司</w:t>
      </w:r>
    </w:p>
    <w:p>
      <w:pPr>
        <w:pStyle w:val="null3"/>
      </w:pPr>
      <w:r>
        <w:rPr/>
        <w:t xml:space="preserve"> 地址： </w:t>
      </w:r>
      <w:r>
        <w:rPr/>
        <w:t>陕西省西安市唐延路11号禾盛京广中心E座17层1704A室</w:t>
      </w:r>
    </w:p>
    <w:p>
      <w:pPr>
        <w:pStyle w:val="null3"/>
      </w:pPr>
      <w:r>
        <w:rPr/>
        <w:t xml:space="preserve"> 邮编： </w:t>
      </w:r>
      <w:r>
        <w:rPr/>
        <w:t>710000</w:t>
      </w:r>
    </w:p>
    <w:p>
      <w:pPr>
        <w:pStyle w:val="null3"/>
      </w:pPr>
      <w:r>
        <w:rPr/>
        <w:t xml:space="preserve"> 联系人： </w:t>
      </w:r>
      <w:r>
        <w:rPr/>
        <w:t>刘强</w:t>
      </w:r>
    </w:p>
    <w:p>
      <w:pPr>
        <w:pStyle w:val="null3"/>
      </w:pPr>
      <w:r>
        <w:rPr/>
        <w:t xml:space="preserve"> 联系电话： </w:t>
      </w:r>
      <w:r>
        <w:rPr/>
        <w:t>19029150527</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向采购代理机构交纳招标代理服务费。招标代理服务费收取按照国家计委颁布的《招标代理服务收费管理暂行办法》（计价格[2002]1980号）和（发改办价格[2003]857号）收费标准。按照成交金额差额定率累进法计算后计取。</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陕西省森林工业职工医院</w:t>
      </w:r>
      <w:r>
        <w:rPr/>
        <w:t>和</w:t>
      </w:r>
      <w:r>
        <w:rPr/>
        <w:t>华兴天成项目咨询有限公司</w:t>
      </w:r>
      <w:r>
        <w:rPr/>
        <w:t>享有。对磋商文件中供应商参加本次政府采购活动应当具备的条件，磋商项目技术、服务、商务及其他要求，评审细则及标准由</w:t>
      </w:r>
      <w:r>
        <w:rPr/>
        <w:t>陕西省森林工业职工医院</w:t>
      </w:r>
      <w:r>
        <w:rPr/>
        <w:t>负责解释。除上述磋商文件内容，其他内容由</w:t>
      </w:r>
      <w:r>
        <w:rPr/>
        <w:t>华兴天成项目咨询有限公司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陕西省森林工业职工医院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华兴天成项目咨询有限公司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无</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华兴天成项目咨询有限公司</w:t>
      </w:r>
      <w:r>
        <w:rPr/>
        <w:t xml:space="preserve"> 负责答复；供应商对采购过程的询问、质疑由</w:t>
      </w:r>
      <w:r>
        <w:rPr/>
        <w:t>华兴天成项目咨询有限公司</w:t>
      </w:r>
      <w:r>
        <w:rPr/>
        <w:t xml:space="preserve"> 负责答复；供应商对采购结果的询问、质疑由 </w:t>
      </w:r>
      <w:r>
        <w:rPr/>
        <w:t>华兴天成项目咨询有限公司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联系人：刘强</w:t>
      </w:r>
    </w:p>
    <w:p>
      <w:pPr>
        <w:pStyle w:val="null3"/>
      </w:pPr>
      <w:r>
        <w:rPr/>
        <w:t>联系电话：19029150527</w:t>
      </w:r>
    </w:p>
    <w:p>
      <w:pPr>
        <w:pStyle w:val="null3"/>
      </w:pPr>
      <w:r>
        <w:rPr/>
        <w:t>地址：陕西省西安市唐延路11号禾盛京广中心E座17层1704A室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1,250,000.00</w:t>
      </w:r>
    </w:p>
    <w:p>
      <w:pPr>
        <w:pStyle w:val="null3"/>
      </w:pPr>
      <w:r>
        <w:rPr/>
        <w:t>采购包最高限价（元）: 1,036,067.30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视频监控系统建设项目</w:t>
            </w:r>
          </w:p>
        </w:tc>
        <w:tc>
          <w:tcPr>
            <w:tcW w:type="dxa" w:w="1384"/>
          </w:tcPr>
          <w:p>
            <w:pPr>
              <w:pStyle w:val="null3"/>
              <w:jc w:val="right"/>
            </w:pPr>
            <w:r>
              <w:rPr/>
              <w:t>1.00</w:t>
            </w:r>
          </w:p>
        </w:tc>
        <w:tc>
          <w:tcPr>
            <w:tcW w:type="dxa" w:w="1384"/>
          </w:tcPr>
          <w:p>
            <w:pPr>
              <w:pStyle w:val="null3"/>
              <w:jc w:val="right"/>
            </w:pPr>
            <w:r>
              <w:rPr/>
              <w:t>1,250,000.00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标的名称：视频监控系统建设项目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arial, helvetica, sans-serif" w:hAnsi="arial, helvetica, sans-serif" w:cs="arial, helvetica, sans-serif" w:eastAsia="arial, helvetica, sans-serif"/>
                <w:sz w:val="21"/>
                <w:color w:val="000000"/>
              </w:rPr>
              <w:t>施工工艺满足相关施工验收标准。</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符合国家及行业验收合格标准</w:t>
      </w:r>
    </w:p>
    <w:p>
      <w:pPr>
        <w:pStyle w:val="null3"/>
        <w:ind w:firstLine="480"/>
      </w:pPr>
      <w:r>
        <w:rPr/>
        <w:t>三、针对本项目的其他技术服务要求：</w:t>
      </w:r>
    </w:p>
    <w:p>
      <w:pPr>
        <w:pStyle w:val="null3"/>
      </w:pPr>
      <w:r>
        <w:rPr/>
        <w:t>符合磋商文件要求</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工期：自合同签订之日起50日历天；2.项目地点：陕西省森林工业职工医院内；3.工程保修期：项目整体验收合格后1年；4.运输、安装：所有施工所需设备及材料必须运输至项目地点，成交供应商负责所有设备的运输、保险、安装、调试；5.★兼容性承诺：供应商所提供设备或软件能够与医院现有安防管理平台兼容使用，包括但不限于解码、智能分析、存储、检索、影像完整性分析等功能，后续不因兼容性原因增加额外费用。</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①可提供2023年度经审计的财务报告（包含审计报告和审计报告中所涉及的财务报表和报表附注），②可提供2023年度供应商完整的全套财务报表（应当包括资产负债表、利润表、现金流量表、所有者权益变动表、附注），③可提供截至资格预审申请文件提交截止日一年内银行出具的资信证明，④供应商注册时间截至响应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具有独立承担民事责任能力的法人、其他组织，提供有效续存的营业执照或法人登记证；</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财务报告状况</w:t>
            </w:r>
          </w:p>
        </w:tc>
        <w:tc>
          <w:tcPr>
            <w:tcW w:type="dxa" w:w="3322"/>
          </w:tcPr>
          <w:p>
            <w:pPr>
              <w:pStyle w:val="null3"/>
            </w:pPr>
            <w:r>
              <w:rPr/>
              <w:t>提供2023年度经审计的完整财务报告或开标日期前三个月内其基本存款账户开户银行出具的资信证明。（如提供资信证明，须同时提供基本存款账户开户许可证或基本账户信息表）；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提供2024年01月至今已缴纳的至少一个月的完税证明 (新成立一个月内的公司和依法免税或零报税的供应商应提供相关文件证明) ；</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提供2024年01月至今已缴存的至少一个月的社会保障资金缴存单据或社保机构开具的社会保险参保缴费情况证明，依法不需要缴纳社会保障资金的单位应提供相关证明材料；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专业能力书面承诺</w:t>
            </w:r>
          </w:p>
        </w:tc>
        <w:tc>
          <w:tcPr>
            <w:tcW w:type="dxa" w:w="3322"/>
          </w:tcPr>
          <w:p>
            <w:pPr>
              <w:pStyle w:val="null3"/>
            </w:pPr>
            <w:r>
              <w:rPr/>
              <w:t>具有履行合同所必需的设备和专业技术能力的书面承诺；</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三年无重大书面声明</w:t>
            </w:r>
          </w:p>
        </w:tc>
        <w:tc>
          <w:tcPr>
            <w:tcW w:type="dxa" w:w="3322"/>
          </w:tcPr>
          <w:p>
            <w:pPr>
              <w:pStyle w:val="null3"/>
            </w:pPr>
            <w:r>
              <w:rPr/>
              <w:t>提供参加采购活动前三年内在经营活动中没有重大违法记录的书面声明；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信用</w:t>
            </w:r>
          </w:p>
        </w:tc>
        <w:tc>
          <w:tcPr>
            <w:tcW w:type="dxa" w:w="3322"/>
          </w:tcPr>
          <w:p>
            <w:pPr>
              <w:pStyle w:val="null3"/>
            </w:pPr>
            <w:r>
              <w:rPr/>
              <w:t>供应商未被列入信用中国网站(www.creditchina.gov.cn)“失信被执行人、 重大税收违法失信主体 ”；不处于中国政府采购网(www.ccgp.gov.cn)“政府采购严重违法失信行为信息记录 ”中的禁止参加政府采购活动期间；</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资质要求</w:t>
            </w:r>
          </w:p>
        </w:tc>
        <w:tc>
          <w:tcPr>
            <w:tcW w:type="dxa" w:w="3322"/>
          </w:tcPr>
          <w:p>
            <w:pPr>
              <w:pStyle w:val="null3"/>
            </w:pPr>
            <w:r>
              <w:rPr/>
              <w:t>供应商须具备电子与智能化工程专业二级及以上资质，且具备有效的安全生产许可证，并在人员、设备、资金等方面具有相应的施工能力；</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项目经理</w:t>
            </w:r>
          </w:p>
        </w:tc>
        <w:tc>
          <w:tcPr>
            <w:tcW w:type="dxa" w:w="3322"/>
          </w:tcPr>
          <w:p>
            <w:pPr>
              <w:pStyle w:val="null3"/>
            </w:pPr>
            <w:r>
              <w:rPr/>
              <w:t>拟派项目经理须具备机电工程专业二级及以上注册建造师执业资格，具备有效的安全生产考核合格证书，且无在建工程（提供无在建项目承诺书）；</w:t>
            </w:r>
          </w:p>
        </w:tc>
        <w:tc>
          <w:tcPr>
            <w:tcW w:type="dxa" w:w="1661"/>
          </w:tcPr>
          <w:p>
            <w:pPr>
              <w:pStyle w:val="null3"/>
            </w:pPr>
            <w:r>
              <w:rPr/>
              <w:t>项目管理机构组成表 供应商应提交的相关资格证明材料 主要人员简历表</w:t>
            </w:r>
          </w:p>
        </w:tc>
      </w:tr>
      <w:tr>
        <w:tc>
          <w:tcPr>
            <w:tcW w:type="dxa" w:w="831"/>
          </w:tcPr>
          <w:p>
            <w:pPr>
              <w:pStyle w:val="null3"/>
            </w:pPr>
            <w:r>
              <w:rPr/>
              <w:t>10</w:t>
            </w:r>
          </w:p>
        </w:tc>
        <w:tc>
          <w:tcPr>
            <w:tcW w:type="dxa" w:w="2492"/>
          </w:tcPr>
          <w:p>
            <w:pPr>
              <w:pStyle w:val="null3"/>
            </w:pPr>
            <w:r>
              <w:rPr/>
              <w:t>授权委托书</w:t>
            </w:r>
          </w:p>
        </w:tc>
        <w:tc>
          <w:tcPr>
            <w:tcW w:type="dxa" w:w="3322"/>
          </w:tcPr>
          <w:p>
            <w:pPr>
              <w:pStyle w:val="null3"/>
            </w:pPr>
            <w:r>
              <w:rPr/>
              <w:t>法定代表人参加磋商的须提供法定代表人证明书及身份证；法定代表人授权代表参加磋商的，须提供法定代表人证明书、法定代表人授权书及授权代表身份证；</w:t>
            </w:r>
          </w:p>
        </w:tc>
        <w:tc>
          <w:tcPr>
            <w:tcW w:type="dxa" w:w="1661"/>
          </w:tcPr>
          <w:p>
            <w:pPr>
              <w:pStyle w:val="null3"/>
            </w:pPr>
            <w:r>
              <w:rPr/>
              <w:t>供应商应提交的相关资格证明材料</w:t>
            </w:r>
          </w:p>
        </w:tc>
      </w:tr>
      <w:tr>
        <w:tc>
          <w:tcPr>
            <w:tcW w:type="dxa" w:w="831"/>
          </w:tcPr>
          <w:p>
            <w:pPr>
              <w:pStyle w:val="null3"/>
            </w:pPr>
            <w:r>
              <w:rPr/>
              <w:t>11</w:t>
            </w:r>
          </w:p>
        </w:tc>
        <w:tc>
          <w:tcPr>
            <w:tcW w:type="dxa" w:w="2492"/>
          </w:tcPr>
          <w:p>
            <w:pPr>
              <w:pStyle w:val="null3"/>
            </w:pPr>
            <w:r>
              <w:rPr/>
              <w:t>联合体</w:t>
            </w:r>
          </w:p>
        </w:tc>
        <w:tc>
          <w:tcPr>
            <w:tcW w:type="dxa" w:w="3322"/>
          </w:tcPr>
          <w:p>
            <w:pPr>
              <w:pStyle w:val="null3"/>
            </w:pPr>
            <w:r>
              <w:rPr/>
              <w:t>本项目不接受联合体。</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w:t>
            </w:r>
          </w:p>
        </w:tc>
        <w:tc>
          <w:tcPr>
            <w:tcW w:type="dxa" w:w="2492"/>
          </w:tcPr>
          <w:p>
            <w:pPr>
              <w:pStyle w:val="null3"/>
            </w:pPr>
            <w:r>
              <w:rPr/>
              <w:t>供应商根据项目施工内容，制定施工方案（项目整体设想、项目重点难点、施工实施的流程、管理规章制度方案）： （1）总体施工方案非常合0理、条理清晰、计划安排合理有效：7-10 分； （2）总体施工方案合理，可行性较高：4-7分； （3）总体施工方案合理性差，可行性不高：0-4分。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总实施方案</w:t>
            </w:r>
          </w:p>
        </w:tc>
      </w:tr>
      <w:tr>
        <w:tc>
          <w:tcPr>
            <w:tcW w:type="dxa" w:w="831"/>
            <w:vMerge/>
          </w:tcPr>
          <w:p/>
        </w:tc>
        <w:tc>
          <w:tcPr>
            <w:tcW w:type="dxa" w:w="1661"/>
          </w:tcPr>
          <w:p>
            <w:pPr>
              <w:pStyle w:val="null3"/>
            </w:pPr>
            <w:r>
              <w:rPr/>
              <w:t>项目组织管理机构及人员施工组织安排</w:t>
            </w:r>
          </w:p>
        </w:tc>
        <w:tc>
          <w:tcPr>
            <w:tcW w:type="dxa" w:w="2492"/>
          </w:tcPr>
          <w:p>
            <w:pPr>
              <w:pStyle w:val="null3"/>
            </w:pPr>
            <w:r>
              <w:rPr/>
              <w:t>（1）组织结构健全，有完善的岗位制度和岗位职责，人员安排合理、分工明确，可操作性强：7-10分； （2）供应商组织结构较为健全，有较为完善的岗位制度和岗位职责，人员安排及分工较为合理，具有一定的操作性：4-7分； （3）供应商组织结构不健全，岗位制度和岗位职责安排简单，操作性较差：0-4分。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总实施方案</w:t>
            </w:r>
          </w:p>
        </w:tc>
      </w:tr>
      <w:tr>
        <w:tc>
          <w:tcPr>
            <w:tcW w:type="dxa" w:w="831"/>
            <w:vMerge/>
          </w:tcPr>
          <w:p/>
        </w:tc>
        <w:tc>
          <w:tcPr>
            <w:tcW w:type="dxa" w:w="1661"/>
          </w:tcPr>
          <w:p>
            <w:pPr>
              <w:pStyle w:val="null3"/>
            </w:pPr>
            <w:r>
              <w:rPr/>
              <w:t>文明施工及环境保护措施</w:t>
            </w:r>
          </w:p>
        </w:tc>
        <w:tc>
          <w:tcPr>
            <w:tcW w:type="dxa" w:w="2492"/>
          </w:tcPr>
          <w:p>
            <w:pPr>
              <w:pStyle w:val="null3"/>
            </w:pPr>
            <w:r>
              <w:rPr/>
              <w:t>（1）文明施工及环境保护措施描述完整、可操作性强、细节描述详细计：7-10分 ； （2）文明施工及环境保护措施有相对的操作性、细节描述较好计：4-7分； （3）文明施工及环境保护措施内容不足，内容粗陋简略的计：0-4分。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总实施方案</w:t>
            </w:r>
          </w:p>
        </w:tc>
      </w:tr>
      <w:tr>
        <w:tc>
          <w:tcPr>
            <w:tcW w:type="dxa" w:w="831"/>
            <w:vMerge/>
          </w:tcPr>
          <w:p/>
        </w:tc>
        <w:tc>
          <w:tcPr>
            <w:tcW w:type="dxa" w:w="1661"/>
          </w:tcPr>
          <w:p>
            <w:pPr>
              <w:pStyle w:val="null3"/>
            </w:pPr>
            <w:r>
              <w:rPr/>
              <w:t>进度保障措施</w:t>
            </w:r>
          </w:p>
        </w:tc>
        <w:tc>
          <w:tcPr>
            <w:tcW w:type="dxa" w:w="2492"/>
          </w:tcPr>
          <w:p>
            <w:pPr>
              <w:pStyle w:val="null3"/>
            </w:pPr>
            <w:r>
              <w:rPr/>
              <w:t>（1）进度保障措施描述完整、可操作性强、细节描述详细的计：7-10分； （2）进度保障措施有相对的操作性、细节描述较好计：4-7分； （3）进度保障措施内容不足，内容粗陋简略的计：0-4分。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总实施方案</w:t>
            </w:r>
          </w:p>
        </w:tc>
      </w:tr>
      <w:tr>
        <w:tc>
          <w:tcPr>
            <w:tcW w:type="dxa" w:w="831"/>
            <w:vMerge/>
          </w:tcPr>
          <w:p/>
        </w:tc>
        <w:tc>
          <w:tcPr>
            <w:tcW w:type="dxa" w:w="1661"/>
          </w:tcPr>
          <w:p>
            <w:pPr>
              <w:pStyle w:val="null3"/>
            </w:pPr>
            <w:r>
              <w:rPr/>
              <w:t>确保工程质量技术组织实施</w:t>
            </w:r>
          </w:p>
        </w:tc>
        <w:tc>
          <w:tcPr>
            <w:tcW w:type="dxa" w:w="2492"/>
          </w:tcPr>
          <w:p>
            <w:pPr>
              <w:pStyle w:val="null3"/>
            </w:pPr>
            <w:r>
              <w:rPr/>
              <w:t>（1）措施描述完整、可操作性强、细节描述详细计：7-10分； （2）措施有相对的操作性、细节描述较好计：4-7分； （3）内容粗陋简略的计：0-4分。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总实施方案</w:t>
            </w:r>
          </w:p>
        </w:tc>
      </w:tr>
      <w:tr>
        <w:tc>
          <w:tcPr>
            <w:tcW w:type="dxa" w:w="831"/>
            <w:vMerge/>
          </w:tcPr>
          <w:p/>
        </w:tc>
        <w:tc>
          <w:tcPr>
            <w:tcW w:type="dxa" w:w="1661"/>
          </w:tcPr>
          <w:p>
            <w:pPr>
              <w:pStyle w:val="null3"/>
            </w:pPr>
            <w:r>
              <w:rPr/>
              <w:t>机械材料及合理化建议</w:t>
            </w:r>
          </w:p>
        </w:tc>
        <w:tc>
          <w:tcPr>
            <w:tcW w:type="dxa" w:w="2492"/>
          </w:tcPr>
          <w:p>
            <w:pPr>
              <w:pStyle w:val="null3"/>
            </w:pPr>
            <w:r>
              <w:rPr/>
              <w:t>施工机械配备和材料投入计划，根据供应商所提供计划优劣进行赋分（0-4分）； 供应商针对本项目的合理化建议（0-3分）。 以上评分项，由磋商小组根据各供应商技术方案的完整性、合理性、科学性、可行性、可操作性进行赋分。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总实施方案</w:t>
            </w:r>
          </w:p>
        </w:tc>
      </w:tr>
      <w:tr>
        <w:tc>
          <w:tcPr>
            <w:tcW w:type="dxa" w:w="831"/>
            <w:vMerge/>
          </w:tcPr>
          <w:p/>
        </w:tc>
        <w:tc>
          <w:tcPr>
            <w:tcW w:type="dxa" w:w="1661"/>
          </w:tcPr>
          <w:p>
            <w:pPr>
              <w:pStyle w:val="null3"/>
            </w:pPr>
            <w:r>
              <w:rPr/>
              <w:t>维修服务措施及保修承诺</w:t>
            </w:r>
          </w:p>
        </w:tc>
        <w:tc>
          <w:tcPr>
            <w:tcW w:type="dxa" w:w="2492"/>
          </w:tcPr>
          <w:p>
            <w:pPr>
              <w:pStyle w:val="null3"/>
            </w:pPr>
            <w:r>
              <w:rPr/>
              <w:t>项目完工后的维修服务措施及保修承诺 （1）全面、可行、完善计6-7分； （2）一般可行、较全面计3-6分； （3）简略、不够全面计0-3分。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总实施方案</w:t>
            </w:r>
          </w:p>
        </w:tc>
      </w:tr>
      <w:tr>
        <w:tc>
          <w:tcPr>
            <w:tcW w:type="dxa" w:w="831"/>
            <w:vMerge/>
          </w:tcPr>
          <w:p/>
        </w:tc>
        <w:tc>
          <w:tcPr>
            <w:tcW w:type="dxa" w:w="1661"/>
          </w:tcPr>
          <w:p>
            <w:pPr>
              <w:pStyle w:val="null3"/>
            </w:pPr>
            <w:r>
              <w:rPr/>
              <w:t>业绩</w:t>
            </w:r>
          </w:p>
        </w:tc>
        <w:tc>
          <w:tcPr>
            <w:tcW w:type="dxa" w:w="2492"/>
          </w:tcPr>
          <w:p>
            <w:pPr>
              <w:pStyle w:val="null3"/>
            </w:pPr>
            <w:r>
              <w:rPr/>
              <w:t>供应商提供 2021年1月1日以来类似项目业绩，每提供1个得2分，最高得6分，未提供不计分。 备注：业绩证明材料以合同签订日期为准 (响应文件内附复印件加盖公章，材料清晰可辨) 。</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价格分统一采用低价优先法计算，即满足磋商文件要求且最终报价价格最低的报价为评审基准价，其价格分为满分。其他供应商的价格分统一按照下列公式计算：磋商报价得分=(评审基准价/最终报价)×30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详见附件：总实施方案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详见附件：视频监控系统建设项目-施工合同.docx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