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版本号：241125001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面向大模型的语言和芯片解耦通用编译与智能测试平台采购项目</w:t>
      </w:r>
    </w:p>
    <w:p>
      <w:pPr>
        <w:pStyle w:val="null3"/>
        <w:jc w:val="center"/>
        <w:outlineLvl w:val="2"/>
      </w:pPr>
      <w:r>
        <w:rPr>
          <w:sz w:val="28"/>
          <w:b/>
        </w:rPr>
        <w:t>采购项目编号：</w:t>
      </w:r>
      <w:r>
        <w:rPr>
          <w:sz w:val="28"/>
          <w:b/>
        </w:rPr>
        <w:t>KY2024-3-278</w:t>
      </w:r>
      <w:r>
        <w:br/>
      </w:r>
      <w:r>
        <w:br/>
      </w:r>
      <w:r>
        <w:br/>
      </w:r>
    </w:p>
    <w:p>
      <w:pPr>
        <w:pStyle w:val="null3"/>
        <w:jc w:val="center"/>
        <w:outlineLvl w:val="2"/>
      </w:pPr>
      <w:r>
        <w:rPr>
          <w:sz w:val="28"/>
          <w:b/>
        </w:rPr>
        <w:t>西北大学</w:t>
      </w:r>
    </w:p>
    <w:p>
      <w:pPr>
        <w:pStyle w:val="null3"/>
        <w:jc w:val="center"/>
        <w:outlineLvl w:val="2"/>
      </w:pPr>
      <w:r>
        <w:rPr>
          <w:sz w:val="28"/>
          <w:b/>
        </w:rPr>
        <w:t>陕西开源招标有限公司</w:t>
      </w:r>
      <w:r>
        <w:rPr>
          <w:sz w:val="28"/>
          <w:b/>
        </w:rPr>
        <w:t>共同编制</w:t>
      </w:r>
    </w:p>
    <w:p>
      <w:pPr>
        <w:pStyle w:val="null3"/>
        <w:jc w:val="center"/>
        <w:outlineLvl w:val="2"/>
      </w:pPr>
      <w:r>
        <w:rPr>
          <w:sz w:val="28"/>
          <w:b/>
        </w:rPr>
        <w:t>2024年11月25日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陕西开源招标有限公司</w:t>
      </w:r>
      <w:r>
        <w:rPr/>
        <w:t>（以下简称“代理机构”）受</w:t>
      </w:r>
      <w:r>
        <w:rPr/>
        <w:t>西北大学</w:t>
      </w:r>
      <w:r>
        <w:rPr/>
        <w:t>委托，拟对</w:t>
      </w:r>
      <w:r>
        <w:rPr/>
        <w:t>面向大模型的语言和芯片解耦通用编译与智能测试平台采购项目</w:t>
      </w:r>
      <w:r>
        <w:rPr/>
        <w:t>采用竞争性谈判采购方式进行采购，兹邀请供应商参加本项目的竞争性谈判。</w:t>
      </w:r>
    </w:p>
    <w:p>
      <w:pPr>
        <w:pStyle w:val="null3"/>
        <w:outlineLvl w:val="2"/>
      </w:pPr>
      <w:r>
        <w:rPr>
          <w:sz w:val="28"/>
          <w:b/>
        </w:rPr>
        <w:t>一、项目编号：</w:t>
      </w:r>
      <w:r>
        <w:rPr>
          <w:sz w:val="28"/>
          <w:b/>
        </w:rPr>
        <w:t>KY2024-3-278</w:t>
      </w:r>
    </w:p>
    <w:p>
      <w:pPr>
        <w:pStyle w:val="null3"/>
        <w:outlineLvl w:val="2"/>
      </w:pPr>
      <w:r>
        <w:rPr>
          <w:sz w:val="28"/>
          <w:b/>
        </w:rPr>
        <w:t>二、项目名称：</w:t>
      </w:r>
      <w:r>
        <w:rPr>
          <w:sz w:val="28"/>
          <w:b/>
        </w:rPr>
        <w:t>面向大模型的语言和芯片解耦通用编译与智能测试平台采购项目</w:t>
      </w:r>
    </w:p>
    <w:p>
      <w:pPr>
        <w:pStyle w:val="null3"/>
        <w:outlineLvl w:val="2"/>
      </w:pPr>
      <w:r>
        <w:rPr>
          <w:sz w:val="28"/>
          <w:b/>
        </w:rPr>
        <w:t>三、谈判项目简介：</w:t>
      </w:r>
    </w:p>
    <w:p>
      <w:pPr>
        <w:pStyle w:val="null3"/>
        <w:ind w:firstLine="480"/>
      </w:pPr>
      <w:r>
        <w:rPr/>
        <w:t>西北大学面向大模型的语言和芯片解耦通用编译与智能测试平台采购项目，具体内容详见谈判文件</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提供2024年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t>4、社会保障资金缴纳证明：提供2024年1月至今已缴存的至少一个月的社会保障资金缴存单据或社保机构开具的社会保险参保缴费情况证明，依法不需要缴纳社会保障资金的单位应提供相关证明材料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t>6、承诺函：提供具有履行合同所必需的设备和专业技术能力的承诺函</w:t>
      </w:r>
    </w:p>
    <w:p>
      <w:pPr>
        <w:pStyle w:val="null3"/>
      </w:pPr>
      <w:r>
        <w:rPr/>
        <w:t>7、控股管理关系：提供直接控股和管理关系清单。若与其他供应商存在单位负责人为同一人或者存在直接控股、管理关系的，则投标无效</w:t>
      </w:r>
    </w:p>
    <w:p>
      <w:pPr>
        <w:pStyle w:val="null3"/>
      </w:pPr>
      <w:r>
        <w:rPr/>
        <w:t>8、法定代表人授权书及被授权人身份证：法定代表人授权书及被授权人身份证。（法定代表人直接参与只须提交其身份证明书，被授权人参与需提供供应商为其缴纳的本年度任意一个月社保缴纳证明）</w:t>
      </w:r>
    </w:p>
    <w:p>
      <w:pPr>
        <w:pStyle w:val="null3"/>
      </w:pPr>
      <w:r>
        <w:rPr/>
        <w:t>采购包2：</w:t>
      </w:r>
    </w:p>
    <w:p>
      <w:pPr>
        <w:pStyle w:val="null3"/>
      </w:pPr>
      <w:r>
        <w:rPr/>
        <w:t>1、营业执照：具有独立承担民事责任能力的法人、其他组织或自然人，并出具合法有效的营业执照或事业单位法人证书等国家规定的相关证明，自然人参与的提供其身份证明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t>3、税收缴纳证明：提供2024年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t>4、社会保障资金缴纳证明：提供2024年1月至今已缴存的至少一个月的社会保障资金缴存单据或社保机构开具的社会保险参保缴费情况证明，依法不需要缴纳社会保障资金的单位应提供相关证明材料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t>6、承诺函：提供具有履行合同所必需的设备和专业技术能力的承诺函</w:t>
      </w:r>
    </w:p>
    <w:p>
      <w:pPr>
        <w:pStyle w:val="null3"/>
      </w:pPr>
      <w:r>
        <w:rPr/>
        <w:t>7、控股管理关系：提供直接控股和管理关系清单。若与其他供应商存在单位负责人为同一人或者存在直接控股、管理关系的，则投标无效</w:t>
      </w:r>
    </w:p>
    <w:p>
      <w:pPr>
        <w:pStyle w:val="null3"/>
      </w:pPr>
      <w:r>
        <w:rPr/>
        <w:t>8、法定代表人授权书及被授权人身份证：法定代表人授权书及被授权人身份证。（法定代表人直接参与只须提交其身份证明书，被授权人参与需提供供应商为其缴纳的本年度任意一个月社保缴纳证明）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西安市长安区郭杜教育科技产业区学府大道1号</w:t>
      </w:r>
    </w:p>
    <w:p>
      <w:pPr>
        <w:pStyle w:val="null3"/>
      </w:pPr>
      <w:r>
        <w:rPr/>
        <w:t xml:space="preserve"> 邮编： </w:t>
      </w:r>
      <w:r>
        <w:rPr/>
        <w:t>710121</w:t>
      </w:r>
    </w:p>
    <w:p>
      <w:pPr>
        <w:pStyle w:val="null3"/>
      </w:pPr>
      <w:r>
        <w:rPr/>
        <w:t xml:space="preserve"> 联系人： </w:t>
      </w:r>
      <w:r>
        <w:rPr/>
        <w:t>张老师</w:t>
      </w:r>
    </w:p>
    <w:p>
      <w:pPr>
        <w:pStyle w:val="null3"/>
      </w:pPr>
      <w:r>
        <w:rPr/>
        <w:t xml:space="preserve"> 联系电话： </w:t>
      </w:r>
      <w:r>
        <w:rPr/>
        <w:t>029-88302974</w:t>
      </w:r>
    </w:p>
    <w:p>
      <w:pPr>
        <w:pStyle w:val="null3"/>
        <w:outlineLvl w:val="3"/>
      </w:pPr>
      <w:r>
        <w:rPr>
          <w:sz w:val="24"/>
          <w:b/>
        </w:rPr>
        <w:t>代理机构：</w:t>
      </w:r>
      <w:r>
        <w:rPr>
          <w:sz w:val="24"/>
          <w:b/>
        </w:rPr>
        <w:t>陕西开源招标有限公司</w:t>
      </w:r>
    </w:p>
    <w:p>
      <w:pPr>
        <w:pStyle w:val="null3"/>
      </w:pPr>
      <w:r>
        <w:rPr/>
        <w:t xml:space="preserve"> 地址： </w:t>
      </w:r>
      <w:r>
        <w:rPr/>
        <w:t>西安市雁展路1111号莱安中心T6-15层</w:t>
      </w:r>
    </w:p>
    <w:p>
      <w:pPr>
        <w:pStyle w:val="null3"/>
      </w:pPr>
      <w:r>
        <w:rPr/>
        <w:t xml:space="preserve"> 邮编： </w:t>
      </w:r>
      <w:r>
        <w:rPr/>
        <w:t>710000</w:t>
      </w:r>
    </w:p>
    <w:p>
      <w:pPr>
        <w:pStyle w:val="null3"/>
      </w:pPr>
      <w:r>
        <w:rPr/>
        <w:t xml:space="preserve"> 联系人： </w:t>
      </w:r>
      <w:r>
        <w:rPr/>
        <w:t>徐闫靖双、李瑞洁、戈迪</w:t>
      </w:r>
    </w:p>
    <w:p>
      <w:pPr>
        <w:pStyle w:val="null3"/>
      </w:pPr>
      <w:r>
        <w:rPr/>
        <w:t xml:space="preserve"> 联系电话： </w:t>
      </w:r>
      <w:r>
        <w:rPr/>
        <w:t>029-81206622/81206633-841</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采购包1：693,500.00元</w:t>
            </w:r>
          </w:p>
          <w:p>
            <w:pPr>
              <w:pStyle w:val="null3"/>
            </w:pPr>
            <w:r>
              <w:rPr/>
              <w:t>采购包2：474,500.00元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采购包1保证金金额：12,000.00元</w:t>
            </w:r>
          </w:p>
          <w:p>
            <w:pPr>
              <w:pStyle w:val="null3"/>
            </w:pPr>
            <w:r>
              <w:rPr/>
              <w:t>采购包2保证金金额：8,000.00元</w:t>
            </w:r>
          </w:p>
          <w:p>
            <w:pPr>
              <w:pStyle w:val="null3"/>
            </w:pPr>
            <w:r>
              <w:rPr/>
              <w:t>缴交渠道：电子保函,转账、支票、汇票等（需通过实体账户、户名及开户行信息）</w:t>
            </w:r>
          </w:p>
          <w:p>
            <w:pPr>
              <w:pStyle w:val="null3"/>
            </w:pPr>
            <w:r>
              <w:rPr/>
              <w:t>开户名称：陕西开源招标有限公司</w:t>
            </w:r>
          </w:p>
          <w:p>
            <w:pPr>
              <w:pStyle w:val="null3"/>
            </w:pPr>
            <w:r>
              <w:rPr/>
              <w:t>开户银行：交通银行西安甜水井街支行</w:t>
            </w:r>
          </w:p>
          <w:p>
            <w:pPr>
              <w:pStyle w:val="null3"/>
            </w:pPr>
            <w:r>
              <w:rPr/>
              <w:t>银行账号：86113010750181501003796</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说明：投标人中标后（无论整体或部分中标），投标人须向学校交纳合同履约保证金，合同履约保证金数量为中标金额的5%。 转账账号：西北大学 611301015018001145006 交通银行太白路支行转账金额到账后，可持银行回执到西北大学采购与招标办公室换取收据。 待合同执行完毕、设备验收合格后凭验收单和缴款收据，合同履约保证金予以退还。如遇下列情况之一者，合同履约保证金不予退还，作为对采购人的赔偿：（1）合同签订后不能按合同时限要求供货或安装调试的；（2）所供设备与合同不符或验收不合格的；（3）不能按合同履约的。</w:t>
            </w:r>
          </w:p>
          <w:p>
            <w:pPr>
              <w:pStyle w:val="null3"/>
            </w:pPr>
            <w:r>
              <w:rPr/>
              <w:t>采购包2：缴纳</w:t>
            </w:r>
          </w:p>
          <w:p>
            <w:pPr>
              <w:pStyle w:val="null3"/>
            </w:pPr>
            <w:r>
              <w:rPr/>
              <w:t>本采购包履约保证金为合同金额的5.0%</w:t>
            </w:r>
          </w:p>
          <w:p>
            <w:pPr>
              <w:pStyle w:val="null3"/>
            </w:pPr>
            <w:r>
              <w:rPr/>
              <w:t>说明：投标人中标后（无论整体或部分中标），投标人须向学校交纳合同履约保证金，合同履约保证金数量为中标金额的5%。 转账账号：西北大学 611301015018001145006 交通银行太白路支行转账金额到账后，可持银行回执到西北大学采购与招标办公室换取收据。 待合同执行完毕、设备验收合格后凭验收单和缴款收据，合同履约保证金予以退还。如遇下列情况之一者，合同履约保证金不予退还，作为对采购人的赔偿：（1）合同签订后不能按合同时限要求供货或安装调试的；（2）所供设备与合同不符或验收不合格的；（3）不能按合同履约的。</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代理服务费收费标准：1、成交服务费按约定由成交供应商支付。 2、成交供应商应依据成交金额向采购代理机构交纳成交服务费，交费金额参照国家计委颁布的《招标代理服务收费管理暂行办法》（计价格[2002]1980号）及发改办价格[2003]857号文件的规定标准下浮20%收取。 3、本项目代理服务费按货物计取。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陕西开源招标有限公司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陕西开源招标有限公司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陕西开源招标有限公司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根据谈判文件要求及合同约定履行</w:t>
      </w:r>
    </w:p>
    <w:p>
      <w:pPr>
        <w:pStyle w:val="null3"/>
      </w:pPr>
      <w:r>
        <w:rPr/>
        <w:t>采购包2：</w:t>
      </w:r>
    </w:p>
    <w:p>
      <w:pPr>
        <w:pStyle w:val="null3"/>
      </w:pPr>
      <w:r>
        <w:rPr/>
        <w:t>根据谈判文件要求及合同约定履行</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联系人：徐闫靖双、李瑞洁、戈迪</w:t>
      </w:r>
    </w:p>
    <w:p>
      <w:pPr>
        <w:pStyle w:val="null3"/>
      </w:pPr>
      <w:r>
        <w:rPr/>
        <w:t>联系电话：029-81206622/81206633-841</w:t>
      </w:r>
    </w:p>
    <w:p>
      <w:pPr>
        <w:pStyle w:val="null3"/>
      </w:pPr>
      <w:r>
        <w:rPr/>
        <w:t>地址：西安市雁展路1111号莱安中心T6-15层</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西北大学面向大模型的语言和芯片解耦通用编译与智能测试平台采购项目，具体内容详见谈判文件</w:t>
      </w:r>
    </w:p>
    <w:p>
      <w:pPr>
        <w:pStyle w:val="null3"/>
        <w:outlineLvl w:val="2"/>
      </w:pPr>
      <w:r>
        <w:rPr>
          <w:sz w:val="28"/>
          <w:b/>
        </w:rPr>
        <w:t>3.2采购内容</w:t>
      </w:r>
    </w:p>
    <w:p>
      <w:pPr>
        <w:pStyle w:val="null3"/>
      </w:pPr>
      <w:r>
        <w:rPr/>
        <w:t>采购包1：</w:t>
      </w:r>
    </w:p>
    <w:p>
      <w:pPr>
        <w:pStyle w:val="null3"/>
      </w:pPr>
      <w:r>
        <w:rPr/>
        <w:t>采购包预算金额（元）: 693,500.00</w:t>
      </w:r>
    </w:p>
    <w:p>
      <w:pPr>
        <w:pStyle w:val="null3"/>
      </w:pPr>
      <w:r>
        <w:rPr/>
        <w:t>采购包最高限价（元）: 693,500.00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面向大模型的基础编译软件构建与测试平台</w:t>
            </w:r>
          </w:p>
        </w:tc>
        <w:tc>
          <w:tcPr>
            <w:tcW w:type="dxa" w:w="831"/>
          </w:tcPr>
          <w:p>
            <w:pPr>
              <w:pStyle w:val="null3"/>
              <w:jc w:val="right"/>
            </w:pPr>
            <w:r>
              <w:rPr/>
              <w:t>1.00</w:t>
            </w:r>
          </w:p>
        </w:tc>
        <w:tc>
          <w:tcPr>
            <w:tcW w:type="dxa" w:w="831"/>
          </w:tcPr>
          <w:p>
            <w:pPr>
              <w:pStyle w:val="null3"/>
              <w:jc w:val="right"/>
            </w:pPr>
            <w:r>
              <w:rPr/>
              <w:t>693,500.00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474,500.00</w:t>
      </w:r>
    </w:p>
    <w:p>
      <w:pPr>
        <w:pStyle w:val="null3"/>
      </w:pPr>
      <w:r>
        <w:rPr/>
        <w:t>采购包最高限价（元）: 474,500.00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语言和芯片解耦通用编译平台</w:t>
            </w:r>
          </w:p>
        </w:tc>
        <w:tc>
          <w:tcPr>
            <w:tcW w:type="dxa" w:w="831"/>
          </w:tcPr>
          <w:p>
            <w:pPr>
              <w:pStyle w:val="null3"/>
              <w:jc w:val="right"/>
            </w:pPr>
            <w:r>
              <w:rPr/>
              <w:t>1.00</w:t>
            </w:r>
          </w:p>
        </w:tc>
        <w:tc>
          <w:tcPr>
            <w:tcW w:type="dxa" w:w="831"/>
          </w:tcPr>
          <w:p>
            <w:pPr>
              <w:pStyle w:val="null3"/>
              <w:jc w:val="right"/>
            </w:pPr>
            <w:r>
              <w:rPr/>
              <w:t>474,500.00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标的名称：面向大模型的基础编译软件构建与测试平台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quot;times new roman&quot;" w:hAnsi="&quot;times new roman&quot;" w:cs="&quot;times new roman&quot;" w:eastAsia="&quot;times new roman&quot;"/>
                <w:sz w:val="21"/>
              </w:rPr>
              <w:t>一、平台主节点技术参数要求</w:t>
            </w:r>
          </w:p>
          <w:p>
            <w:pPr>
              <w:pStyle w:val="null3"/>
            </w:pPr>
            <w:r>
              <w:rPr>
                <w:rFonts w:ascii="&quot;times new roman&quot;" w:hAnsi="&quot;times new roman&quot;" w:cs="&quot;times new roman&quot;" w:eastAsia="&quot;times new roman&quot;"/>
                <w:sz w:val="21"/>
              </w:rPr>
              <w:t>1.处理器：总核心数≥256，线程数≥512，基准频率≥2.25GHz，L3 高速缓存≥250MB，热设计功耗(TDP)320-400W。</w:t>
            </w:r>
          </w:p>
          <w:p>
            <w:pPr>
              <w:pStyle w:val="null3"/>
            </w:pPr>
            <w:r>
              <w:rPr>
                <w:rFonts w:ascii="&quot;times new roman&quot;" w:hAnsi="&quot;times new roman&quot;" w:cs="&quot;times new roman&quot;" w:eastAsia="&quot;times new roman&quot;"/>
                <w:sz w:val="21"/>
              </w:rPr>
              <w:t>2.内存：容量≥1535GB，主频≥4800MHz，内存插口为DDR5，具有错误检查和纠正技术（ECC）。</w:t>
            </w:r>
          </w:p>
          <w:p>
            <w:pPr>
              <w:pStyle w:val="null3"/>
            </w:pPr>
            <w:r>
              <w:rPr>
                <w:rFonts w:ascii="&quot;times new roman&quot;" w:hAnsi="&quot;times new roman&quot;" w:cs="&quot;times new roman&quot;" w:eastAsia="&quot;times new roman&quot;"/>
                <w:sz w:val="21"/>
              </w:rPr>
              <w:t>3.硬盘：SSD存储空间≥960GB（单块≤480G），SSD盘为企业级，HDD存储空间≥50TB，HDD单盘转速≥7200，HDD硬盘单盘缓存容量≥512MB，可最大支持≥16块NVMe SSD硬盘或E3.S，提供相关证明材料（不限于官网截图、产品彩页、技术白皮书等）。</w:t>
            </w:r>
          </w:p>
          <w:p>
            <w:pPr>
              <w:pStyle w:val="null3"/>
            </w:pPr>
            <w:r>
              <w:rPr>
                <w:rFonts w:ascii="&quot;times new roman&quot;" w:hAnsi="&quot;times new roman&quot;" w:cs="&quot;times new roman&quot;" w:eastAsia="&quot;times new roman&quot;"/>
                <w:sz w:val="21"/>
              </w:rPr>
              <w:t>4.RAID：配置独立8通道2GB缓存高性能SAS RAID卡，支持RAID0/1/5/6/10/50等。</w:t>
            </w:r>
          </w:p>
          <w:p>
            <w:pPr>
              <w:pStyle w:val="null3"/>
            </w:pPr>
            <w:r>
              <w:rPr>
                <w:rFonts w:ascii="&quot;times new roman&quot;" w:hAnsi="&quot;times new roman&quot;" w:cs="&quot;times new roman&quot;" w:eastAsia="&quot;times new roman&quot;"/>
                <w:sz w:val="21"/>
              </w:rPr>
              <w:t>5.网络：千兆网口≥4个，100Gb接口≥1个（含线缆），1个独立管理千兆网口。</w:t>
            </w:r>
          </w:p>
          <w:p>
            <w:pPr>
              <w:pStyle w:val="null3"/>
            </w:pPr>
            <w:r>
              <w:rPr>
                <w:rFonts w:ascii="&quot;times new roman&quot;" w:hAnsi="&quot;times new roman&quot;" w:cs="&quot;times new roman&quot;" w:eastAsia="&quot;times new roman&quot;"/>
                <w:sz w:val="21"/>
              </w:rPr>
              <w:t>6.加速卡：显存容量≥380GB，FP32浮点运算≥476TFLOPs，TF32浮点运算≥476 TFLOPs；支持卡间互联技术。</w:t>
            </w:r>
          </w:p>
          <w:p>
            <w:pPr>
              <w:pStyle w:val="null3"/>
            </w:pPr>
            <w:r>
              <w:rPr>
                <w:rFonts w:ascii="&quot;times new roman&quot;" w:hAnsi="&quot;times new roman&quot;" w:cs="&quot;times new roman&quot;" w:eastAsia="&quot;times new roman&quot;"/>
                <w:sz w:val="21"/>
              </w:rPr>
              <w:t>7.性能监控：配置设备性能监控 ，包括CPU 利用率、CPU温度、内存使用率；TCP重传率及套接字个数；UDP连接数；硬盘读写次数及读写时速率；出入风口温度；分区使用率及分区未使用量；网络发送速率、接收速率等，运行时长、系统进程数等。</w:t>
            </w:r>
          </w:p>
          <w:p>
            <w:pPr>
              <w:pStyle w:val="null3"/>
            </w:pPr>
            <w:r>
              <w:rPr>
                <w:rFonts w:ascii="&quot;times new roman&quot;" w:hAnsi="&quot;times new roman&quot;" w:cs="&quot;times new roman&quot;" w:eastAsia="&quot;times new roman&quot;"/>
                <w:sz w:val="21"/>
              </w:rPr>
              <w:t>8.可靠性设计：支持固件升级失败后自动回退，保证设备正常运行。</w:t>
            </w:r>
          </w:p>
          <w:p>
            <w:pPr>
              <w:pStyle w:val="null3"/>
            </w:pPr>
            <w:r>
              <w:rPr>
                <w:rFonts w:ascii="&quot;times new roman&quot;" w:hAnsi="&quot;times new roman&quot;" w:cs="&quot;times new roman&quot;" w:eastAsia="&quot;times new roman&quot;"/>
                <w:sz w:val="21"/>
              </w:rPr>
              <w:t>9.电源及其他：2+2冗余热插拔电源，机架安装导轨及电源线。</w:t>
            </w:r>
          </w:p>
          <w:p>
            <w:pPr>
              <w:pStyle w:val="null3"/>
            </w:pPr>
            <w:r>
              <w:rPr>
                <w:rFonts w:ascii="&quot;times new roman&quot;" w:hAnsi="&quot;times new roman&quot;" w:cs="&quot;times new roman&quot;" w:eastAsia="&quot;times new roman&quot;"/>
                <w:sz w:val="21"/>
              </w:rPr>
              <w:t>10.质量认证：通过国家CCC检测认证、管理体系ISO27701、ISO38505认证，并提供证书复印件。</w:t>
            </w:r>
          </w:p>
          <w:p>
            <w:pPr>
              <w:pStyle w:val="null3"/>
            </w:pPr>
            <w:r>
              <w:rPr>
                <w:rFonts w:ascii="&quot;times new roman&quot;" w:hAnsi="&quot;times new roman&quot;" w:cs="&quot;times new roman&quot;" w:eastAsia="&quot;times new roman&quot;"/>
                <w:sz w:val="21"/>
              </w:rPr>
              <w:t>11.安全认证：设备监控管理固件通过评估保障级（EAL4级）认证，提供证书复印件。</w:t>
            </w:r>
          </w:p>
        </w:tc>
      </w:tr>
      <w:tr>
        <w:tc>
          <w:tcPr>
            <w:tcW w:type="dxa" w:w="2769"/>
          </w:tcPr>
          <w:p/>
        </w:tc>
        <w:tc>
          <w:tcPr>
            <w:tcW w:type="dxa" w:w="2769"/>
          </w:tcPr>
          <w:p>
            <w:pPr>
              <w:pStyle w:val="null3"/>
            </w:pPr>
            <w:r>
              <w:rPr/>
              <w:t>2</w:t>
            </w:r>
          </w:p>
        </w:tc>
        <w:tc>
          <w:tcPr>
            <w:tcW w:type="dxa" w:w="2769"/>
          </w:tcPr>
          <w:p>
            <w:pPr>
              <w:pStyle w:val="null3"/>
            </w:pPr>
            <w:r>
              <w:rPr>
                <w:rFonts w:ascii="calibri" w:hAnsi="calibri" w:cs="calibri" w:eastAsia="calibri"/>
                <w:sz w:val="21"/>
              </w:rPr>
              <w:t>二、平台副节点技术参数要求</w:t>
            </w:r>
          </w:p>
          <w:p>
            <w:pPr>
              <w:pStyle w:val="null3"/>
            </w:pPr>
            <w:r>
              <w:rPr>
                <w:rFonts w:ascii="calibri" w:hAnsi="calibri" w:cs="calibri" w:eastAsia="calibri"/>
                <w:sz w:val="21"/>
              </w:rPr>
              <w:t>1.处理器：总核心数≥256，线程数≥512，基准频率≥2.25GHz，L3 高速缓存≥250MB，热设计功耗(TDP)320-400W。</w:t>
            </w:r>
          </w:p>
          <w:p>
            <w:pPr>
              <w:pStyle w:val="null3"/>
            </w:pPr>
            <w:r>
              <w:rPr>
                <w:rFonts w:ascii="calibri" w:hAnsi="calibri" w:cs="calibri" w:eastAsia="calibri"/>
                <w:sz w:val="21"/>
              </w:rPr>
              <w:t>2.内存：容量≥1535GB，主频≥4800MHz，内存插口为DDR5，具有错误检查和纠正技术（ECC）。</w:t>
            </w:r>
          </w:p>
          <w:p>
            <w:pPr>
              <w:pStyle w:val="null3"/>
            </w:pPr>
            <w:r>
              <w:rPr>
                <w:rFonts w:ascii="calibri" w:hAnsi="calibri" w:cs="calibri" w:eastAsia="calibri"/>
                <w:sz w:val="21"/>
              </w:rPr>
              <w:t>3.硬盘：SSD存储空间≥960GB（单块≤480G），SSD盘为企业级，HDD存储空间≥50TB，HDD单盘转速≥7200，HDD硬盘单盘缓存容量≥512MB，可最大支持≥16块NVMe SSD硬盘或E3.S；提供相关证明材料。</w:t>
            </w:r>
          </w:p>
          <w:p>
            <w:pPr>
              <w:pStyle w:val="null3"/>
            </w:pPr>
            <w:r>
              <w:rPr>
                <w:rFonts w:ascii="calibri" w:hAnsi="calibri" w:cs="calibri" w:eastAsia="calibri"/>
                <w:sz w:val="21"/>
              </w:rPr>
              <w:t>4.RAID：配置独立8通道2GB缓存高性能SAS RAID卡，支持RAID0/1/5/6/10/50等。</w:t>
            </w:r>
          </w:p>
          <w:p>
            <w:pPr>
              <w:pStyle w:val="null3"/>
            </w:pPr>
            <w:r>
              <w:rPr>
                <w:rFonts w:ascii="calibri" w:hAnsi="calibri" w:cs="calibri" w:eastAsia="calibri"/>
                <w:sz w:val="21"/>
              </w:rPr>
              <w:t>5.网络：千兆网口≥4个，100Gb接口≥1个（含线缆），1个独立管理千兆网口。</w:t>
            </w:r>
          </w:p>
          <w:p>
            <w:pPr>
              <w:pStyle w:val="null3"/>
            </w:pPr>
            <w:r>
              <w:rPr>
                <w:rFonts w:ascii="calibri" w:hAnsi="calibri" w:cs="calibri" w:eastAsia="calibri"/>
                <w:sz w:val="21"/>
              </w:rPr>
              <w:t>6.加速卡：显存容量≥95GB，FP32浮点运算≥119 TFLOPs，TF32浮点运算≥119 TFLOPs。</w:t>
            </w:r>
          </w:p>
          <w:p>
            <w:pPr>
              <w:pStyle w:val="null3"/>
            </w:pPr>
            <w:r>
              <w:rPr>
                <w:rFonts w:ascii="calibri" w:hAnsi="calibri" w:cs="calibri" w:eastAsia="calibri"/>
                <w:sz w:val="21"/>
              </w:rPr>
              <w:t>7.性能监控：配置设备性能监控 ，包括CPU 利用率、CPU温度、内存使用率；TCP重传率及套接字个数；UDP连接数；硬盘读写次数及读写时速率；出入风口温度；分区使用率及分区未使用量；网络发送速率、接收速率等，运行时长、系统进程数等。</w:t>
            </w:r>
          </w:p>
          <w:p>
            <w:pPr>
              <w:pStyle w:val="null3"/>
            </w:pPr>
            <w:r>
              <w:rPr>
                <w:rFonts w:ascii="calibri" w:hAnsi="calibri" w:cs="calibri" w:eastAsia="calibri"/>
                <w:sz w:val="21"/>
              </w:rPr>
              <w:t>8.可靠性设计：支持固件升级失败后自动回退，保证设备正常运行。</w:t>
            </w:r>
          </w:p>
          <w:p>
            <w:pPr>
              <w:pStyle w:val="null3"/>
            </w:pPr>
            <w:r>
              <w:rPr>
                <w:rFonts w:ascii="calibri" w:hAnsi="calibri" w:cs="calibri" w:eastAsia="calibri"/>
                <w:sz w:val="21"/>
              </w:rPr>
              <w:t>9.电源及其他：2+2冗余热插拔电源，机架安装导轨及电源线。</w:t>
            </w:r>
          </w:p>
          <w:p>
            <w:pPr>
              <w:pStyle w:val="null3"/>
            </w:pPr>
            <w:r>
              <w:rPr>
                <w:rFonts w:ascii="calibri" w:hAnsi="calibri" w:cs="calibri" w:eastAsia="calibri"/>
                <w:sz w:val="21"/>
              </w:rPr>
              <w:t>10.质量认证：通过国家CCC检测认证、管理体系ISO27701、ISO38505认证，提供证书复印件。</w:t>
            </w:r>
          </w:p>
          <w:p>
            <w:pPr>
              <w:pStyle w:val="null3"/>
            </w:pPr>
            <w:r>
              <w:rPr>
                <w:rFonts w:ascii="calibri" w:hAnsi="calibri" w:cs="calibri" w:eastAsia="calibri"/>
                <w:sz w:val="21"/>
              </w:rPr>
              <w:t>11.安全认证：设备监控管理固件通过评估保障级（EAL4级）认证，提供证书复印件。</w:t>
            </w:r>
          </w:p>
        </w:tc>
      </w:tr>
      <w:tr>
        <w:tc>
          <w:tcPr>
            <w:tcW w:type="dxa" w:w="2769"/>
          </w:tcPr>
          <w:p/>
        </w:tc>
        <w:tc>
          <w:tcPr>
            <w:tcW w:type="dxa" w:w="2769"/>
          </w:tcPr>
          <w:p>
            <w:pPr>
              <w:pStyle w:val="null3"/>
            </w:pPr>
            <w:r>
              <w:rPr/>
              <w:t>3</w:t>
            </w:r>
          </w:p>
        </w:tc>
        <w:tc>
          <w:tcPr>
            <w:tcW w:type="dxa" w:w="2769"/>
          </w:tcPr>
          <w:p>
            <w:pPr>
              <w:pStyle w:val="null3"/>
            </w:pPr>
            <w:r>
              <w:rPr>
                <w:rFonts w:ascii="calibri" w:hAnsi="calibri" w:cs="calibri" w:eastAsia="calibri"/>
                <w:sz w:val="21"/>
              </w:rPr>
              <w:t>三、软件技术参数要求</w:t>
            </w:r>
          </w:p>
          <w:p>
            <w:pPr>
              <w:pStyle w:val="null3"/>
            </w:pPr>
            <w:r>
              <w:rPr>
                <w:rFonts w:ascii="calibri" w:hAnsi="calibri" w:cs="calibri" w:eastAsia="calibri"/>
                <w:sz w:val="21"/>
              </w:rPr>
              <w:t>1. 提供成熟的商用平台管理软件，软件内容包括但不限于数据管理；模型开发、训练、微调；推理服务接入、编排、部署和管理；多镜像和容器管理；监控和管理等功能，支持对不同用户的资源划分需求。</w:t>
            </w:r>
          </w:p>
          <w:p>
            <w:pPr>
              <w:pStyle w:val="null3"/>
            </w:pPr>
            <w:r>
              <w:rPr>
                <w:rFonts w:ascii="calibri" w:hAnsi="calibri" w:cs="calibri" w:eastAsia="calibri"/>
                <w:sz w:val="21"/>
              </w:rPr>
              <w:t>2. 商用平台管理软件提供开源环境和数据下载能力。支持http(s)、ftp/sftp、git clone的下载方式。</w:t>
            </w:r>
          </w:p>
          <w:p>
            <w:pPr>
              <w:pStyle w:val="null3"/>
            </w:pPr>
            <w:r>
              <w:rPr>
                <w:rFonts w:ascii="calibri" w:hAnsi="calibri" w:cs="calibri" w:eastAsia="calibri"/>
                <w:sz w:val="21"/>
              </w:rPr>
              <w:t>3. 交互式开发：不同算力配置下的环境创建；支持开发环境的端口开放。</w:t>
            </w:r>
          </w:p>
          <w:p>
            <w:pPr>
              <w:pStyle w:val="null3"/>
            </w:pPr>
            <w:r>
              <w:rPr>
                <w:rFonts w:ascii="calibri" w:hAnsi="calibri" w:cs="calibri" w:eastAsia="calibri"/>
                <w:sz w:val="21"/>
              </w:rPr>
              <w:t>4. 支持基于WEB页面等可视化界面的资源组管理方式，支持一种可视化资源管理方式即可。资源组支持设置资源的共享、专享策略；支持设置单个任务的CPU核心数、内存大小、加速卡数上下限；支持针对超时使用的策略设置（包括但不限于基于任务类型限定超时时间、通知次数以及是否自动中止）。</w:t>
            </w:r>
          </w:p>
          <w:p>
            <w:pPr>
              <w:pStyle w:val="null3"/>
            </w:pPr>
            <w:r>
              <w:rPr>
                <w:rFonts w:ascii="calibri" w:hAnsi="calibri" w:cs="calibri" w:eastAsia="calibri"/>
                <w:sz w:val="21"/>
              </w:rPr>
              <w:t>5. 要求与已有的平台设备进行对接，实现数据互通，统一管理，提供相关证明材料（不限于官网截图、产品彩页、技术白皮书等）。</w:t>
            </w:r>
          </w:p>
          <w:p>
            <w:pPr>
              <w:pStyle w:val="null3"/>
            </w:pPr>
            <w:r>
              <w:rPr>
                <w:rFonts w:ascii="calibri" w:hAnsi="calibri" w:cs="calibri" w:eastAsia="calibri"/>
                <w:sz w:val="21"/>
              </w:rPr>
              <w:t>6. 所有软件与系统提供终身授权。</w:t>
            </w:r>
          </w:p>
          <w:p>
            <w:pPr>
              <w:pStyle w:val="null3"/>
            </w:pPr>
            <w:r>
              <w:rPr>
                <w:rFonts w:ascii="calibri" w:hAnsi="calibri" w:cs="calibri" w:eastAsia="calibri"/>
                <w:sz w:val="21"/>
              </w:rPr>
              <w:t>7. 支持以集群视图、节点视图、加速卡视图查看集群整体运行情况，提供不同层级的监控信息查看，提供GPU、CPU、内存、IB/RoCE网络、存储等关键设施的性能曲线、图表展示；支持DCGM健康检查，支持查看当前节点的GPU物理信息、健康检查选项与开启状态、健康检查结果信息，支持健康检查选项的开启和关闭，支持查看卡的健康信息，包括设备信息、功率限制、温度限制、clocks。提供产品功能界面截图证明。</w:t>
            </w:r>
          </w:p>
        </w:tc>
      </w:tr>
      <w:tr>
        <w:tc>
          <w:tcPr>
            <w:tcW w:type="dxa" w:w="2769"/>
          </w:tcPr>
          <w:p/>
        </w:tc>
        <w:tc>
          <w:tcPr>
            <w:tcW w:type="dxa" w:w="2769"/>
          </w:tcPr>
          <w:p>
            <w:pPr>
              <w:pStyle w:val="null3"/>
            </w:pPr>
            <w:r>
              <w:rPr/>
              <w:t>4</w:t>
            </w:r>
          </w:p>
        </w:tc>
        <w:tc>
          <w:tcPr>
            <w:tcW w:type="dxa" w:w="2769"/>
          </w:tcPr>
          <w:p>
            <w:pPr>
              <w:pStyle w:val="null3"/>
            </w:pPr>
            <w:r>
              <w:rPr>
                <w:rFonts w:ascii="calibri" w:hAnsi="calibri" w:cs="calibri" w:eastAsia="calibri"/>
                <w:sz w:val="21"/>
              </w:rPr>
              <w:t>四、其他功能与售后要求</w:t>
            </w:r>
          </w:p>
          <w:p>
            <w:pPr>
              <w:pStyle w:val="null3"/>
            </w:pPr>
            <w:r>
              <w:rPr>
                <w:rFonts w:ascii="calibri" w:hAnsi="calibri" w:cs="calibri" w:eastAsia="calibri"/>
                <w:sz w:val="21"/>
              </w:rPr>
              <w:t>1.全机单训练任务的情况，满足70B参数的模型训练。</w:t>
            </w:r>
          </w:p>
          <w:p>
            <w:pPr>
              <w:pStyle w:val="null3"/>
            </w:pPr>
            <w:r>
              <w:rPr>
                <w:rFonts w:ascii="calibri" w:hAnsi="calibri" w:cs="calibri" w:eastAsia="calibri"/>
                <w:sz w:val="21"/>
              </w:rPr>
              <w:t>2.支持对不同的用户进行资源的划分。</w:t>
            </w:r>
          </w:p>
          <w:p>
            <w:pPr>
              <w:pStyle w:val="null3"/>
            </w:pPr>
            <w:r>
              <w:rPr>
                <w:rFonts w:ascii="calibri" w:hAnsi="calibri" w:cs="calibri" w:eastAsia="calibri"/>
                <w:sz w:val="21"/>
              </w:rPr>
              <w:t>3.支持对硬件的异常行为进行报警。</w:t>
            </w:r>
          </w:p>
          <w:p>
            <w:pPr>
              <w:pStyle w:val="null3"/>
            </w:pPr>
            <w:r>
              <w:rPr>
                <w:rFonts w:ascii="calibri" w:hAnsi="calibri" w:cs="calibri" w:eastAsia="calibri"/>
                <w:sz w:val="21"/>
              </w:rPr>
              <w:t>4.支持多种镜像和容器的管理。</w:t>
            </w:r>
          </w:p>
          <w:p>
            <w:pPr>
              <w:pStyle w:val="null3"/>
            </w:pPr>
            <w:r>
              <w:rPr>
                <w:rFonts w:ascii="calibri" w:hAnsi="calibri" w:cs="calibri" w:eastAsia="calibri"/>
                <w:sz w:val="21"/>
              </w:rPr>
              <w:t>5.支持系统和软件环境的一键恢复。</w:t>
            </w:r>
          </w:p>
          <w:p>
            <w:pPr>
              <w:pStyle w:val="null3"/>
            </w:pPr>
            <w:r>
              <w:rPr>
                <w:rFonts w:ascii="calibri" w:hAnsi="calibri" w:cs="calibri" w:eastAsia="calibri"/>
                <w:sz w:val="21"/>
              </w:rPr>
              <w:t>6.支持多种指令级架构的虚拟化和程序性能分析工具。</w:t>
            </w:r>
          </w:p>
          <w:p>
            <w:pPr>
              <w:pStyle w:val="null3"/>
            </w:pPr>
            <w:r>
              <w:rPr>
                <w:rFonts w:ascii="calibri" w:hAnsi="calibri" w:cs="calibri" w:eastAsia="calibri"/>
                <w:sz w:val="21"/>
              </w:rPr>
              <w:t>7.支持当系统卡死时能够通过远程管控系统进行重启。</w:t>
            </w:r>
          </w:p>
          <w:p>
            <w:pPr>
              <w:pStyle w:val="null3"/>
            </w:pPr>
            <w:r>
              <w:rPr>
                <w:rFonts w:ascii="calibri" w:hAnsi="calibri" w:cs="calibri" w:eastAsia="calibri"/>
                <w:sz w:val="21"/>
              </w:rPr>
              <w:t>8.支持在编译完成后针对指定硬件设备的任务下发和自动化测试。</w:t>
            </w:r>
          </w:p>
          <w:p>
            <w:pPr>
              <w:pStyle w:val="null3"/>
            </w:pPr>
            <w:r>
              <w:rPr>
                <w:rFonts w:ascii="calibri" w:hAnsi="calibri" w:cs="calibri" w:eastAsia="calibri"/>
                <w:sz w:val="21"/>
              </w:rPr>
              <w:t>9.支持5年软件硬件质保，在年限超过后能够提供7*24小时技术支持，可以通过电话、电子邮件或在线聊天联系技术支持团队，在必要时安排技术人员进行现场支持。</w:t>
            </w:r>
          </w:p>
          <w:p>
            <w:pPr>
              <w:pStyle w:val="null3"/>
            </w:pPr>
            <w:r>
              <w:rPr>
                <w:rFonts w:ascii="calibri" w:hAnsi="calibri" w:cs="calibri" w:eastAsia="calibri"/>
                <w:sz w:val="21"/>
              </w:rPr>
              <w:t>10.故障诊断与修复，提供远程故障诊断，指导客户完成自助修复，如有需要，安排现场维修服务。</w:t>
            </w:r>
          </w:p>
          <w:p>
            <w:pPr>
              <w:pStyle w:val="null3"/>
            </w:pPr>
            <w:r>
              <w:rPr>
                <w:rFonts w:ascii="calibri" w:hAnsi="calibri" w:cs="calibri" w:eastAsia="calibri"/>
                <w:sz w:val="21"/>
              </w:rPr>
              <w:t>11.备件更换服务，提供相应的备件更换服务，以确保系统的正常运行，确保关键部件在72小时内更换完毕。</w:t>
            </w:r>
          </w:p>
          <w:p>
            <w:pPr>
              <w:pStyle w:val="null3"/>
            </w:pPr>
            <w:r>
              <w:rPr>
                <w:rFonts w:ascii="calibri" w:hAnsi="calibri" w:cs="calibri" w:eastAsia="calibri"/>
                <w:sz w:val="21"/>
              </w:rPr>
              <w:t>12.定期软件更新，通知客户有关最新的软件和固件更新，提供详细的更新指南和支持；</w:t>
            </w:r>
          </w:p>
          <w:p>
            <w:pPr>
              <w:pStyle w:val="null3"/>
            </w:pPr>
            <w:r>
              <w:rPr>
                <w:rFonts w:ascii="calibri" w:hAnsi="calibri" w:cs="calibri" w:eastAsia="calibri"/>
                <w:sz w:val="21"/>
              </w:rPr>
              <w:t>13.针对用户提供不少于1次的基础操作培训，包括基本配置、平台环境恢复等，培训可以通过在线课程或现场讲解进行，提供电子版培训资料，供用户进行回顾。</w:t>
            </w:r>
          </w:p>
          <w:p>
            <w:pPr>
              <w:pStyle w:val="null3"/>
            </w:pPr>
            <w:r>
              <w:rPr>
                <w:rFonts w:ascii="calibri" w:hAnsi="calibri" w:cs="calibri" w:eastAsia="calibri"/>
                <w:sz w:val="21"/>
              </w:rPr>
              <w:t>14.针对用户需求，提供不少于1次的平台高级功能使用培训，培训内容涵盖性能优化、安全设置等，提供电子版培训资料，供用户进行回顾。</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标的名称：语言和芯片解耦通用编译平台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quot;times new roman&quot;" w:hAnsi="&quot;times new roman&quot;" w:cs="&quot;times new roman&quot;" w:eastAsia="&quot;times new roman&quot;"/>
                <w:sz w:val="21"/>
              </w:rPr>
              <w:t>一、平台硬件技术参数需求</w:t>
            </w:r>
          </w:p>
          <w:p>
            <w:pPr>
              <w:pStyle w:val="null3"/>
            </w:pPr>
            <w:r>
              <w:rPr>
                <w:rFonts w:ascii="&quot;times new roman&quot;" w:hAnsi="&quot;times new roman&quot;" w:cs="&quot;times new roman&quot;" w:eastAsia="&quot;times new roman&quot;"/>
                <w:sz w:val="21"/>
              </w:rPr>
              <w:t>1.处理器：总核心数≥256，线程数≥512，主频≥2.25GHz。</w:t>
            </w:r>
          </w:p>
          <w:p>
            <w:pPr>
              <w:pStyle w:val="null3"/>
            </w:pPr>
            <w:r>
              <w:rPr>
                <w:rFonts w:ascii="&quot;times new roman&quot;" w:hAnsi="&quot;times new roman&quot;" w:cs="&quot;times new roman&quot;" w:eastAsia="&quot;times new roman&quot;"/>
                <w:sz w:val="21"/>
              </w:rPr>
              <w:t>2.内存：容量≥1536GB，主频≥4800MHz，具有错误检查和纠正技术（ECC）。</w:t>
            </w:r>
          </w:p>
          <w:p>
            <w:pPr>
              <w:pStyle w:val="null3"/>
            </w:pPr>
            <w:r>
              <w:rPr>
                <w:rFonts w:ascii="&quot;times new roman&quot;" w:hAnsi="&quot;times new roman&quot;" w:cs="&quot;times new roman&quot;" w:eastAsia="&quot;times new roman&quot;"/>
                <w:sz w:val="21"/>
              </w:rPr>
              <w:t>3.硬盘：SSD存储空间≥960GB（单块≤480G），SSD盘为企业级，HDD存储空间≥50TB，HDD单盘转速≥7200，HDD硬盘单盘缓存容量≥512MB，可最大支持≥16块NVMe SSD硬盘或E3.S。提供相关证明材料（不限于官网截图、产品彩页、技术白皮书等）。</w:t>
            </w:r>
          </w:p>
          <w:p>
            <w:pPr>
              <w:pStyle w:val="null3"/>
            </w:pPr>
            <w:r>
              <w:rPr>
                <w:rFonts w:ascii="&quot;times new roman&quot;" w:hAnsi="&quot;times new roman&quot;" w:cs="&quot;times new roman&quot;" w:eastAsia="&quot;times new roman&quot;"/>
                <w:sz w:val="21"/>
              </w:rPr>
              <w:t>4.RAID：配置独立8通道2GB缓存高性能SAS RAID卡，支持RAID0/1/5/6/10/50等。</w:t>
            </w:r>
          </w:p>
          <w:p>
            <w:pPr>
              <w:pStyle w:val="null3"/>
            </w:pPr>
            <w:r>
              <w:rPr>
                <w:rFonts w:ascii="&quot;times new roman&quot;" w:hAnsi="&quot;times new roman&quot;" w:cs="&quot;times new roman&quot;" w:eastAsia="&quot;times new roman&quot;"/>
                <w:sz w:val="21"/>
              </w:rPr>
              <w:t>5.网络：千兆网口≥4个，100Gb接口≥1个（含线缆），1个独立管理千兆网口。</w:t>
            </w:r>
          </w:p>
          <w:p>
            <w:pPr>
              <w:pStyle w:val="null3"/>
            </w:pPr>
            <w:r>
              <w:rPr>
                <w:rFonts w:ascii="&quot;times new roman&quot;" w:hAnsi="&quot;times new roman&quot;" w:cs="&quot;times new roman&quot;" w:eastAsia="&quot;times new roman&quot;"/>
                <w:sz w:val="21"/>
              </w:rPr>
              <w:t>6.加速卡：显存容量≥384GB，FP32浮点运算≥476TFLOPs，TF32浮点运算≥476 TFLOPs。</w:t>
            </w:r>
          </w:p>
          <w:p>
            <w:pPr>
              <w:pStyle w:val="null3"/>
            </w:pPr>
            <w:r>
              <w:rPr>
                <w:rFonts w:ascii="&quot;times new roman&quot;" w:hAnsi="&quot;times new roman&quot;" w:cs="&quot;times new roman&quot;" w:eastAsia="&quot;times new roman&quot;"/>
                <w:sz w:val="21"/>
              </w:rPr>
              <w:t>7.性能监控：配置设备性能监控 ，包括CPU 利用率、CPU温度、内存使用率；TCP重传率及套接字个数；UDP连接数；硬盘读写次数及读写时速率；出入风口温度；分区使用率及分区未使用量；网络发送速率、接收速率等，运行时长、系统进程数等。</w:t>
            </w:r>
          </w:p>
          <w:p>
            <w:pPr>
              <w:pStyle w:val="null3"/>
            </w:pPr>
            <w:r>
              <w:rPr>
                <w:rFonts w:ascii="&quot;times new roman&quot;" w:hAnsi="&quot;times new roman&quot;" w:cs="&quot;times new roman&quot;" w:eastAsia="&quot;times new roman&quot;"/>
                <w:sz w:val="21"/>
              </w:rPr>
              <w:t>8.可靠性设计：支持固件升级失败后自动回退，保证设备正常运行。</w:t>
            </w:r>
          </w:p>
          <w:p>
            <w:pPr>
              <w:pStyle w:val="null3"/>
            </w:pPr>
            <w:r>
              <w:rPr>
                <w:rFonts w:ascii="&quot;times new roman&quot;" w:hAnsi="&quot;times new roman&quot;" w:cs="&quot;times new roman&quot;" w:eastAsia="&quot;times new roman&quot;"/>
                <w:sz w:val="21"/>
              </w:rPr>
              <w:t>9.电源及其他：2+2冗余热插拔电源，机架安装导轨及电源线。</w:t>
            </w:r>
          </w:p>
          <w:p>
            <w:pPr>
              <w:pStyle w:val="null3"/>
            </w:pPr>
            <w:r>
              <w:rPr>
                <w:rFonts w:ascii="&quot;times new roman&quot;" w:hAnsi="&quot;times new roman&quot;" w:cs="&quot;times new roman&quot;" w:eastAsia="&quot;times new roman&quot;"/>
                <w:sz w:val="21"/>
              </w:rPr>
              <w:t>10.质量认证：通过国家CCC检测认证、管理体系ISO27701、ISO38505认证，提供证书复印件。</w:t>
            </w:r>
          </w:p>
          <w:p>
            <w:pPr>
              <w:pStyle w:val="null3"/>
            </w:pPr>
            <w:r>
              <w:rPr>
                <w:rFonts w:ascii="&quot;times new roman&quot;" w:hAnsi="&quot;times new roman&quot;" w:cs="&quot;times new roman&quot;" w:eastAsia="&quot;times new roman&quot;"/>
                <w:sz w:val="21"/>
              </w:rPr>
              <w:t>11.安全认证：设备监控管理固件通过评估保障级（EAL4级）认证，提供证书复印件。</w:t>
            </w:r>
          </w:p>
        </w:tc>
      </w:tr>
      <w:tr>
        <w:tc>
          <w:tcPr>
            <w:tcW w:type="dxa" w:w="2769"/>
          </w:tcPr>
          <w:p/>
        </w:tc>
        <w:tc>
          <w:tcPr>
            <w:tcW w:type="dxa" w:w="2769"/>
          </w:tcPr>
          <w:p>
            <w:pPr>
              <w:pStyle w:val="null3"/>
            </w:pPr>
            <w:r>
              <w:rPr/>
              <w:t>2</w:t>
            </w:r>
          </w:p>
        </w:tc>
        <w:tc>
          <w:tcPr>
            <w:tcW w:type="dxa" w:w="2769"/>
          </w:tcPr>
          <w:p>
            <w:pPr>
              <w:pStyle w:val="null3"/>
            </w:pPr>
            <w:r>
              <w:rPr>
                <w:rFonts w:ascii="calibri" w:hAnsi="calibri" w:cs="calibri" w:eastAsia="calibri"/>
                <w:sz w:val="21"/>
              </w:rPr>
              <w:t>二、平台软件技术参数要求</w:t>
            </w:r>
          </w:p>
          <w:p>
            <w:pPr>
              <w:pStyle w:val="null3"/>
            </w:pPr>
            <w:r>
              <w:rPr>
                <w:rFonts w:ascii="calibri" w:hAnsi="calibri" w:cs="calibri" w:eastAsia="calibri"/>
                <w:sz w:val="21"/>
              </w:rPr>
              <w:t>1.提供成熟的商用平台管理软件，软件内容包括但不限于数据管理；模型开发、训练、微调；推理服务接入、编排、部署和管理；多镜像和容器管理；监控和管理等功能，支持对不同用户的资源划分需求。</w:t>
            </w:r>
          </w:p>
          <w:p>
            <w:pPr>
              <w:pStyle w:val="null3"/>
            </w:pPr>
            <w:r>
              <w:rPr>
                <w:rFonts w:ascii="calibri" w:hAnsi="calibri" w:cs="calibri" w:eastAsia="calibri"/>
                <w:sz w:val="21"/>
              </w:rPr>
              <w:t>2.商用平台管理软件提供开源环境和数据下载能力。支持http(s)、ftp/sftp、git clone的下载方式。</w:t>
            </w:r>
          </w:p>
          <w:p>
            <w:pPr>
              <w:pStyle w:val="null3"/>
            </w:pPr>
            <w:r>
              <w:rPr>
                <w:rFonts w:ascii="calibri" w:hAnsi="calibri" w:cs="calibri" w:eastAsia="calibri"/>
                <w:sz w:val="21"/>
              </w:rPr>
              <w:t>3.交互式开发：不同算力配置下的环境创建；支持开发环境的端口开放。</w:t>
            </w:r>
          </w:p>
          <w:p>
            <w:pPr>
              <w:pStyle w:val="null3"/>
            </w:pPr>
            <w:r>
              <w:rPr>
                <w:rFonts w:ascii="calibri" w:hAnsi="calibri" w:cs="calibri" w:eastAsia="calibri"/>
                <w:sz w:val="21"/>
              </w:rPr>
              <w:t>4.支持基于WEB页面等可视化界面的资源组管理方式，支持一种可视化资源管理方式即可。资源组支持设置资源的共享、专享策略；支持设置单个任务的CPU核心数、内存大小、加速卡数上下限；支持针对超时使用的策略设置（包括但不限于基于任务类型限定超时时间、通知次数以及是否自动中止）。</w:t>
            </w:r>
          </w:p>
          <w:p>
            <w:pPr>
              <w:pStyle w:val="null3"/>
            </w:pPr>
            <w:r>
              <w:rPr>
                <w:rFonts w:ascii="calibri" w:hAnsi="calibri" w:cs="calibri" w:eastAsia="calibri"/>
                <w:sz w:val="21"/>
              </w:rPr>
              <w:t>5.要求与已有的平台设备进行对接，实现数据互通，统一管理，提供相关证明材料（不限于官网截图、产品彩页、技术白皮书等）。</w:t>
            </w:r>
          </w:p>
          <w:p>
            <w:pPr>
              <w:pStyle w:val="null3"/>
            </w:pPr>
            <w:r>
              <w:rPr>
                <w:rFonts w:ascii="calibri" w:hAnsi="calibri" w:cs="calibri" w:eastAsia="calibri"/>
                <w:sz w:val="21"/>
              </w:rPr>
              <w:t>6.支持以集群视图、节点视图、加速卡视图查看集群整体运行情况，提供不同层级的监控信息查看，提供GPU、CPU、内存、IB/RoCE网络、存储等关键设施的性能曲线、图表展示；支持DCGM健康检查，支持查看当前节点的GPU物理信息、健康检查选项与开启状态、健康检查结果信息，支持健康检查选项的开启和关闭，支持查看卡的健康信息，包括设备信息、功率限制、温度限制、clocks。提供产品功能界面截图证明。</w:t>
            </w:r>
          </w:p>
          <w:p>
            <w:pPr>
              <w:pStyle w:val="null3"/>
            </w:pPr>
            <w:r>
              <w:rPr>
                <w:rFonts w:ascii="calibri" w:hAnsi="calibri" w:cs="calibri" w:eastAsia="calibri"/>
                <w:sz w:val="21"/>
              </w:rPr>
              <w:t>7.所有软件与系统提供终身授权</w:t>
            </w:r>
          </w:p>
        </w:tc>
      </w:tr>
      <w:tr>
        <w:tc>
          <w:tcPr>
            <w:tcW w:type="dxa" w:w="2769"/>
          </w:tcPr>
          <w:p/>
        </w:tc>
        <w:tc>
          <w:tcPr>
            <w:tcW w:type="dxa" w:w="2769"/>
          </w:tcPr>
          <w:p>
            <w:pPr>
              <w:pStyle w:val="null3"/>
            </w:pPr>
            <w:r>
              <w:rPr/>
              <w:t>3</w:t>
            </w:r>
          </w:p>
        </w:tc>
        <w:tc>
          <w:tcPr>
            <w:tcW w:type="dxa" w:w="2769"/>
          </w:tcPr>
          <w:p>
            <w:pPr>
              <w:pStyle w:val="null3"/>
            </w:pPr>
            <w:r>
              <w:rPr>
                <w:rFonts w:ascii="calibri" w:hAnsi="calibri" w:cs="calibri" w:eastAsia="calibri"/>
                <w:sz w:val="21"/>
              </w:rPr>
              <w:t>三、其他功能与售后要求</w:t>
            </w:r>
          </w:p>
          <w:p>
            <w:pPr>
              <w:pStyle w:val="null3"/>
            </w:pPr>
            <w:r>
              <w:rPr>
                <w:rFonts w:ascii="calibri" w:hAnsi="calibri" w:cs="calibri" w:eastAsia="calibri"/>
                <w:sz w:val="21"/>
              </w:rPr>
              <w:t>1.支持至少20人同时编译大型项目的需求，编译耗时少，能够在1分钟内完成文件数不少于5900的项目编译（以LLVM 17.0.6源代码编译为测试基准）。</w:t>
            </w:r>
          </w:p>
          <w:p>
            <w:pPr>
              <w:pStyle w:val="null3"/>
            </w:pPr>
            <w:r>
              <w:rPr>
                <w:rFonts w:ascii="calibri" w:hAnsi="calibri" w:cs="calibri" w:eastAsia="calibri"/>
                <w:sz w:val="21"/>
              </w:rPr>
              <w:t>2.支持对不同的用户进行资源的划分。</w:t>
            </w:r>
          </w:p>
          <w:p>
            <w:pPr>
              <w:pStyle w:val="null3"/>
            </w:pPr>
            <w:r>
              <w:rPr>
                <w:rFonts w:ascii="calibri" w:hAnsi="calibri" w:cs="calibri" w:eastAsia="calibri"/>
                <w:sz w:val="21"/>
              </w:rPr>
              <w:t>3.支持对硬件的异常行为进行报警。</w:t>
            </w:r>
          </w:p>
          <w:p>
            <w:pPr>
              <w:pStyle w:val="null3"/>
            </w:pPr>
            <w:r>
              <w:rPr>
                <w:rFonts w:ascii="calibri" w:hAnsi="calibri" w:cs="calibri" w:eastAsia="calibri"/>
                <w:sz w:val="21"/>
              </w:rPr>
              <w:t>4.支持多种镜像和容器的管理。</w:t>
            </w:r>
          </w:p>
          <w:p>
            <w:pPr>
              <w:pStyle w:val="null3"/>
            </w:pPr>
            <w:r>
              <w:rPr>
                <w:rFonts w:ascii="calibri" w:hAnsi="calibri" w:cs="calibri" w:eastAsia="calibri"/>
                <w:sz w:val="21"/>
              </w:rPr>
              <w:t>5.支持系统和软件环境的一键恢复。</w:t>
            </w:r>
          </w:p>
          <w:p>
            <w:pPr>
              <w:pStyle w:val="null3"/>
            </w:pPr>
            <w:r>
              <w:rPr>
                <w:rFonts w:ascii="calibri" w:hAnsi="calibri" w:cs="calibri" w:eastAsia="calibri"/>
                <w:sz w:val="21"/>
              </w:rPr>
              <w:t>6.支持多种指令级架构的虚拟化和程序性能分析工具。</w:t>
            </w:r>
          </w:p>
          <w:p>
            <w:pPr>
              <w:pStyle w:val="null3"/>
            </w:pPr>
            <w:r>
              <w:rPr>
                <w:rFonts w:ascii="calibri" w:hAnsi="calibri" w:cs="calibri" w:eastAsia="calibri"/>
                <w:sz w:val="21"/>
              </w:rPr>
              <w:t>7.支持当系统卡死时能够通过远程管控系统进行重启。</w:t>
            </w:r>
          </w:p>
          <w:p>
            <w:pPr>
              <w:pStyle w:val="null3"/>
            </w:pPr>
            <w:r>
              <w:rPr>
                <w:rFonts w:ascii="calibri" w:hAnsi="calibri" w:cs="calibri" w:eastAsia="calibri"/>
                <w:sz w:val="21"/>
              </w:rPr>
              <w:t>8.支持在编译完成后针对指定硬件设备的任务下发和自动化测试。</w:t>
            </w:r>
          </w:p>
          <w:p>
            <w:pPr>
              <w:pStyle w:val="null3"/>
            </w:pPr>
            <w:r>
              <w:rPr>
                <w:rFonts w:ascii="calibri" w:hAnsi="calibri" w:cs="calibri" w:eastAsia="calibri"/>
                <w:sz w:val="21"/>
              </w:rPr>
              <w:t>9.支持5年软件硬件质保，在年限超过后能够提供7*24小时技术支持。可以通过电话、电子邮件或在线聊天联系技术支持团队，在必要时安排技术人员进行现场支持。</w:t>
            </w:r>
          </w:p>
          <w:p>
            <w:pPr>
              <w:pStyle w:val="null3"/>
            </w:pPr>
            <w:r>
              <w:rPr>
                <w:rFonts w:ascii="calibri" w:hAnsi="calibri" w:cs="calibri" w:eastAsia="calibri"/>
                <w:sz w:val="21"/>
              </w:rPr>
              <w:t>10.故障诊断与修复，提供远程故障诊断，指导客户完成自助修复，如有需要，安排现场维修服务。</w:t>
            </w:r>
          </w:p>
          <w:p>
            <w:pPr>
              <w:pStyle w:val="null3"/>
            </w:pPr>
            <w:r>
              <w:rPr>
                <w:rFonts w:ascii="calibri" w:hAnsi="calibri" w:cs="calibri" w:eastAsia="calibri"/>
                <w:sz w:val="21"/>
              </w:rPr>
              <w:t>11.备件更换服务，提供相应的备件更换服务，以确保系统的正常运行，确保关键部件在72小时内更换完毕。</w:t>
            </w:r>
          </w:p>
          <w:p>
            <w:pPr>
              <w:pStyle w:val="null3"/>
            </w:pPr>
            <w:r>
              <w:rPr>
                <w:rFonts w:ascii="calibri" w:hAnsi="calibri" w:cs="calibri" w:eastAsia="calibri"/>
                <w:sz w:val="21"/>
              </w:rPr>
              <w:t>12.定期软件更新，通知客户有关最新的软件和固件更新，提供详细的更新指南和支持。</w:t>
            </w:r>
          </w:p>
          <w:p>
            <w:pPr>
              <w:pStyle w:val="null3"/>
            </w:pPr>
            <w:r>
              <w:rPr>
                <w:rFonts w:ascii="calibri" w:hAnsi="calibri" w:cs="calibri" w:eastAsia="calibri"/>
                <w:sz w:val="21"/>
              </w:rPr>
              <w:t>13.针对用户提供不少于1次的基础操作培训，包括基本配置、平台环境恢复等，培训可以通过在线课程或现场讲解进行。</w:t>
            </w:r>
          </w:p>
          <w:p>
            <w:pPr>
              <w:pStyle w:val="null3"/>
            </w:pPr>
            <w:r>
              <w:rPr>
                <w:rFonts w:ascii="calibri" w:hAnsi="calibri" w:cs="calibri" w:eastAsia="calibri"/>
                <w:sz w:val="21"/>
              </w:rPr>
              <w:t>14.针对用户需求，提供不少于1次的平台高级功能使用培训，培训内容涵盖性能优化、安全设置等；提供电子版培训资料，供用户进行回顾。</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合同签订后30个工作日内供货，10个工作日内安装调试到位并交付使用。 质保期：自验收合格起5年</w:t>
      </w:r>
    </w:p>
    <w:p>
      <w:pPr>
        <w:pStyle w:val="null3"/>
      </w:pPr>
      <w:r>
        <w:rPr/>
        <w:t>采购包2：</w:t>
      </w:r>
    </w:p>
    <w:p>
      <w:pPr>
        <w:pStyle w:val="null3"/>
      </w:pPr>
      <w:r>
        <w:rPr/>
        <w:t>合同签订后30个工作日内供货，10个工作日内安装调试到位并交付使用。 质保期：自验收合格起5年</w:t>
      </w:r>
    </w:p>
    <w:p>
      <w:pPr>
        <w:pStyle w:val="null3"/>
        <w:outlineLvl w:val="3"/>
      </w:pPr>
      <w:r>
        <w:rPr>
          <w:sz w:val="24"/>
          <w:b/>
        </w:rPr>
        <w:t>3.4.2交货地点和方式</w:t>
      </w:r>
    </w:p>
    <w:p>
      <w:pPr>
        <w:pStyle w:val="null3"/>
      </w:pPr>
      <w:r>
        <w:rPr/>
        <w:t>采购包1：</w:t>
      </w:r>
    </w:p>
    <w:p>
      <w:pPr>
        <w:pStyle w:val="null3"/>
      </w:pPr>
      <w:r>
        <w:rPr/>
        <w:t>西北大学信息科学与技术学院。</w:t>
      </w:r>
    </w:p>
    <w:p>
      <w:pPr>
        <w:pStyle w:val="null3"/>
      </w:pPr>
      <w:r>
        <w:rPr/>
        <w:t>采购包2：</w:t>
      </w:r>
    </w:p>
    <w:p>
      <w:pPr>
        <w:pStyle w:val="null3"/>
      </w:pPr>
      <w:r>
        <w:rPr/>
        <w:t>西北大学信息科学与技术学院。</w:t>
      </w:r>
    </w:p>
    <w:p>
      <w:pPr>
        <w:pStyle w:val="null3"/>
        <w:outlineLvl w:val="3"/>
      </w:pPr>
      <w:r>
        <w:rPr>
          <w:sz w:val="24"/>
          <w:b/>
        </w:rPr>
        <w:t>3.4.3支付方式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 xml:space="preserve">合同生效后，乙方开具合同金额等额银行保函，甲方收到银行保函正本后，一次性付清合同货款，待货物到达指定地点、安装调试验收合格后，甲方退还银行保函正本 </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 xml:space="preserve">合同生效后，乙方开具合同金额等额银行保函，甲方收到银行保函正本后，一次性付清合同货款，待货物到达指定地点、安装调试验收合格后，甲方退还银行保函正本 </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 （4）技术文档的全面性考察，甲方（采购单位）组织学生根据乙方提供的技术文档使用各种约定的功能。</w:t>
      </w:r>
    </w:p>
    <w:p>
      <w:pPr>
        <w:pStyle w:val="null3"/>
      </w:pPr>
      <w:r>
        <w:rPr/>
        <w:t>采购包2：</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 （4）技术文档的全面性考察，甲方（采购单位）组织学生根据乙方提供的技术文档使用各种约定的功能。</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按照谈判文件和合同约定执行。</w:t>
      </w:r>
    </w:p>
    <w:p>
      <w:pPr>
        <w:pStyle w:val="null3"/>
      </w:pPr>
      <w:r>
        <w:rPr/>
        <w:t>采购包2：</w:t>
      </w:r>
    </w:p>
    <w:p>
      <w:pPr>
        <w:pStyle w:val="null3"/>
      </w:pPr>
      <w:r>
        <w:rPr/>
        <w:t>按照谈判文件和合同约定执行。</w:t>
      </w:r>
    </w:p>
    <w:p>
      <w:pPr>
        <w:pStyle w:val="null3"/>
        <w:outlineLvl w:val="3"/>
      </w:pPr>
      <w:r>
        <w:rPr>
          <w:sz w:val="24"/>
          <w:b/>
        </w:rPr>
        <w:t>3.4.8违约责任及解决争议的方法</w:t>
      </w:r>
    </w:p>
    <w:p>
      <w:pPr>
        <w:pStyle w:val="null3"/>
      </w:pPr>
      <w:r>
        <w:rPr/>
        <w:t>采购包1：</w:t>
      </w:r>
    </w:p>
    <w:p>
      <w:pPr>
        <w:pStyle w:val="null3"/>
      </w:pPr>
      <w:r>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pPr>
      <w:r>
        <w:rPr/>
        <w:t>采购包2：</w:t>
      </w:r>
    </w:p>
    <w:p>
      <w:pPr>
        <w:pStyle w:val="null3"/>
      </w:pPr>
      <w:r>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sz w:val="24"/>
          <w:b/>
        </w:rPr>
        <w:t>3.5其他要求</w:t>
      </w:r>
    </w:p>
    <w:p>
      <w:pPr>
        <w:pStyle w:val="null3"/>
      </w:pPr>
      <w:r>
        <w:rPr/>
        <w:t>采购包1：</w:t>
      </w:r>
    </w:p>
    <w:p>
      <w:pPr>
        <w:pStyle w:val="null3"/>
      </w:pPr>
      <w:r>
        <w:rPr/>
        <w:t>1、为顺利推进政府采购电子化交易平台应用工作，供应商需要在线提交所有通过电子化交易平台实施的政府采购项目的响应文件，同时，线下提交纸质响应文件正本壹份、副本贰份。 2、纸质响应文件正、副本分别胶装，标明供应商名称密封递交，递交截止时间同在线递交响应电子文件截止时间一致，递交地址：西安市雁展路1111号莱安中心T6-15层。（纸质投标文件可邮寄（顺丰邮寄），邮件签收时间应在递交电子响应文件截止时间之前，邮寄地址：西安市雁展路1111号莱安中心T6-15层，联系人：徐闫靖双，联系电话：029-81206622/81206633-841）。 3、若电子响应文件与纸质响应文件不一致的，以电子响应文件为准。</w:t>
      </w:r>
    </w:p>
    <w:p>
      <w:pPr>
        <w:pStyle w:val="null3"/>
      </w:pPr>
      <w:r>
        <w:rPr/>
        <w:t>采购包2：</w:t>
      </w:r>
    </w:p>
    <w:p>
      <w:pPr>
        <w:pStyle w:val="null3"/>
      </w:pPr>
      <w:r>
        <w:rPr/>
        <w:t>1、为顺利推进政府采购电子化交易平台应用工作，供应商需要在线提交所有通过电子化交易平台实施的政府采购项目的响应文件，同时，线下提交纸质响应文件正本壹份、副本贰份。 2、纸质响应文件正、副本分别胶装，标明供应商名称密封递交，递交截止时间同在线递交响应电子文件截止时间一致，递交地址：西安市雁展路1111号莱安中心T6-15层。（纸质投标文件可邮寄（顺丰邮寄），邮件签收时间应在递交电子响应文件截止时间之前，邮寄地址：西安市雁展路1111号莱安中心T6-15层，联系人：徐闫靖双，联系电话：029-81206622/81206633-841）。 3、若电子响应文件与纸质响应文件不一致的，以电子响应文件为准。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投标人资格条件证明文件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投标人资格条件证明文件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 投标人资格条件证明文件</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①　《国务院办公厅关于建立政府强制采购节能产品制度的通知》（国办发〔2007〕51号）； ②　《财政部 司法部关于政府采购支持监狱企业发展有关问题的通知》（财库〔2014〕68号）； ③　《三部门联合发布关于促进残疾人就业政府采购政策的通知》（财库〔2017〕141号）； ④　《财政部 发展改革委 生态环境部 市场监管总局关于调整优化节能产品、环境标志产品政府采购执行机制的通知》（财库〔2019〕9号）； ⑤　《关于运用政府采购政策支持乡村产业振兴的通知》（财库〔2021〕19号）； ⑥　《政府采购促进中小企业发展管理办法》（财库〔2020〕46号）； ⑦　陕西省财政厅关于印发《陕西省中小企业政府采购信用融资办法》（陕财办采〔2018〕23号）； ⑧　《关于进一步加大政府采购支持中小企业力度的通知》（财库〔2022〕19号）； ⑨　《关于扩大政府采购支持绿色建材促进建筑品质提升政策实施范围的通知》（财库〔2022〕35号） ⑩本项目非专门面向中小企业采购</w:t>
            </w:r>
          </w:p>
        </w:tc>
        <w:tc>
          <w:tcPr>
            <w:tcW w:type="dxa" w:w="1661"/>
          </w:tcPr>
          <w:p>
            <w:pPr>
              <w:pStyle w:val="null3"/>
            </w:pPr>
            <w:r>
              <w:rPr/>
              <w:t>中小企业声明函 残疾人福利性单位声明函 响应函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①　《国务院办公厅关于建立政府强制采购节能产品制度的通知》（国办发〔2007〕51号）； ②　《财政部 司法部关于政府采购支持监狱企业发展有关问题的通知》（财库〔2014〕68号）； ③　《三部门联合发布关于促进残疾人就业政府采购政策的通知》（财库〔2017〕141号）； ④　《财政部 发展改革委 生态环境部 市场监管总局关于调整优化节能产品、环境标志产品政府采购执行机制的通知》（财库〔2019〕9号）； ⑤　《关于运用政府采购政策支持乡村产业振兴的通知》（财库〔2021〕19号）； ⑥　《政府采购促进中小企业发展管理办法》（财库〔2020〕46号）； ⑦　陕西省财政厅关于印发《陕西省中小企业政府采购信用融资办法》（陕财办采〔2018〕23号）； ⑧　《关于进一步加大政府采购支持中小企业力度的通知》（财库〔2022〕19号）； ⑨　《关于扩大政府采购支持绿色建材促进建筑品质提升政策实施范围的通知》（财库〔2022〕35号） ⑩本项目非专门面向中小企业采购</w:t>
            </w:r>
          </w:p>
        </w:tc>
        <w:tc>
          <w:tcPr>
            <w:tcW w:type="dxa" w:w="1661"/>
          </w:tcPr>
          <w:p>
            <w:pPr>
              <w:pStyle w:val="null3"/>
            </w:pPr>
            <w:r>
              <w:rPr/>
              <w:t>中小企业声明函 残疾人福利性单位声明函 响应函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投标人资格条件证明文件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t>投标人资格条件证明文件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投标人资格条件证明文件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投标人资格条件证明文件</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投标人资格条件证明文件</w:t>
            </w:r>
          </w:p>
        </w:tc>
      </w:tr>
      <w:tr>
        <w:tc>
          <w:tcPr>
            <w:tcW w:type="dxa" w:w="831"/>
          </w:tcPr>
          <w:p>
            <w:pPr>
              <w:pStyle w:val="null3"/>
            </w:pPr>
            <w:r>
              <w:rPr/>
              <w:t>7</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提供直接控股和管理关系清单。若与其他供应商存在单位负责人为同一人或者存在直接控股、管理关系的，则投标无效</w:t>
            </w:r>
          </w:p>
        </w:tc>
        <w:tc>
          <w:tcPr>
            <w:tcW w:type="dxa" w:w="1661"/>
          </w:tcPr>
          <w:p>
            <w:pPr>
              <w:pStyle w:val="null3"/>
            </w:pPr>
            <w:r>
              <w:rPr/>
              <w:t>投标人资格条件证明文件</w:t>
            </w:r>
          </w:p>
        </w:tc>
      </w:tr>
      <w:tr>
        <w:tc>
          <w:tcPr>
            <w:tcW w:type="dxa" w:w="831"/>
          </w:tcPr>
          <w:p>
            <w:pPr>
              <w:pStyle w:val="null3"/>
            </w:pPr>
            <w:r>
              <w:rPr/>
              <w:t>8</w:t>
            </w:r>
          </w:p>
        </w:tc>
        <w:tc>
          <w:tcPr>
            <w:tcW w:type="dxa" w:w="2492"/>
          </w:tcPr>
          <w:p>
            <w:pPr>
              <w:pStyle w:val="null3"/>
            </w:pPr>
            <w:r>
              <w:rPr/>
              <w:t>法定代表人授权书及被授权人身份证</w:t>
            </w:r>
          </w:p>
        </w:tc>
        <w:tc>
          <w:tcPr>
            <w:tcW w:type="dxa" w:w="3322"/>
          </w:tcPr>
          <w:p>
            <w:pPr>
              <w:pStyle w:val="null3"/>
            </w:pPr>
            <w:r>
              <w:rPr/>
              <w:t>法定代表人授权书及被授权人身份证。（法定代表人直接参与只须提交其身份证明书，被授权人参与需提供供应商为其缴纳的本年度任意一个月社保缴纳证明）</w:t>
            </w:r>
          </w:p>
        </w:tc>
        <w:tc>
          <w:tcPr>
            <w:tcW w:type="dxa" w:w="1661"/>
          </w:tcPr>
          <w:p>
            <w:pPr>
              <w:pStyle w:val="null3"/>
            </w:pPr>
            <w:r>
              <w:rPr/>
              <w:t>投标人资格条件证明文件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投标人资格条件证明文件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t>投标人资格条件证明文件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t>投标人资格条件证明文件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投标人资格条件证明文件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投标人资格条件证明文件</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投标人资格条件证明文件</w:t>
            </w:r>
          </w:p>
        </w:tc>
      </w:tr>
      <w:tr>
        <w:tc>
          <w:tcPr>
            <w:tcW w:type="dxa" w:w="831"/>
          </w:tcPr>
          <w:p>
            <w:pPr>
              <w:pStyle w:val="null3"/>
            </w:pPr>
            <w:r>
              <w:rPr/>
              <w:t>7</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提供直接控股和管理关系清单。若与其他供应商存在单位负责人为同一人或者存在直接控股、管理关系的，则投标无效</w:t>
            </w:r>
          </w:p>
        </w:tc>
        <w:tc>
          <w:tcPr>
            <w:tcW w:type="dxa" w:w="1661"/>
          </w:tcPr>
          <w:p>
            <w:pPr>
              <w:pStyle w:val="null3"/>
            </w:pPr>
            <w:r>
              <w:rPr/>
              <w:t>投标人资格条件证明文件</w:t>
            </w:r>
          </w:p>
        </w:tc>
      </w:tr>
      <w:tr>
        <w:tc>
          <w:tcPr>
            <w:tcW w:type="dxa" w:w="831"/>
          </w:tcPr>
          <w:p>
            <w:pPr>
              <w:pStyle w:val="null3"/>
            </w:pPr>
            <w:r>
              <w:rPr/>
              <w:t>8</w:t>
            </w:r>
          </w:p>
        </w:tc>
        <w:tc>
          <w:tcPr>
            <w:tcW w:type="dxa" w:w="2492"/>
          </w:tcPr>
          <w:p>
            <w:pPr>
              <w:pStyle w:val="null3"/>
            </w:pPr>
            <w:r>
              <w:rPr/>
              <w:t>法定代表人授权书及被授权人身份证</w:t>
            </w:r>
          </w:p>
        </w:tc>
        <w:tc>
          <w:tcPr>
            <w:tcW w:type="dxa" w:w="3322"/>
          </w:tcPr>
          <w:p>
            <w:pPr>
              <w:pStyle w:val="null3"/>
            </w:pPr>
            <w:r>
              <w:rPr/>
              <w:t>法定代表人授权书及被授权人身份证。（法定代表人直接参与只须提交其身份证明书，被授权人参与需提供供应商为其缴纳的本年度任意一个月社保缴纳证明）</w:t>
            </w:r>
          </w:p>
        </w:tc>
        <w:tc>
          <w:tcPr>
            <w:tcW w:type="dxa" w:w="1661"/>
          </w:tcPr>
          <w:p>
            <w:pPr>
              <w:pStyle w:val="null3"/>
            </w:pPr>
            <w:r>
              <w:rPr/>
              <w:t>投标人资格条件证明文件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谈判响应文件按谈判文件要求的数量、计量单位、报价货币及签字盖章</w:t>
            </w:r>
          </w:p>
        </w:tc>
        <w:tc>
          <w:tcPr>
            <w:tcW w:type="dxa" w:w="3322"/>
          </w:tcPr>
          <w:p>
            <w:pPr>
              <w:pStyle w:val="null3"/>
            </w:pPr>
            <w:r>
              <w:rPr/>
              <w:t>谈判响应文件按谈判文件要求的数量、计量单位、报价货币及签字盖章</w:t>
            </w:r>
          </w:p>
        </w:tc>
        <w:tc>
          <w:tcPr>
            <w:tcW w:type="dxa" w:w="1661"/>
          </w:tcPr>
          <w:p>
            <w:pPr>
              <w:pStyle w:val="null3"/>
            </w:pPr>
            <w:r>
              <w:rPr/>
              <w:t>分项报价表 标的清单 报价表</w:t>
            </w:r>
          </w:p>
        </w:tc>
      </w:tr>
      <w:tr>
        <w:tc>
          <w:tcPr>
            <w:tcW w:type="dxa" w:w="831"/>
          </w:tcPr>
          <w:p>
            <w:pPr>
              <w:pStyle w:val="null3"/>
            </w:pPr>
            <w:r>
              <w:rPr/>
              <w:t>3</w:t>
            </w:r>
          </w:p>
        </w:tc>
        <w:tc>
          <w:tcPr>
            <w:tcW w:type="dxa" w:w="2492"/>
          </w:tcPr>
          <w:p>
            <w:pPr>
              <w:pStyle w:val="null3"/>
            </w:pPr>
            <w:r>
              <w:rPr/>
              <w:t>谈判响应文件的有效期达到谈判文件要求</w:t>
            </w:r>
          </w:p>
        </w:tc>
        <w:tc>
          <w:tcPr>
            <w:tcW w:type="dxa" w:w="3322"/>
          </w:tcPr>
          <w:p>
            <w:pPr>
              <w:pStyle w:val="null3"/>
            </w:pPr>
            <w:r>
              <w:rPr/>
              <w:t>谈判响应文件的有效期达到谈判文件要求</w:t>
            </w:r>
          </w:p>
        </w:tc>
        <w:tc>
          <w:tcPr>
            <w:tcW w:type="dxa" w:w="1661"/>
          </w:tcPr>
          <w:p>
            <w:pPr>
              <w:pStyle w:val="null3"/>
            </w:pPr>
            <w:r>
              <w:rPr/>
              <w:t>响应函 投标人资格条件证明文件</w:t>
            </w:r>
          </w:p>
        </w:tc>
      </w:tr>
      <w:tr>
        <w:tc>
          <w:tcPr>
            <w:tcW w:type="dxa" w:w="831"/>
          </w:tcPr>
          <w:p>
            <w:pPr>
              <w:pStyle w:val="null3"/>
            </w:pPr>
            <w:r>
              <w:rPr/>
              <w:t>4</w:t>
            </w:r>
          </w:p>
        </w:tc>
        <w:tc>
          <w:tcPr>
            <w:tcW w:type="dxa" w:w="2492"/>
          </w:tcPr>
          <w:p>
            <w:pPr>
              <w:pStyle w:val="null3"/>
            </w:pPr>
            <w:r>
              <w:rPr/>
              <w:t>符合法律、法规和谈判文件中规定的其他实质性要求</w:t>
            </w:r>
          </w:p>
        </w:tc>
        <w:tc>
          <w:tcPr>
            <w:tcW w:type="dxa" w:w="3322"/>
          </w:tcPr>
          <w:p>
            <w:pPr>
              <w:pStyle w:val="null3"/>
            </w:pPr>
            <w:r>
              <w:rPr/>
              <w:t>符合法律、法规和谈判文件中规定的其他实质性要求</w:t>
            </w:r>
          </w:p>
        </w:tc>
        <w:tc>
          <w:tcPr>
            <w:tcW w:type="dxa" w:w="1661"/>
          </w:tcPr>
          <w:p>
            <w:pPr>
              <w:pStyle w:val="null3"/>
            </w:pPr>
            <w:r>
              <w:rPr/>
              <w:t>响应文件封面 产品技术参数表 投标人认为有必要说明的问题 商务应答表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谈判响应文件按谈判文件要求的数量、计量单位、报价货币及签字盖章</w:t>
            </w:r>
          </w:p>
        </w:tc>
        <w:tc>
          <w:tcPr>
            <w:tcW w:type="dxa" w:w="3322"/>
          </w:tcPr>
          <w:p>
            <w:pPr>
              <w:pStyle w:val="null3"/>
            </w:pPr>
            <w:r>
              <w:rPr/>
              <w:t>谈判响应文件按谈判文件要求的数量、计量单位、报价货币及签字盖章</w:t>
            </w:r>
          </w:p>
        </w:tc>
        <w:tc>
          <w:tcPr>
            <w:tcW w:type="dxa" w:w="1661"/>
          </w:tcPr>
          <w:p>
            <w:pPr>
              <w:pStyle w:val="null3"/>
            </w:pPr>
            <w:r>
              <w:rPr/>
              <w:t>分项报价表 标的清单 报价表</w:t>
            </w:r>
          </w:p>
        </w:tc>
      </w:tr>
      <w:tr>
        <w:tc>
          <w:tcPr>
            <w:tcW w:type="dxa" w:w="831"/>
          </w:tcPr>
          <w:p>
            <w:pPr>
              <w:pStyle w:val="null3"/>
            </w:pPr>
            <w:r>
              <w:rPr/>
              <w:t>3</w:t>
            </w:r>
          </w:p>
        </w:tc>
        <w:tc>
          <w:tcPr>
            <w:tcW w:type="dxa" w:w="2492"/>
          </w:tcPr>
          <w:p>
            <w:pPr>
              <w:pStyle w:val="null3"/>
            </w:pPr>
            <w:r>
              <w:rPr/>
              <w:t>谈判响应文件的有效期达到谈判文件要求</w:t>
            </w:r>
          </w:p>
        </w:tc>
        <w:tc>
          <w:tcPr>
            <w:tcW w:type="dxa" w:w="3322"/>
          </w:tcPr>
          <w:p>
            <w:pPr>
              <w:pStyle w:val="null3"/>
            </w:pPr>
            <w:r>
              <w:rPr/>
              <w:t>谈判响应文件的有效期达到谈判文件要求</w:t>
            </w:r>
          </w:p>
        </w:tc>
        <w:tc>
          <w:tcPr>
            <w:tcW w:type="dxa" w:w="1661"/>
          </w:tcPr>
          <w:p>
            <w:pPr>
              <w:pStyle w:val="null3"/>
            </w:pPr>
            <w:r>
              <w:rPr/>
              <w:t>响应函 投标人资格条件证明文件</w:t>
            </w:r>
          </w:p>
        </w:tc>
      </w:tr>
      <w:tr>
        <w:tc>
          <w:tcPr>
            <w:tcW w:type="dxa" w:w="831"/>
          </w:tcPr>
          <w:p>
            <w:pPr>
              <w:pStyle w:val="null3"/>
            </w:pPr>
            <w:r>
              <w:rPr/>
              <w:t>4</w:t>
            </w:r>
          </w:p>
        </w:tc>
        <w:tc>
          <w:tcPr>
            <w:tcW w:type="dxa" w:w="2492"/>
          </w:tcPr>
          <w:p>
            <w:pPr>
              <w:pStyle w:val="null3"/>
            </w:pPr>
            <w:r>
              <w:rPr/>
              <w:t>符合法律、法规和谈判文件中规定的其他实质性要求</w:t>
            </w:r>
          </w:p>
        </w:tc>
        <w:tc>
          <w:tcPr>
            <w:tcW w:type="dxa" w:w="3322"/>
          </w:tcPr>
          <w:p>
            <w:pPr>
              <w:pStyle w:val="null3"/>
            </w:pPr>
            <w:r>
              <w:rPr/>
              <w:t>符合法律、法规和谈判文件中规定的其他实质性要求</w:t>
            </w:r>
          </w:p>
        </w:tc>
        <w:tc>
          <w:tcPr>
            <w:tcW w:type="dxa" w:w="1661"/>
          </w:tcPr>
          <w:p>
            <w:pPr>
              <w:pStyle w:val="null3"/>
            </w:pPr>
            <w:r>
              <w:rPr/>
              <w:t>响应文件封面 产品技术参数表 投标人认为有必要说明的问题 商务应答表 投标人资格条件证明文件</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详见附件：投标人资格条件证明文件</w:t>
      </w:r>
    </w:p>
    <w:p>
      <w:pPr>
        <w:pStyle w:val="null3"/>
        <w:ind w:firstLine="960"/>
      </w:pPr>
      <w:r>
        <w:rPr/>
        <w:t>详见附件：投标人认为有必要说明的问题</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详见附件：投标人认为有必要说明的问题</w:t>
      </w:r>
    </w:p>
    <w:p>
      <w:pPr>
        <w:pStyle w:val="null3"/>
        <w:ind w:firstLine="960"/>
      </w:pPr>
      <w:r>
        <w:rPr/>
        <w:t>详见附件：投标人资格条件证明文件</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详见附件：政府采购合同.docx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