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多功能切向流过滤系统采购项目</w:t>
      </w:r>
    </w:p>
    <w:p>
      <w:pPr>
        <w:pStyle w:val="null3"/>
        <w:jc w:val="center"/>
        <w:outlineLvl w:val="2"/>
      </w:pPr>
      <w:r>
        <w:rPr>
          <w:sz w:val="28"/>
          <w:b/>
        </w:rPr>
        <w:t>采购项目编号：</w:t>
      </w:r>
      <w:r>
        <w:rPr>
          <w:sz w:val="28"/>
          <w:b/>
        </w:rPr>
        <w:t>ZMZB2024XBDX-393</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西北大学</w:t>
      </w:r>
      <w:r>
        <w:rPr/>
        <w:t>委托，拟对</w:t>
      </w:r>
      <w:r>
        <w:rPr/>
        <w:t>多功能切向流过滤系统采购项目</w:t>
      </w:r>
      <w:r>
        <w:rPr/>
        <w:t>采用竞争性谈判采购方式进行采购，兹邀请供应商参加本项目的竞争性谈判。</w:t>
      </w:r>
    </w:p>
    <w:p>
      <w:pPr>
        <w:pStyle w:val="null3"/>
        <w:outlineLvl w:val="2"/>
      </w:pPr>
      <w:r>
        <w:rPr>
          <w:sz w:val="28"/>
          <w:b/>
        </w:rPr>
        <w:t>一、项目编号：</w:t>
      </w:r>
      <w:r>
        <w:rPr>
          <w:sz w:val="28"/>
          <w:b/>
        </w:rPr>
        <w:t>ZMZB2024XBDX-393</w:t>
      </w:r>
    </w:p>
    <w:p>
      <w:pPr>
        <w:pStyle w:val="null3"/>
        <w:outlineLvl w:val="2"/>
      </w:pPr>
      <w:r>
        <w:rPr>
          <w:sz w:val="28"/>
          <w:b/>
        </w:rPr>
        <w:t>二、项目名称：</w:t>
      </w:r>
      <w:r>
        <w:rPr>
          <w:sz w:val="28"/>
          <w:b/>
        </w:rPr>
        <w:t>多功能切向流过滤系统采购项目</w:t>
      </w:r>
    </w:p>
    <w:p>
      <w:pPr>
        <w:pStyle w:val="null3"/>
        <w:outlineLvl w:val="2"/>
      </w:pPr>
      <w:r>
        <w:rPr>
          <w:sz w:val="28"/>
          <w:b/>
        </w:rPr>
        <w:t>三、谈判项目简介：</w:t>
      </w:r>
    </w:p>
    <w:p>
      <w:pPr>
        <w:pStyle w:val="null3"/>
        <w:ind w:firstLine="480"/>
      </w:pPr>
      <w:r>
        <w:rPr/>
        <w:t>多功能切向流过滤系统采购项目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采购包1（多功能切向流过滤系统）：属于专门面向中小企业采购。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8、本项目专门面向中小企业采购：供应商应提供中小企业声明函；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029-88302974</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马魏臣</w:t>
      </w:r>
    </w:p>
    <w:p>
      <w:pPr>
        <w:pStyle w:val="null3"/>
      </w:pPr>
      <w:r>
        <w:rPr/>
        <w:t xml:space="preserve"> 联系电话： </w:t>
      </w:r>
      <w:r>
        <w:rPr/>
        <w:t>17778966063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采购包1保证金金额：26,000.00元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陕西卓佲项目管理有限公司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根据谈判文件，投标文件，合同条款要求执行。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用于重组胶原蛋白，医用蛋白及多肽类的分离纯化。</w:t>
      </w:r>
    </w:p>
    <w:p>
      <w:pPr>
        <w:pStyle w:val="null3"/>
        <w:outlineLvl w:val="2"/>
      </w:pPr>
      <w:r>
        <w:rPr>
          <w:sz w:val="28"/>
          <w:b/>
        </w:rPr>
        <w:t>3.2采购内容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多功能切向流过滤系统</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标的名称：多功能切向流过滤系统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多功能切向流过滤系统</w:t>
            </w:r>
            <w:r>
              <w:rPr>
                <w:rFonts w:ascii="宋体" w:hAnsi="宋体" w:cs="宋体" w:eastAsia="宋体"/>
                <w:sz w:val="21"/>
              </w:rPr>
              <w:t xml:space="preserve">  </w:t>
            </w:r>
            <w:r>
              <w:rPr>
                <w:rFonts w:ascii="宋体" w:hAnsi="宋体" w:cs="宋体" w:eastAsia="宋体"/>
                <w:sz w:val="21"/>
              </w:rPr>
              <w:t>1套</w:t>
            </w:r>
          </w:p>
          <w:p>
            <w:pPr>
              <w:pStyle w:val="null3"/>
              <w:jc w:val="left"/>
            </w:pPr>
            <w:r>
              <w:rPr>
                <w:rFonts w:ascii="宋体" w:hAnsi="宋体" w:cs="宋体" w:eastAsia="宋体"/>
                <w:sz w:val="21"/>
              </w:rPr>
              <w:t>1. 系统整体为台面式结构，304不锈钢支架，支架表面抛光，支架带调节脚，并带制动。</w:t>
            </w:r>
          </w:p>
          <w:p>
            <w:pPr>
              <w:pStyle w:val="null3"/>
              <w:jc w:val="left"/>
            </w:pPr>
            <w:r>
              <w:rPr>
                <w:rFonts w:ascii="宋体" w:hAnsi="宋体" w:cs="宋体" w:eastAsia="宋体"/>
                <w:sz w:val="21"/>
              </w:rPr>
              <w:t>2. 所有与产品接触的材料应符合卫生级标准，其中316L不锈钢内表面粗糙度Ra≤0.6μm，外表面哑光处理。系统能够耐受0.5M NaOH溶液连续处理≥1h。</w:t>
            </w:r>
          </w:p>
          <w:p>
            <w:pPr>
              <w:pStyle w:val="null3"/>
              <w:jc w:val="left"/>
            </w:pPr>
            <w:r>
              <w:rPr>
                <w:rFonts w:ascii="宋体" w:hAnsi="宋体" w:cs="宋体" w:eastAsia="宋体"/>
                <w:sz w:val="21"/>
              </w:rPr>
              <w:t>3. 最大过滤面积: ≥2.5m</w:t>
            </w:r>
            <w:r>
              <w:rPr>
                <w:rFonts w:ascii="宋体" w:hAnsi="宋体" w:cs="宋体" w:eastAsia="宋体"/>
                <w:sz w:val="21"/>
                <w:vertAlign w:val="superscript"/>
              </w:rPr>
              <w:t>2</w:t>
            </w:r>
          </w:p>
          <w:p>
            <w:pPr>
              <w:pStyle w:val="null3"/>
              <w:jc w:val="both"/>
            </w:pPr>
            <w:r>
              <w:rPr>
                <w:rFonts w:ascii="宋体" w:hAnsi="宋体" w:cs="宋体" w:eastAsia="宋体"/>
                <w:sz w:val="21"/>
              </w:rPr>
              <w:t>4. 系统主管路尺寸: ≥3/4英寸，系统泵为四活塞隔膜泵，泵最大流量: ≥1200 L/h，补料泵最大流量≥ 2L/min，系统最低处设有出口（出口带排料阀）。</w:t>
            </w:r>
            <w:r>
              <w:rPr>
                <w:rFonts w:ascii="宋体" w:hAnsi="宋体" w:cs="宋体" w:eastAsia="宋体"/>
                <w:sz w:val="21"/>
              </w:rPr>
              <w:t>需提供佐证材料。</w:t>
            </w:r>
          </w:p>
          <w:p>
            <w:pPr>
              <w:pStyle w:val="null3"/>
              <w:jc w:val="both"/>
            </w:pPr>
            <w:r>
              <w:rPr>
                <w:rFonts w:ascii="宋体" w:hAnsi="宋体" w:cs="宋体" w:eastAsia="宋体"/>
                <w:sz w:val="21"/>
              </w:rPr>
              <w:t>5. 超滤罐为316L不锈钢材质，工作体积≥10L，超滤罐配备喷淋球。循环罐应至少包括搅拌、视镜。</w:t>
            </w:r>
            <w:r>
              <w:rPr>
                <w:rFonts w:ascii="宋体" w:hAnsi="宋体" w:cs="宋体" w:eastAsia="宋体"/>
                <w:sz w:val="21"/>
              </w:rPr>
              <w:t>需提供佐证材料。</w:t>
            </w:r>
          </w:p>
          <w:p>
            <w:pPr>
              <w:pStyle w:val="null3"/>
              <w:jc w:val="left"/>
            </w:pPr>
            <w:r>
              <w:rPr>
                <w:rFonts w:ascii="宋体" w:hAnsi="宋体" w:cs="宋体" w:eastAsia="宋体"/>
                <w:sz w:val="21"/>
              </w:rPr>
              <w:t>6. 泵头大小、电机功率、转速及配电应与超滤系统的批处理量及处理效率相匹配，防护等级IP54及以上。</w:t>
            </w:r>
          </w:p>
          <w:p>
            <w:pPr>
              <w:pStyle w:val="null3"/>
              <w:jc w:val="left"/>
            </w:pPr>
            <w:r>
              <w:rPr>
                <w:rFonts w:ascii="宋体" w:hAnsi="宋体" w:cs="宋体" w:eastAsia="宋体"/>
                <w:sz w:val="21"/>
              </w:rPr>
              <w:t>7. 夹具为316L 不锈钢材质，粗糙度Ra≤0.4μm。</w:t>
            </w:r>
          </w:p>
          <w:p>
            <w:pPr>
              <w:pStyle w:val="null3"/>
              <w:jc w:val="left"/>
            </w:pPr>
            <w:r>
              <w:rPr>
                <w:rFonts w:ascii="宋体" w:hAnsi="宋体" w:cs="宋体" w:eastAsia="宋体"/>
                <w:sz w:val="21"/>
              </w:rPr>
              <w:t>8.压力传感器为管道式压力传感器：分超滤装置的进料端、回流端和透过端。 能够在线监测进样口、回流口、滤出口的系统压力。压力传感器量程≥6 bar, 精度≤0.5%FS。</w:t>
            </w:r>
          </w:p>
          <w:p>
            <w:pPr>
              <w:pStyle w:val="null3"/>
              <w:jc w:val="left"/>
            </w:pPr>
            <w:r>
              <w:rPr>
                <w:rFonts w:ascii="宋体" w:hAnsi="宋体" w:cs="宋体" w:eastAsia="宋体"/>
                <w:sz w:val="21"/>
              </w:rPr>
              <w:t>9. 透过端安装接触式电磁流量计,流量计有累计功能，精度0.5%，量程1-30LPM</w:t>
            </w:r>
          </w:p>
          <w:p>
            <w:pPr>
              <w:pStyle w:val="null3"/>
              <w:jc w:val="left"/>
            </w:pPr>
            <w:r>
              <w:rPr>
                <w:rFonts w:ascii="宋体" w:hAnsi="宋体" w:cs="宋体" w:eastAsia="宋体"/>
                <w:sz w:val="21"/>
              </w:rPr>
              <w:t>10.透过端的电导检测器：测量范围 1us/cm~500ms/cm，可以监测温度范围为0-140℃。</w:t>
            </w:r>
          </w:p>
          <w:p>
            <w:pPr>
              <w:pStyle w:val="null3"/>
              <w:jc w:val="left"/>
            </w:pPr>
            <w:r>
              <w:rPr>
                <w:rFonts w:ascii="宋体" w:hAnsi="宋体" w:cs="宋体" w:eastAsia="宋体"/>
                <w:sz w:val="21"/>
              </w:rPr>
              <w:t>11.阀门均为气动隔膜阀，回流PCV（压力控制）阀门可以调节跨膜压的大小。阀体材质为316L不锈钢，膜片为EPDM（乙丙橡胶）材质。</w:t>
            </w:r>
          </w:p>
          <w:p>
            <w:pPr>
              <w:pStyle w:val="null3"/>
              <w:jc w:val="left"/>
            </w:pPr>
            <w:r>
              <w:rPr>
                <w:rFonts w:ascii="宋体" w:hAnsi="宋体" w:cs="宋体" w:eastAsia="宋体"/>
                <w:sz w:val="21"/>
              </w:rPr>
              <w:t>12.管道与产品直接接触的部件均为316L不锈钢材质，管道的连接件均为卫生型连接。所有管路的焊接都为氩弧焊焊接，焊缝均做百分百内窥镜检查。</w:t>
            </w:r>
          </w:p>
          <w:p>
            <w:pPr>
              <w:pStyle w:val="null3"/>
              <w:jc w:val="left"/>
            </w:pPr>
            <w:r>
              <w:rPr>
                <w:rFonts w:ascii="宋体" w:hAnsi="宋体" w:cs="宋体" w:eastAsia="宋体"/>
                <w:sz w:val="21"/>
              </w:rPr>
              <w:t>13 .TMP（跨膜压）控制: 通过回流管路的PCV（压力控制）阀调节跨膜压，也可以通过泵的转速调节跨膜压；进液和洗滤缓冲液控制: 可通过控制称重单元自动控制进液泵。</w:t>
            </w:r>
          </w:p>
          <w:p>
            <w:pPr>
              <w:pStyle w:val="null3"/>
              <w:jc w:val="left"/>
            </w:pPr>
            <w:r>
              <w:rPr>
                <w:rFonts w:ascii="宋体" w:hAnsi="宋体" w:cs="宋体" w:eastAsia="宋体"/>
                <w:sz w:val="21"/>
              </w:rPr>
              <w:t>14. 系统采用HMI+PLC控制方案， HMI（人机交互）屏幕为≥11英寸防水触摸屏，画面支持中英文切换显示。</w:t>
            </w:r>
          </w:p>
          <w:p>
            <w:pPr>
              <w:pStyle w:val="null3"/>
              <w:jc w:val="left"/>
            </w:pPr>
            <w:r>
              <w:rPr>
                <w:rFonts w:ascii="宋体" w:hAnsi="宋体" w:cs="宋体" w:eastAsia="宋体"/>
                <w:sz w:val="21"/>
              </w:rPr>
              <w:t>15. 需提供超滤膜完整性检测的预留接口。</w:t>
            </w:r>
          </w:p>
          <w:p>
            <w:pPr>
              <w:pStyle w:val="null3"/>
              <w:jc w:val="left"/>
            </w:pPr>
            <w:r>
              <w:rPr>
                <w:rFonts w:ascii="宋体" w:hAnsi="宋体" w:cs="宋体" w:eastAsia="宋体"/>
                <w:sz w:val="21"/>
              </w:rPr>
              <w:t>16. 系统具有管理权限，权限可以被管理员管理和配置。可以设定多种不同的操作程序，满足完整性测试、水通量测试，膜包平衡，浓缩，洗滤及清洗等需求。可以通过自动程序和手动控制两种方法进行完整性测试、水通量测试，膜包平衡，浓缩，洗滤及清洗等操作。</w:t>
            </w:r>
          </w:p>
          <w:p>
            <w:pPr>
              <w:pStyle w:val="null3"/>
              <w:jc w:val="left"/>
            </w:pPr>
            <w:r>
              <w:rPr>
                <w:rFonts w:ascii="宋体" w:hAnsi="宋体" w:cs="宋体" w:eastAsia="宋体"/>
                <w:sz w:val="21"/>
              </w:rPr>
              <w:t xml:space="preserve">17. 系统内部含有控制单元，可在电脑断电/死机等意外情况下记录当前运行的所有数据。         </w:t>
            </w:r>
          </w:p>
          <w:p>
            <w:pPr>
              <w:pStyle w:val="null3"/>
              <w:jc w:val="left"/>
            </w:pPr>
            <w:r>
              <w:rPr>
                <w:rFonts w:ascii="宋体" w:hAnsi="宋体" w:cs="宋体" w:eastAsia="宋体"/>
                <w:sz w:val="21"/>
              </w:rPr>
              <w:t>18. 系统支持配方功能，配方的建立、修改、保存等操作方便。系统能够保存≥5个配方，使用时可以直接调取预先设计的配方，并支持≥5个配方串联使用，配方支持PLC离线编辑。</w:t>
            </w:r>
            <w:r>
              <w:rPr>
                <w:rFonts w:ascii="宋体" w:hAnsi="宋体" w:cs="宋体" w:eastAsia="宋体"/>
                <w:sz w:val="21"/>
              </w:rPr>
              <w:t>需提供佐证材料。</w:t>
            </w:r>
          </w:p>
          <w:p>
            <w:pPr>
              <w:pStyle w:val="null3"/>
              <w:spacing w:before="285" w:after="285"/>
              <w:jc w:val="both"/>
              <w:outlineLvl w:val="3"/>
            </w:pPr>
            <w:r>
              <w:rPr>
                <w:rFonts w:ascii="宋体" w:hAnsi="宋体" w:cs="宋体" w:eastAsia="宋体"/>
                <w:sz w:val="21"/>
                <w:b/>
              </w:rPr>
              <w:t>19. 软件具备审计追踪功能。</w:t>
            </w:r>
          </w:p>
          <w:p>
            <w:pPr>
              <w:pStyle w:val="null3"/>
              <w:jc w:val="both"/>
            </w:pPr>
            <w:r>
              <w:rPr>
                <w:rFonts w:ascii="宋体" w:hAnsi="宋体" w:cs="宋体" w:eastAsia="宋体"/>
                <w:sz w:val="21"/>
              </w:rPr>
              <w:t>备注：</w:t>
            </w:r>
            <w:r>
              <w:rPr>
                <w:rFonts w:ascii="宋体" w:hAnsi="宋体" w:cs="宋体" w:eastAsia="宋体"/>
                <w:sz w:val="21"/>
              </w:rPr>
              <w:t>以上技术参数与性能指标不允许负偏离，任意一项负偏离按无效投标处理；参数中要求提供佐证材料的，应提供佐证材料，未提供的或提供的</w:t>
            </w:r>
            <w:r>
              <w:rPr>
                <w:rFonts w:ascii="宋体" w:hAnsi="宋体" w:cs="宋体" w:eastAsia="宋体"/>
                <w:sz w:val="22"/>
              </w:rPr>
              <w:t>佐证材料低于</w:t>
            </w:r>
            <w:r>
              <w:rPr>
                <w:rFonts w:ascii="宋体" w:hAnsi="宋体" w:cs="宋体" w:eastAsia="宋体"/>
                <w:sz w:val="22"/>
              </w:rPr>
              <w:t>文件</w:t>
            </w:r>
            <w:r>
              <w:rPr>
                <w:rFonts w:ascii="宋体" w:hAnsi="宋体" w:cs="宋体" w:eastAsia="宋体"/>
                <w:sz w:val="22"/>
              </w:rPr>
              <w:t>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合同签订后180日内供货，10日内安装调试到位并交付使用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质保期：自学校验收合格之日起1年；售后服务标准要求：7×24小时服务，并提供相关培训；售后服务效率要求：即时响应（包括电话响应）；电话响应无法解决时，24小时内到达现场。修复时间48小时内；如48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响应文件封面 分项报价表 供应商资格要求 报价表 响应函</w:t>
            </w:r>
          </w:p>
        </w:tc>
      </w:tr>
      <w:tr>
        <w:tc>
          <w:tcPr>
            <w:tcW w:type="dxa" w:w="831"/>
          </w:tcPr>
          <w:p>
            <w:pPr>
              <w:pStyle w:val="null3"/>
            </w:pPr>
            <w:r>
              <w:rPr/>
              <w:t>4</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产品技术参数表 标的清单 业绩一览表</w:t>
            </w:r>
          </w:p>
        </w:tc>
      </w:tr>
      <w:tr>
        <w:tc>
          <w:tcPr>
            <w:tcW w:type="dxa" w:w="831"/>
          </w:tcPr>
          <w:p>
            <w:pPr>
              <w:pStyle w:val="null3"/>
            </w:pPr>
            <w:r>
              <w:rPr/>
              <w:t>8</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商务应答表 供应商认为有必要说明的其他问题</w:t>
            </w:r>
          </w:p>
        </w:tc>
      </w:tr>
      <w:tr>
        <w:tc>
          <w:tcPr>
            <w:tcW w:type="dxa" w:w="831"/>
          </w:tcPr>
          <w:p>
            <w:pPr>
              <w:pStyle w:val="null3"/>
            </w:pPr>
            <w:r>
              <w:rPr/>
              <w:t>9</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方案 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详见附件：供应商资格要求</w:t>
      </w:r>
    </w:p>
    <w:p>
      <w:pPr>
        <w:pStyle w:val="null3"/>
        <w:ind w:firstLine="960"/>
      </w:pPr>
      <w:r>
        <w:rPr/>
        <w:t>详见附件：业绩一览表</w:t>
      </w:r>
    </w:p>
    <w:p>
      <w:pPr>
        <w:pStyle w:val="null3"/>
        <w:ind w:firstLine="960"/>
      </w:pPr>
      <w:r>
        <w:rPr/>
        <w:t>详见附件：方案</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