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A41ED">
      <w:pPr>
        <w:keepNext w:val="0"/>
        <w:keepLines w:val="0"/>
        <w:pageBreakBefore w:val="0"/>
        <w:widowControl w:val="0"/>
        <w:kinsoku/>
        <w:wordWrap/>
        <w:overflowPunct w:val="0"/>
        <w:topLinePunct w:val="0"/>
        <w:autoSpaceDE/>
        <w:autoSpaceDN/>
        <w:bidi w:val="0"/>
        <w:adjustRightInd w:val="0"/>
        <w:snapToGrid w:val="0"/>
        <w:spacing w:before="157" w:beforeLines="50" w:line="460" w:lineRule="exact"/>
        <w:jc w:val="center"/>
        <w:textAlignment w:val="auto"/>
        <w:rPr>
          <w:rFonts w:hint="eastAsia" w:cs="仿宋_GB2312" w:asciiTheme="minorEastAsia" w:hAnsiTheme="minorEastAsia" w:eastAsiaTheme="minorEastAsia"/>
          <w:sz w:val="24"/>
          <w:szCs w:val="24"/>
        </w:rPr>
      </w:pPr>
      <w:r>
        <w:rPr>
          <w:rFonts w:hint="eastAsia" w:cs="Times New Roman" w:asciiTheme="minorEastAsia" w:hAnsiTheme="minorEastAsia" w:eastAsiaTheme="minorEastAsia"/>
          <w:b/>
          <w:bCs/>
          <w:kern w:val="2"/>
          <w:sz w:val="32"/>
          <w:szCs w:val="32"/>
          <w:lang w:val="en-US" w:eastAsia="zh-CN" w:bidi="ar-SA"/>
        </w:rPr>
        <w:t>采购合同（参考格式）</w:t>
      </w:r>
    </w:p>
    <w:p w14:paraId="0A517A33">
      <w:pPr>
        <w:overflowPunct w:val="0"/>
        <w:adjustRightInd w:val="0"/>
        <w:snapToGrid w:val="0"/>
        <w:spacing w:line="460" w:lineRule="exact"/>
        <w:rPr>
          <w:rFonts w:hint="eastAsia" w:cs="仿宋_GB2312" w:asciiTheme="minorEastAsia" w:hAnsiTheme="minorEastAsia" w:eastAsiaTheme="minorEastAsia"/>
          <w:sz w:val="24"/>
          <w:szCs w:val="24"/>
        </w:rPr>
      </w:pPr>
    </w:p>
    <w:p w14:paraId="045E37A6">
      <w:pPr>
        <w:adjustRightInd w:val="0"/>
        <w:snapToGrid w:val="0"/>
        <w:spacing w:line="460" w:lineRule="exact"/>
        <w:rPr>
          <w:rFonts w:ascii="宋体" w:hAnsi="宋体" w:cs="宋体"/>
          <w:color w:val="000000"/>
          <w:kern w:val="2"/>
          <w:sz w:val="24"/>
          <w:szCs w:val="24"/>
        </w:rPr>
      </w:pPr>
      <w:r>
        <w:rPr>
          <w:rFonts w:hint="eastAsia" w:ascii="宋体" w:hAnsi="宋体" w:cs="宋体"/>
          <w:color w:val="000000"/>
          <w:kern w:val="2"/>
          <w:sz w:val="24"/>
          <w:szCs w:val="24"/>
        </w:rPr>
        <w:t>甲方：</w:t>
      </w:r>
      <w:r>
        <w:rPr>
          <w:rFonts w:hint="eastAsia" w:ascii="宋体" w:hAnsi="宋体" w:cs="宋体"/>
          <w:color w:val="000000"/>
          <w:kern w:val="2"/>
          <w:sz w:val="24"/>
          <w:szCs w:val="24"/>
          <w:u w:val="single"/>
        </w:rPr>
        <w:t xml:space="preserve">                        </w:t>
      </w:r>
      <w:r>
        <w:rPr>
          <w:rFonts w:hint="eastAsia" w:ascii="宋体" w:hAnsi="宋体" w:cs="宋体"/>
          <w:color w:val="000000"/>
          <w:kern w:val="2"/>
          <w:sz w:val="24"/>
          <w:szCs w:val="24"/>
        </w:rPr>
        <w:t xml:space="preserve"> </w:t>
      </w:r>
    </w:p>
    <w:p w14:paraId="29F0080C">
      <w:pPr>
        <w:adjustRightInd w:val="0"/>
        <w:snapToGrid w:val="0"/>
        <w:spacing w:line="460" w:lineRule="exact"/>
        <w:rPr>
          <w:rFonts w:ascii="宋体" w:hAnsi="宋体" w:cs="宋体"/>
          <w:color w:val="000000"/>
          <w:kern w:val="2"/>
          <w:sz w:val="24"/>
          <w:szCs w:val="24"/>
          <w:u w:val="single"/>
        </w:rPr>
      </w:pPr>
      <w:r>
        <w:rPr>
          <w:rFonts w:hint="eastAsia" w:ascii="宋体" w:hAnsi="宋体" w:cs="宋体"/>
          <w:color w:val="000000"/>
          <w:kern w:val="2"/>
          <w:sz w:val="24"/>
          <w:szCs w:val="24"/>
        </w:rPr>
        <w:t>法定代表人：</w:t>
      </w:r>
      <w:r>
        <w:rPr>
          <w:rFonts w:hint="eastAsia" w:ascii="宋体" w:hAnsi="宋体" w:cs="宋体"/>
          <w:color w:val="000000"/>
          <w:kern w:val="2"/>
          <w:sz w:val="24"/>
          <w:szCs w:val="24"/>
          <w:u w:val="single"/>
        </w:rPr>
        <w:t xml:space="preserve">                  </w:t>
      </w:r>
    </w:p>
    <w:p w14:paraId="26313B15">
      <w:pPr>
        <w:adjustRightInd w:val="0"/>
        <w:snapToGrid w:val="0"/>
        <w:spacing w:line="460" w:lineRule="exact"/>
        <w:rPr>
          <w:rFonts w:ascii="宋体" w:hAnsi="宋体" w:cs="宋体"/>
          <w:color w:val="000000"/>
          <w:kern w:val="2"/>
          <w:sz w:val="24"/>
          <w:szCs w:val="24"/>
          <w:u w:val="single"/>
        </w:rPr>
      </w:pPr>
      <w:r>
        <w:rPr>
          <w:rFonts w:hint="eastAsia" w:ascii="宋体" w:hAnsi="宋体" w:cs="宋体"/>
          <w:color w:val="000000"/>
          <w:kern w:val="2"/>
          <w:sz w:val="24"/>
          <w:szCs w:val="24"/>
        </w:rPr>
        <w:t>统一信用代码：</w:t>
      </w:r>
      <w:r>
        <w:rPr>
          <w:rFonts w:hint="eastAsia" w:ascii="宋体" w:hAnsi="宋体" w:cs="宋体"/>
          <w:color w:val="000000"/>
          <w:kern w:val="2"/>
          <w:sz w:val="24"/>
          <w:szCs w:val="24"/>
          <w:u w:val="single"/>
        </w:rPr>
        <w:t xml:space="preserve">                </w:t>
      </w:r>
    </w:p>
    <w:p w14:paraId="027342ED">
      <w:pPr>
        <w:adjustRightInd w:val="0"/>
        <w:snapToGrid w:val="0"/>
        <w:spacing w:line="460" w:lineRule="exact"/>
        <w:rPr>
          <w:rFonts w:ascii="宋体" w:hAnsi="宋体" w:cs="宋体"/>
          <w:color w:val="000000"/>
          <w:kern w:val="2"/>
          <w:sz w:val="24"/>
          <w:szCs w:val="24"/>
        </w:rPr>
      </w:pPr>
      <w:r>
        <w:rPr>
          <w:rFonts w:hint="eastAsia" w:ascii="宋体" w:hAnsi="宋体" w:cs="宋体"/>
          <w:color w:val="000000"/>
          <w:kern w:val="2"/>
          <w:sz w:val="24"/>
          <w:szCs w:val="24"/>
        </w:rPr>
        <w:t>乙方：</w:t>
      </w:r>
      <w:r>
        <w:rPr>
          <w:rFonts w:hint="eastAsia" w:ascii="宋体" w:hAnsi="宋体" w:cs="宋体"/>
          <w:color w:val="000000"/>
          <w:kern w:val="2"/>
          <w:sz w:val="24"/>
          <w:szCs w:val="24"/>
          <w:u w:val="single"/>
        </w:rPr>
        <w:t xml:space="preserve">                        </w:t>
      </w:r>
      <w:r>
        <w:rPr>
          <w:rFonts w:hint="eastAsia" w:ascii="宋体" w:hAnsi="宋体" w:cs="宋体"/>
          <w:color w:val="000000"/>
          <w:kern w:val="2"/>
          <w:sz w:val="24"/>
          <w:szCs w:val="24"/>
        </w:rPr>
        <w:t xml:space="preserve"> </w:t>
      </w:r>
    </w:p>
    <w:p w14:paraId="7AD1C974">
      <w:pPr>
        <w:adjustRightInd w:val="0"/>
        <w:snapToGrid w:val="0"/>
        <w:spacing w:line="460" w:lineRule="exact"/>
        <w:rPr>
          <w:rFonts w:ascii="宋体" w:hAnsi="宋体" w:cs="宋体"/>
          <w:color w:val="000000"/>
          <w:kern w:val="2"/>
          <w:sz w:val="24"/>
          <w:szCs w:val="24"/>
          <w:u w:val="single"/>
        </w:rPr>
      </w:pPr>
      <w:r>
        <w:rPr>
          <w:rFonts w:hint="eastAsia" w:ascii="宋体" w:hAnsi="宋体" w:cs="宋体"/>
          <w:color w:val="000000"/>
          <w:kern w:val="2"/>
          <w:sz w:val="24"/>
          <w:szCs w:val="24"/>
        </w:rPr>
        <w:t>法定代表人：</w:t>
      </w:r>
      <w:r>
        <w:rPr>
          <w:rFonts w:hint="eastAsia" w:ascii="宋体" w:hAnsi="宋体" w:cs="宋体"/>
          <w:color w:val="000000"/>
          <w:kern w:val="2"/>
          <w:sz w:val="24"/>
          <w:szCs w:val="24"/>
          <w:u w:val="single"/>
        </w:rPr>
        <w:t xml:space="preserve">                  </w:t>
      </w:r>
    </w:p>
    <w:p w14:paraId="7F116B24">
      <w:pPr>
        <w:adjustRightInd w:val="0"/>
        <w:snapToGrid w:val="0"/>
        <w:spacing w:line="460" w:lineRule="exact"/>
        <w:rPr>
          <w:rFonts w:ascii="宋体" w:hAnsi="宋体" w:cs="宋体"/>
          <w:color w:val="000000"/>
          <w:kern w:val="2"/>
          <w:sz w:val="24"/>
          <w:szCs w:val="24"/>
          <w:lang w:val="zh-CN"/>
        </w:rPr>
      </w:pPr>
      <w:r>
        <w:rPr>
          <w:rFonts w:hint="eastAsia" w:ascii="宋体" w:hAnsi="宋体" w:cs="宋体"/>
          <w:color w:val="000000"/>
          <w:kern w:val="2"/>
          <w:sz w:val="24"/>
          <w:szCs w:val="24"/>
        </w:rPr>
        <w:t>统一信用代码：</w:t>
      </w:r>
      <w:r>
        <w:rPr>
          <w:rFonts w:hint="eastAsia" w:ascii="宋体" w:hAnsi="宋体" w:cs="宋体"/>
          <w:color w:val="000000"/>
          <w:kern w:val="2"/>
          <w:sz w:val="24"/>
          <w:szCs w:val="24"/>
          <w:u w:val="single"/>
        </w:rPr>
        <w:t xml:space="preserve">                </w:t>
      </w:r>
    </w:p>
    <w:p w14:paraId="4102D304">
      <w:pPr>
        <w:overflowPunct w:val="0"/>
        <w:adjustRightInd w:val="0"/>
        <w:snapToGrid w:val="0"/>
        <w:spacing w:line="460" w:lineRule="exact"/>
        <w:rPr>
          <w:rFonts w:ascii="宋体" w:hAnsi="宋体" w:eastAsia="宋体" w:cs="仿宋_GB2312"/>
          <w:sz w:val="24"/>
          <w:szCs w:val="24"/>
          <w:shd w:val="clear" w:color="auto" w:fill="FFFFFF"/>
        </w:rPr>
      </w:pPr>
    </w:p>
    <w:p w14:paraId="2AC5F634">
      <w:pPr>
        <w:overflowPunct w:val="0"/>
        <w:adjustRightInd w:val="0"/>
        <w:snapToGrid w:val="0"/>
        <w:spacing w:line="460" w:lineRule="exact"/>
        <w:ind w:firstLine="480" w:firstLineChars="200"/>
        <w:rPr>
          <w:rFonts w:ascii="宋体" w:hAnsi="宋体" w:eastAsia="宋体" w:cs="仿宋_GB2312"/>
          <w:sz w:val="24"/>
          <w:szCs w:val="24"/>
          <w:shd w:val="clear" w:color="auto" w:fill="FFFFFF"/>
        </w:rPr>
      </w:pPr>
      <w:r>
        <w:rPr>
          <w:rFonts w:hint="eastAsia" w:ascii="宋体" w:hAnsi="宋体" w:eastAsia="宋体" w:cs="仿宋_GB2312"/>
          <w:sz w:val="24"/>
          <w:szCs w:val="24"/>
          <w:shd w:val="clear" w:color="auto" w:fill="FFFFFF"/>
        </w:rPr>
        <w:t xml:space="preserve"> </w:t>
      </w:r>
      <w:r>
        <w:rPr>
          <w:rFonts w:ascii="宋体" w:hAnsi="宋体" w:eastAsia="宋体" w:cs="仿宋_GB2312"/>
          <w:sz w:val="24"/>
          <w:szCs w:val="24"/>
          <w:u w:val="single"/>
          <w:shd w:val="clear" w:color="auto" w:fill="FFFFFF"/>
        </w:rPr>
        <w:t xml:space="preserve">   </w:t>
      </w:r>
      <w:r>
        <w:rPr>
          <w:rFonts w:hint="eastAsia" w:ascii="宋体" w:hAnsi="宋体" w:eastAsia="宋体" w:cs="仿宋_GB2312"/>
          <w:sz w:val="24"/>
          <w:szCs w:val="24"/>
          <w:u w:val="single"/>
        </w:rPr>
        <w:t xml:space="preserve">（项目名称） </w:t>
      </w:r>
      <w:r>
        <w:rPr>
          <w:rFonts w:ascii="宋体" w:hAnsi="宋体" w:eastAsia="宋体" w:cs="仿宋_GB2312"/>
          <w:sz w:val="24"/>
          <w:szCs w:val="24"/>
          <w:u w:val="single"/>
        </w:rPr>
        <w:t xml:space="preserve">   </w:t>
      </w:r>
      <w:r>
        <w:rPr>
          <w:rFonts w:hint="eastAsia" w:ascii="宋体" w:hAnsi="宋体" w:eastAsia="宋体" w:cs="仿宋_GB2312"/>
          <w:sz w:val="24"/>
          <w:szCs w:val="24"/>
        </w:rPr>
        <w:t>在</w:t>
      </w:r>
      <w:r>
        <w:rPr>
          <w:rFonts w:hint="eastAsia" w:ascii="宋体" w:hAnsi="宋体" w:eastAsia="宋体" w:cs="仿宋_GB2312"/>
          <w:sz w:val="24"/>
          <w:szCs w:val="24"/>
          <w:u w:val="single"/>
        </w:rPr>
        <w:t xml:space="preserve"> </w:t>
      </w:r>
      <w:r>
        <w:rPr>
          <w:rFonts w:ascii="宋体" w:hAnsi="宋体" w:eastAsia="宋体" w:cs="仿宋_GB2312"/>
          <w:sz w:val="24"/>
          <w:szCs w:val="24"/>
          <w:u w:val="single"/>
        </w:rPr>
        <w:t xml:space="preserve">        </w:t>
      </w:r>
      <w:r>
        <w:rPr>
          <w:rFonts w:hint="eastAsia" w:ascii="宋体" w:hAnsi="宋体" w:eastAsia="宋体" w:cs="仿宋_GB2312"/>
          <w:sz w:val="24"/>
          <w:szCs w:val="24"/>
        </w:rPr>
        <w:t>的监督管理下，由</w:t>
      </w:r>
      <w:r>
        <w:rPr>
          <w:rFonts w:hint="eastAsia" w:ascii="宋体" w:hAnsi="宋体" w:eastAsia="宋体" w:cs="仿宋_GB2312"/>
          <w:sz w:val="24"/>
          <w:szCs w:val="24"/>
          <w:u w:val="single"/>
        </w:rPr>
        <w:t xml:space="preserve">    </w:t>
      </w:r>
      <w:r>
        <w:rPr>
          <w:rFonts w:ascii="宋体" w:hAnsi="宋体" w:eastAsia="宋体" w:cs="仿宋_GB2312"/>
          <w:sz w:val="24"/>
          <w:szCs w:val="24"/>
          <w:u w:val="single"/>
        </w:rPr>
        <w:t xml:space="preserve">  </w:t>
      </w:r>
      <w:r>
        <w:rPr>
          <w:rFonts w:hint="eastAsia" w:ascii="宋体" w:hAnsi="宋体" w:eastAsia="宋体" w:cs="仿宋_GB2312"/>
          <w:sz w:val="24"/>
          <w:szCs w:val="24"/>
          <w:u w:val="single"/>
        </w:rPr>
        <w:t xml:space="preserve">  </w:t>
      </w:r>
      <w:r>
        <w:rPr>
          <w:rFonts w:ascii="宋体" w:hAnsi="宋体" w:eastAsia="宋体" w:cs="仿宋_GB2312"/>
          <w:sz w:val="24"/>
          <w:szCs w:val="24"/>
          <w:u w:val="single"/>
        </w:rPr>
        <w:t xml:space="preserve"> </w:t>
      </w:r>
      <w:r>
        <w:rPr>
          <w:rFonts w:hint="eastAsia" w:ascii="宋体" w:hAnsi="宋体" w:eastAsia="宋体" w:cs="仿宋_GB2312"/>
          <w:sz w:val="24"/>
          <w:szCs w:val="24"/>
          <w:u w:val="single"/>
        </w:rPr>
        <w:t xml:space="preserve">   </w:t>
      </w:r>
      <w:r>
        <w:rPr>
          <w:rFonts w:hint="eastAsia" w:ascii="宋体" w:hAnsi="宋体" w:eastAsia="宋体" w:cs="仿宋_GB2312"/>
          <w:sz w:val="24"/>
          <w:szCs w:val="24"/>
        </w:rPr>
        <w:t>（以下简称甲方）委托陕西瑞通工程造价咨询有限公司组织</w:t>
      </w:r>
      <w:r>
        <w:rPr>
          <w:rFonts w:hint="eastAsia" w:ascii="宋体" w:hAnsi="宋体" w:cs="仿宋_GB2312"/>
          <w:sz w:val="24"/>
          <w:szCs w:val="24"/>
          <w:lang w:eastAsia="zh-CN"/>
        </w:rPr>
        <w:t>公开招标</w:t>
      </w:r>
      <w:r>
        <w:rPr>
          <w:rFonts w:hint="eastAsia" w:ascii="宋体" w:hAnsi="宋体" w:eastAsia="宋体" w:cs="仿宋_GB2312"/>
          <w:sz w:val="24"/>
          <w:szCs w:val="24"/>
        </w:rPr>
        <w:t>，经招标确定</w:t>
      </w:r>
      <w:r>
        <w:rPr>
          <w:rFonts w:hint="eastAsia" w:ascii="宋体" w:hAnsi="宋体" w:eastAsia="宋体" w:cs="仿宋_GB2312"/>
          <w:sz w:val="24"/>
          <w:szCs w:val="24"/>
          <w:u w:val="single"/>
        </w:rPr>
        <w:t xml:space="preserve">          </w:t>
      </w:r>
      <w:r>
        <w:rPr>
          <w:rFonts w:hint="eastAsia" w:ascii="宋体" w:hAnsi="宋体" w:eastAsia="宋体" w:cs="仿宋_GB2312"/>
          <w:sz w:val="24"/>
          <w:szCs w:val="24"/>
        </w:rPr>
        <w:t>公司（以下简称乙方</w:t>
      </w:r>
      <w:bookmarkStart w:id="40" w:name="_GoBack"/>
      <w:r>
        <w:rPr>
          <w:rFonts w:hint="eastAsia" w:ascii="宋体" w:hAnsi="宋体" w:eastAsia="宋体" w:cs="仿宋_GB2312"/>
          <w:sz w:val="24"/>
          <w:szCs w:val="24"/>
        </w:rPr>
        <w:t>）为该项目</w:t>
      </w:r>
      <w:r>
        <w:rPr>
          <w:rFonts w:hint="eastAsia" w:ascii="宋体" w:hAnsi="宋体" w:cs="仿宋_GB2312"/>
          <w:sz w:val="24"/>
          <w:szCs w:val="24"/>
          <w:u w:val="single"/>
          <w:lang w:val="en-US" w:eastAsia="zh-CN"/>
        </w:rPr>
        <w:t xml:space="preserve">    </w:t>
      </w:r>
      <w:r>
        <w:rPr>
          <w:rFonts w:hint="eastAsia" w:ascii="宋体" w:hAnsi="宋体" w:cs="仿宋_GB2312"/>
          <w:sz w:val="24"/>
          <w:szCs w:val="24"/>
          <w:u w:val="none"/>
          <w:lang w:val="en-US" w:eastAsia="zh-CN"/>
        </w:rPr>
        <w:t>包</w:t>
      </w:r>
      <w:r>
        <w:rPr>
          <w:rFonts w:hint="eastAsia" w:ascii="宋体" w:hAnsi="宋体" w:eastAsia="宋体" w:cs="仿宋_GB2312"/>
          <w:sz w:val="24"/>
          <w:szCs w:val="24"/>
        </w:rPr>
        <w:t>中标人。依据《中华人民共和国民法典》经甲、乙双方共同协商，按下述条款和条件签署本合同。</w:t>
      </w:r>
    </w:p>
    <w:p w14:paraId="1FEAD88B">
      <w:pPr>
        <w:numPr>
          <w:ilvl w:val="0"/>
          <w:numId w:val="0"/>
        </w:numPr>
        <w:overflowPunct w:val="0"/>
        <w:adjustRightInd w:val="0"/>
        <w:snapToGrid w:val="0"/>
        <w:spacing w:after="156" w:afterLines="50" w:line="460" w:lineRule="exact"/>
        <w:ind w:firstLine="482" w:firstLineChars="200"/>
        <w:rPr>
          <w:rFonts w:ascii="Times New Roman" w:hAnsi="Times New Roman" w:cs="Times New Roman"/>
        </w:rPr>
      </w:pPr>
      <w:bookmarkStart w:id="0" w:name="_Toc11641"/>
      <w:bookmarkStart w:id="1" w:name="_Toc29437"/>
      <w:r>
        <w:rPr>
          <w:rFonts w:hint="eastAsia" w:ascii="宋体" w:hAnsi="宋体" w:cs="宋体"/>
          <w:b/>
          <w:bCs/>
          <w:sz w:val="24"/>
          <w:szCs w:val="24"/>
          <w:lang w:val="en-US" w:eastAsia="zh-CN"/>
        </w:rPr>
        <w:t>1.</w:t>
      </w:r>
      <w:r>
        <w:rPr>
          <w:rFonts w:hint="eastAsia" w:ascii="宋体" w:hAnsi="宋体" w:cs="宋体"/>
          <w:b/>
          <w:bCs/>
          <w:sz w:val="24"/>
          <w:szCs w:val="24"/>
        </w:rPr>
        <w:t>合同标的及数量</w:t>
      </w:r>
      <w:bookmarkEnd w:id="0"/>
      <w:bookmarkEnd w:id="1"/>
    </w:p>
    <w:bookmarkEnd w:id="40"/>
    <w:tbl>
      <w:tblPr>
        <w:tblStyle w:val="8"/>
        <w:tblW w:w="9321"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6"/>
        <w:gridCol w:w="1967"/>
        <w:gridCol w:w="991"/>
        <w:gridCol w:w="706"/>
        <w:gridCol w:w="705"/>
        <w:gridCol w:w="1114"/>
        <w:gridCol w:w="1063"/>
        <w:gridCol w:w="2069"/>
      </w:tblGrid>
      <w:tr w14:paraId="36E690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trPr>
        <w:tc>
          <w:tcPr>
            <w:tcW w:w="706" w:type="dxa"/>
            <w:vAlign w:val="center"/>
          </w:tcPr>
          <w:p w14:paraId="1E44B8AA">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序号</w:t>
            </w:r>
          </w:p>
        </w:tc>
        <w:tc>
          <w:tcPr>
            <w:tcW w:w="1967" w:type="dxa"/>
            <w:vAlign w:val="center"/>
          </w:tcPr>
          <w:p w14:paraId="0B19A176">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产品名称</w:t>
            </w:r>
          </w:p>
        </w:tc>
        <w:tc>
          <w:tcPr>
            <w:tcW w:w="991" w:type="dxa"/>
            <w:vAlign w:val="center"/>
          </w:tcPr>
          <w:p w14:paraId="71101060">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单价（元）</w:t>
            </w:r>
          </w:p>
        </w:tc>
        <w:tc>
          <w:tcPr>
            <w:tcW w:w="706" w:type="dxa"/>
            <w:tcBorders>
              <w:right w:val="single" w:color="auto" w:sz="4" w:space="0"/>
            </w:tcBorders>
            <w:vAlign w:val="center"/>
          </w:tcPr>
          <w:p w14:paraId="79740754">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数量</w:t>
            </w:r>
          </w:p>
        </w:tc>
        <w:tc>
          <w:tcPr>
            <w:tcW w:w="705" w:type="dxa"/>
            <w:tcBorders>
              <w:left w:val="single" w:color="auto" w:sz="4" w:space="0"/>
            </w:tcBorders>
            <w:vAlign w:val="center"/>
          </w:tcPr>
          <w:p w14:paraId="3E409A64">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单位</w:t>
            </w:r>
          </w:p>
        </w:tc>
        <w:tc>
          <w:tcPr>
            <w:tcW w:w="1114" w:type="dxa"/>
            <w:tcBorders>
              <w:right w:val="single" w:color="auto" w:sz="4" w:space="0"/>
            </w:tcBorders>
            <w:vAlign w:val="center"/>
          </w:tcPr>
          <w:p w14:paraId="2E1E539B">
            <w:pPr>
              <w:widowControl w:val="0"/>
              <w:adjustRightInd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金额（元）</w:t>
            </w:r>
          </w:p>
        </w:tc>
        <w:tc>
          <w:tcPr>
            <w:tcW w:w="1063" w:type="dxa"/>
            <w:tcBorders>
              <w:left w:val="single" w:color="auto" w:sz="4" w:space="0"/>
            </w:tcBorders>
            <w:vAlign w:val="center"/>
          </w:tcPr>
          <w:p w14:paraId="78D9330E">
            <w:pPr>
              <w:widowControl w:val="0"/>
              <w:adjustRightInd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制造商</w:t>
            </w:r>
          </w:p>
        </w:tc>
        <w:tc>
          <w:tcPr>
            <w:tcW w:w="2069" w:type="dxa"/>
            <w:vAlign w:val="center"/>
          </w:tcPr>
          <w:p w14:paraId="3357319B">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安全标准及</w:t>
            </w:r>
          </w:p>
          <w:p w14:paraId="23D5030D">
            <w:pPr>
              <w:widowControl w:val="0"/>
              <w:snapToGrid w:val="0"/>
              <w:spacing w:line="400" w:lineRule="exact"/>
              <w:jc w:val="center"/>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主要技术参数</w:t>
            </w:r>
          </w:p>
        </w:tc>
      </w:tr>
      <w:tr w14:paraId="280BB6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11A75478">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967" w:type="dxa"/>
          </w:tcPr>
          <w:p w14:paraId="2D0B6168">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14:paraId="77CF5788">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14:paraId="6371794E">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14:paraId="3B23EC0E">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14:paraId="3AE29F6B">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14:paraId="48BE8581">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14:paraId="001A81EC">
            <w:pPr>
              <w:widowControl w:val="0"/>
              <w:snapToGrid w:val="0"/>
              <w:spacing w:line="400" w:lineRule="exact"/>
              <w:jc w:val="both"/>
              <w:rPr>
                <w:rFonts w:ascii="宋体" w:hAnsi="宋体" w:eastAsia="宋体" w:cs="宋体"/>
                <w:color w:val="000000"/>
                <w:kern w:val="2"/>
                <w:sz w:val="24"/>
                <w:szCs w:val="24"/>
                <w:lang w:val="en-US" w:eastAsia="zh-CN" w:bidi="ar-SA"/>
              </w:rPr>
            </w:pPr>
          </w:p>
        </w:tc>
      </w:tr>
      <w:tr w14:paraId="737C4F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0F49BED9">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967" w:type="dxa"/>
          </w:tcPr>
          <w:p w14:paraId="466A8722">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14:paraId="7FD87D37">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14:paraId="011AE696">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14:paraId="55D6D782">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14:paraId="02748151">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14:paraId="35C84FA1">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14:paraId="7E5D3BEE">
            <w:pPr>
              <w:widowControl w:val="0"/>
              <w:snapToGrid w:val="0"/>
              <w:spacing w:line="400" w:lineRule="exact"/>
              <w:jc w:val="both"/>
              <w:rPr>
                <w:rFonts w:ascii="宋体" w:hAnsi="宋体" w:eastAsia="宋体" w:cs="宋体"/>
                <w:color w:val="000000"/>
                <w:kern w:val="2"/>
                <w:sz w:val="24"/>
                <w:szCs w:val="24"/>
                <w:lang w:val="en-US" w:eastAsia="zh-CN" w:bidi="ar-SA"/>
              </w:rPr>
            </w:pPr>
          </w:p>
        </w:tc>
      </w:tr>
      <w:tr w14:paraId="0DA66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0E552C1D">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967" w:type="dxa"/>
          </w:tcPr>
          <w:p w14:paraId="21E39026">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14:paraId="33C51A61">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14:paraId="1F8EB6A8">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14:paraId="7E8452DB">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14:paraId="4F533779">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14:paraId="060041D9">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14:paraId="2072E7FD">
            <w:pPr>
              <w:widowControl w:val="0"/>
              <w:snapToGrid w:val="0"/>
              <w:spacing w:line="400" w:lineRule="exact"/>
              <w:jc w:val="both"/>
              <w:rPr>
                <w:rFonts w:ascii="宋体" w:hAnsi="宋体" w:eastAsia="宋体" w:cs="宋体"/>
                <w:color w:val="000000"/>
                <w:kern w:val="2"/>
                <w:sz w:val="24"/>
                <w:szCs w:val="24"/>
                <w:lang w:val="en-US" w:eastAsia="zh-CN" w:bidi="ar-SA"/>
              </w:rPr>
            </w:pPr>
          </w:p>
        </w:tc>
      </w:tr>
      <w:tr w14:paraId="20489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47131CF4">
            <w:pPr>
              <w:widowControl w:val="0"/>
              <w:snapToGrid w:val="0"/>
              <w:spacing w:line="400" w:lineRule="exact"/>
              <w:jc w:val="both"/>
              <w:rPr>
                <w:rFonts w:hint="default" w:ascii="宋体" w:hAnsi="宋体" w:eastAsia="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w:t>
            </w:r>
          </w:p>
        </w:tc>
        <w:tc>
          <w:tcPr>
            <w:tcW w:w="1967" w:type="dxa"/>
          </w:tcPr>
          <w:p w14:paraId="00F63A99">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991" w:type="dxa"/>
          </w:tcPr>
          <w:p w14:paraId="6EA9146A">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6" w:type="dxa"/>
            <w:tcBorders>
              <w:right w:val="single" w:color="auto" w:sz="4" w:space="0"/>
            </w:tcBorders>
          </w:tcPr>
          <w:p w14:paraId="0755C671">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705" w:type="dxa"/>
            <w:tcBorders>
              <w:left w:val="single" w:color="auto" w:sz="4" w:space="0"/>
            </w:tcBorders>
          </w:tcPr>
          <w:p w14:paraId="35C8C32A">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114" w:type="dxa"/>
            <w:tcBorders>
              <w:right w:val="single" w:color="auto" w:sz="4" w:space="0"/>
            </w:tcBorders>
          </w:tcPr>
          <w:p w14:paraId="4C68D8B5">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1063" w:type="dxa"/>
            <w:tcBorders>
              <w:left w:val="single" w:color="auto" w:sz="4" w:space="0"/>
            </w:tcBorders>
          </w:tcPr>
          <w:p w14:paraId="343B6785">
            <w:pPr>
              <w:widowControl w:val="0"/>
              <w:snapToGrid w:val="0"/>
              <w:spacing w:line="400" w:lineRule="exact"/>
              <w:jc w:val="both"/>
              <w:rPr>
                <w:rFonts w:ascii="宋体" w:hAnsi="宋体" w:eastAsia="宋体" w:cs="宋体"/>
                <w:color w:val="000000"/>
                <w:kern w:val="2"/>
                <w:sz w:val="24"/>
                <w:szCs w:val="24"/>
                <w:lang w:val="en-US" w:eastAsia="zh-CN" w:bidi="ar-SA"/>
              </w:rPr>
            </w:pPr>
          </w:p>
        </w:tc>
        <w:tc>
          <w:tcPr>
            <w:tcW w:w="2069" w:type="dxa"/>
          </w:tcPr>
          <w:p w14:paraId="4856D0BB">
            <w:pPr>
              <w:widowControl w:val="0"/>
              <w:snapToGrid w:val="0"/>
              <w:spacing w:line="400" w:lineRule="exact"/>
              <w:jc w:val="both"/>
              <w:rPr>
                <w:rFonts w:ascii="宋体" w:hAnsi="宋体" w:eastAsia="宋体" w:cs="宋体"/>
                <w:color w:val="000000"/>
                <w:kern w:val="2"/>
                <w:sz w:val="24"/>
                <w:szCs w:val="24"/>
                <w:lang w:val="en-US" w:eastAsia="zh-CN" w:bidi="ar-SA"/>
              </w:rPr>
            </w:pPr>
          </w:p>
        </w:tc>
      </w:tr>
      <w:tr w14:paraId="06ED62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8" w:hRule="atLeast"/>
        </w:trPr>
        <w:tc>
          <w:tcPr>
            <w:tcW w:w="9321" w:type="dxa"/>
            <w:gridSpan w:val="8"/>
          </w:tcPr>
          <w:p w14:paraId="6505F9F0">
            <w:pPr>
              <w:widowControl w:val="0"/>
              <w:snapToGrid w:val="0"/>
              <w:spacing w:line="400" w:lineRule="exact"/>
              <w:jc w:val="both"/>
              <w:rPr>
                <w:rFonts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合计（大写）：                               元（¥</w:t>
            </w:r>
            <w:r>
              <w:rPr>
                <w:rFonts w:hint="eastAsia" w:ascii="宋体" w:hAnsi="宋体" w:eastAsia="宋体" w:cs="宋体"/>
                <w:color w:val="000000"/>
                <w:kern w:val="2"/>
                <w:sz w:val="24"/>
                <w:szCs w:val="24"/>
                <w:u w:val="single"/>
                <w:lang w:val="en-US" w:eastAsia="zh-CN" w:bidi="ar-SA"/>
              </w:rPr>
              <w:t xml:space="preserve">                  </w:t>
            </w:r>
            <w:r>
              <w:rPr>
                <w:rFonts w:hint="eastAsia" w:ascii="宋体" w:hAnsi="宋体" w:eastAsia="宋体" w:cs="宋体"/>
                <w:color w:val="000000"/>
                <w:kern w:val="2"/>
                <w:sz w:val="24"/>
                <w:szCs w:val="24"/>
                <w:lang w:val="en-US" w:eastAsia="zh-CN" w:bidi="ar-SA"/>
              </w:rPr>
              <w:t xml:space="preserve">元）                       </w:t>
            </w:r>
          </w:p>
        </w:tc>
      </w:tr>
    </w:tbl>
    <w:p w14:paraId="66A850A7">
      <w:pPr>
        <w:overflowPunct w:val="0"/>
        <w:adjustRightInd w:val="0"/>
        <w:snapToGrid w:val="0"/>
        <w:spacing w:line="460" w:lineRule="exact"/>
        <w:ind w:firstLine="482" w:firstLineChars="200"/>
        <w:rPr>
          <w:rFonts w:ascii="宋体" w:hAnsi="宋体" w:cs="宋体"/>
          <w:b/>
          <w:bCs/>
          <w:sz w:val="24"/>
          <w:szCs w:val="24"/>
        </w:rPr>
      </w:pPr>
      <w:bookmarkStart w:id="2" w:name="_Toc11652"/>
      <w:bookmarkStart w:id="3" w:name="_Toc31275"/>
      <w:r>
        <w:rPr>
          <w:rFonts w:hint="eastAsia" w:ascii="宋体" w:hAnsi="宋体" w:cs="宋体"/>
          <w:b/>
          <w:bCs/>
          <w:sz w:val="24"/>
          <w:szCs w:val="24"/>
        </w:rPr>
        <w:t>2.合同价格</w:t>
      </w:r>
      <w:bookmarkEnd w:id="2"/>
      <w:bookmarkEnd w:id="3"/>
    </w:p>
    <w:p w14:paraId="63C87AB5">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合同总价：人民币（大写）</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w:t>
      </w:r>
    </w:p>
    <w:p w14:paraId="4FE7E1F3">
      <w:pPr>
        <w:tabs>
          <w:tab w:val="left" w:pos="1701"/>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2.1合同总价为甲方指定地点的交货价，包含但不限于设备、包装、运输、安装、调试、培训、质保、税金、关税（进口产品）等费用。</w:t>
      </w:r>
    </w:p>
    <w:p w14:paraId="5D890234">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2.2合同为总价合同，不受市场价格变化的影响。</w:t>
      </w:r>
    </w:p>
    <w:p w14:paraId="5D5232AF">
      <w:pPr>
        <w:overflowPunct w:val="0"/>
        <w:adjustRightInd w:val="0"/>
        <w:snapToGrid w:val="0"/>
        <w:spacing w:line="460" w:lineRule="exact"/>
        <w:ind w:firstLine="482"/>
        <w:rPr>
          <w:rFonts w:ascii="宋体" w:hAnsi="宋体" w:cs="宋体"/>
          <w:b/>
          <w:bCs/>
          <w:sz w:val="24"/>
          <w:szCs w:val="24"/>
        </w:rPr>
      </w:pPr>
      <w:bookmarkStart w:id="4" w:name="_Toc20723"/>
      <w:bookmarkStart w:id="5" w:name="_Toc6028"/>
      <w:r>
        <w:rPr>
          <w:rFonts w:hint="eastAsia" w:ascii="宋体" w:hAnsi="宋体" w:cs="宋体"/>
          <w:b/>
          <w:bCs/>
          <w:sz w:val="24"/>
          <w:szCs w:val="24"/>
        </w:rPr>
        <w:t>3.货款支付</w:t>
      </w:r>
      <w:bookmarkEnd w:id="4"/>
      <w:bookmarkEnd w:id="5"/>
    </w:p>
    <w:p w14:paraId="1EF58E71">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3.1 合同价款支付</w:t>
      </w:r>
    </w:p>
    <w:p w14:paraId="2F9BE566">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 xml:space="preserve">3.1.1 </w:t>
      </w:r>
      <w:r>
        <w:rPr>
          <w:rFonts w:hint="eastAsia" w:ascii="宋体" w:hAnsi="宋体" w:cs="宋体"/>
          <w:sz w:val="24"/>
          <w:szCs w:val="24"/>
          <w:u w:val="single"/>
        </w:rPr>
        <w:t xml:space="preserve">                                      </w:t>
      </w:r>
      <w:r>
        <w:rPr>
          <w:rFonts w:hint="eastAsia" w:ascii="宋体" w:hAnsi="宋体" w:cs="宋体"/>
          <w:sz w:val="24"/>
          <w:szCs w:val="24"/>
        </w:rPr>
        <w:t>。</w:t>
      </w:r>
    </w:p>
    <w:p w14:paraId="206AE225">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 xml:space="preserve">3.1.2 </w:t>
      </w:r>
      <w:r>
        <w:rPr>
          <w:rFonts w:hint="eastAsia" w:ascii="宋体" w:hAnsi="宋体" w:cs="宋体"/>
          <w:sz w:val="24"/>
          <w:szCs w:val="24"/>
          <w:u w:val="single"/>
        </w:rPr>
        <w:t xml:space="preserve">                                      </w:t>
      </w:r>
      <w:r>
        <w:rPr>
          <w:rFonts w:hint="eastAsia" w:ascii="宋体" w:hAnsi="宋体" w:cs="宋体"/>
          <w:sz w:val="24"/>
          <w:szCs w:val="24"/>
        </w:rPr>
        <w:t>。</w:t>
      </w:r>
    </w:p>
    <w:p w14:paraId="798406A9">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color w:val="000000"/>
          <w:sz w:val="24"/>
          <w:szCs w:val="24"/>
        </w:rPr>
        <w:t xml:space="preserve">3.1.3 </w:t>
      </w:r>
      <w:r>
        <w:rPr>
          <w:rFonts w:hint="eastAsia" w:ascii="宋体" w:hAnsi="宋体" w:cs="宋体"/>
          <w:sz w:val="24"/>
          <w:szCs w:val="24"/>
          <w:u w:val="single"/>
        </w:rPr>
        <w:t xml:space="preserve">                                      </w:t>
      </w:r>
      <w:r>
        <w:rPr>
          <w:rFonts w:hint="eastAsia" w:ascii="宋体" w:hAnsi="宋体" w:cs="宋体"/>
          <w:sz w:val="24"/>
          <w:szCs w:val="24"/>
        </w:rPr>
        <w:t>。</w:t>
      </w:r>
    </w:p>
    <w:p w14:paraId="21DA5160">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3.2 甲方支付前由乙方提出支付申请，经甲方审核付款内容达到合同约定且无质量和服务问题后予以支付。支付前，乙方按照合同的要求开具相应金额的</w:t>
      </w:r>
      <w:r>
        <w:rPr>
          <w:rFonts w:hint="eastAsia" w:ascii="宋体" w:hAnsi="宋体" w:cs="宋体"/>
          <w:sz w:val="24"/>
          <w:szCs w:val="24"/>
          <w:u w:val="single"/>
        </w:rPr>
        <w:t xml:space="preserve">     </w:t>
      </w:r>
      <w:r>
        <w:rPr>
          <w:rFonts w:hint="eastAsia" w:ascii="宋体" w:hAnsi="宋体" w:cs="宋体"/>
          <w:sz w:val="24"/>
          <w:szCs w:val="24"/>
        </w:rPr>
        <w:t>发票。</w:t>
      </w:r>
    </w:p>
    <w:p w14:paraId="7367C6FD">
      <w:pPr>
        <w:tabs>
          <w:tab w:val="left" w:pos="1701"/>
        </w:tabs>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3.3 支付方式：银行转账。</w:t>
      </w:r>
    </w:p>
    <w:p w14:paraId="76203808">
      <w:pPr>
        <w:overflowPunct w:val="0"/>
        <w:adjustRightInd w:val="0"/>
        <w:snapToGrid w:val="0"/>
        <w:spacing w:line="460" w:lineRule="exact"/>
        <w:ind w:firstLine="482"/>
        <w:rPr>
          <w:rFonts w:ascii="宋体" w:hAnsi="宋体" w:cs="宋体"/>
          <w:b/>
          <w:bCs/>
          <w:sz w:val="24"/>
          <w:szCs w:val="24"/>
        </w:rPr>
      </w:pPr>
      <w:bookmarkStart w:id="6" w:name="_Toc19087"/>
      <w:bookmarkStart w:id="7" w:name="_Toc31149"/>
      <w:r>
        <w:rPr>
          <w:rFonts w:hint="eastAsia" w:ascii="宋体" w:hAnsi="宋体" w:cs="宋体"/>
          <w:b/>
          <w:bCs/>
          <w:sz w:val="24"/>
          <w:szCs w:val="24"/>
        </w:rPr>
        <w:t>4.甲乙双方的权利和义务</w:t>
      </w:r>
      <w:bookmarkEnd w:id="6"/>
      <w:bookmarkEnd w:id="7"/>
    </w:p>
    <w:p w14:paraId="7C548F18">
      <w:pPr>
        <w:tabs>
          <w:tab w:val="left" w:pos="1701"/>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4.1甲方的权利和义务</w:t>
      </w:r>
    </w:p>
    <w:p w14:paraId="6FEABB36">
      <w:pPr>
        <w:tabs>
          <w:tab w:val="left" w:pos="1701"/>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4.1.1负责合同签订后项目实施的工作（包括与乙方的具体联系和衔接，现场安装调试时配备人员进行监管控制等）；</w:t>
      </w:r>
    </w:p>
    <w:p w14:paraId="23538A05">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4.1.2负责提供设备和项目安装调试所必须的场地和环境；</w:t>
      </w:r>
    </w:p>
    <w:p w14:paraId="2F04857F">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4.1.3负责组织成立验收小组对设备和项目进行验收并签署验收报告；</w:t>
      </w:r>
    </w:p>
    <w:p w14:paraId="62FF1C19">
      <w:pPr>
        <w:widowControl w:val="0"/>
        <w:overflowPunct w:val="0"/>
        <w:adjustRightInd w:val="0"/>
        <w:snapToGrid w:val="0"/>
        <w:spacing w:after="0" w:line="460" w:lineRule="exact"/>
        <w:ind w:firstLine="480" w:firstLineChars="200"/>
        <w:jc w:val="both"/>
        <w:rPr>
          <w:rFonts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4.1.4 按合同规定享有乙方提供的设备服务。</w:t>
      </w:r>
    </w:p>
    <w:p w14:paraId="57698014">
      <w:pPr>
        <w:tabs>
          <w:tab w:val="left" w:pos="1701"/>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4.2乙方的权利和义务</w:t>
      </w:r>
    </w:p>
    <w:p w14:paraId="080D5C09">
      <w:pPr>
        <w:widowControl w:val="0"/>
        <w:overflowPunct w:val="0"/>
        <w:adjustRightInd w:val="0"/>
        <w:snapToGrid w:val="0"/>
        <w:spacing w:after="0" w:line="460" w:lineRule="exact"/>
        <w:ind w:firstLine="480" w:firstLineChars="200"/>
        <w:jc w:val="both"/>
        <w:rPr>
          <w:rFonts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14:paraId="0C3C630C">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4.2.2乙方保证对其出售的货物享有合法的权利，保证对其出售的货物上不存在任何未曾向甲方透露的担保物权，如抵押权、质押权、留置权。</w:t>
      </w:r>
    </w:p>
    <w:p w14:paraId="331512EE">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4.2.3乙方保证甲方在合同设备（有配套软件的还包括软件产品）使用期间不受第三方提出侵犯其专利权、版权、商标权、工业设计权等的起诉。</w:t>
      </w:r>
    </w:p>
    <w:p w14:paraId="43F72665">
      <w:pPr>
        <w:widowControl w:val="0"/>
        <w:overflowPunct w:val="0"/>
        <w:adjustRightInd w:val="0"/>
        <w:snapToGrid w:val="0"/>
        <w:spacing w:after="0" w:line="460" w:lineRule="exact"/>
        <w:ind w:firstLine="480" w:firstLineChars="200"/>
        <w:jc w:val="both"/>
        <w:rPr>
          <w:rFonts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4.2.4 严格遵守商务谈判中所承诺的一切规定和条款。</w:t>
      </w:r>
    </w:p>
    <w:p w14:paraId="3BEFB1B6">
      <w:pPr>
        <w:widowControl w:val="0"/>
        <w:overflowPunct w:val="0"/>
        <w:adjustRightInd w:val="0"/>
        <w:snapToGrid w:val="0"/>
        <w:spacing w:after="0" w:line="460" w:lineRule="exact"/>
        <w:ind w:firstLine="480" w:firstLineChars="200"/>
        <w:jc w:val="both"/>
        <w:rPr>
          <w:rFonts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4.2.5 参与设备和项目的验收。</w:t>
      </w:r>
    </w:p>
    <w:p w14:paraId="0BA0BF94">
      <w:pPr>
        <w:overflowPunct w:val="0"/>
        <w:adjustRightInd w:val="0"/>
        <w:snapToGrid w:val="0"/>
        <w:spacing w:line="460" w:lineRule="exact"/>
        <w:ind w:firstLine="482"/>
        <w:rPr>
          <w:rFonts w:ascii="宋体" w:hAnsi="宋体" w:cs="宋体"/>
          <w:b/>
          <w:bCs/>
          <w:sz w:val="24"/>
          <w:szCs w:val="24"/>
        </w:rPr>
      </w:pPr>
      <w:bookmarkStart w:id="8" w:name="_Toc5778"/>
      <w:bookmarkStart w:id="9" w:name="_Toc23311"/>
      <w:r>
        <w:rPr>
          <w:rFonts w:hint="eastAsia" w:ascii="宋体" w:hAnsi="宋体" w:cs="宋体"/>
          <w:b/>
          <w:bCs/>
          <w:sz w:val="24"/>
          <w:szCs w:val="24"/>
        </w:rPr>
        <w:t>5.产品功能要求</w:t>
      </w:r>
      <w:bookmarkEnd w:id="8"/>
      <w:bookmarkEnd w:id="9"/>
    </w:p>
    <w:p w14:paraId="7361ACBA">
      <w:pPr>
        <w:tabs>
          <w:tab w:val="left" w:pos="1701"/>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产品功能符合国家质量检测标准，并满足甲方技术要求。</w:t>
      </w:r>
    </w:p>
    <w:p w14:paraId="4AE7F586">
      <w:pPr>
        <w:overflowPunct w:val="0"/>
        <w:adjustRightInd w:val="0"/>
        <w:snapToGrid w:val="0"/>
        <w:spacing w:line="460" w:lineRule="exact"/>
        <w:ind w:firstLine="482"/>
        <w:rPr>
          <w:rFonts w:ascii="宋体" w:hAnsi="宋体" w:cs="宋体"/>
          <w:b/>
          <w:bCs/>
          <w:sz w:val="24"/>
          <w:szCs w:val="24"/>
        </w:rPr>
      </w:pPr>
      <w:bookmarkStart w:id="10" w:name="_Toc3077"/>
      <w:bookmarkStart w:id="11" w:name="_Toc19004"/>
      <w:r>
        <w:rPr>
          <w:rFonts w:hint="eastAsia" w:ascii="宋体" w:hAnsi="宋体" w:cs="宋体"/>
          <w:b/>
          <w:bCs/>
          <w:sz w:val="24"/>
          <w:szCs w:val="24"/>
        </w:rPr>
        <w:t>6.配套设备要求及长期供应优惠条件</w:t>
      </w:r>
      <w:bookmarkEnd w:id="10"/>
      <w:bookmarkEnd w:id="11"/>
    </w:p>
    <w:p w14:paraId="480C327B">
      <w:pPr>
        <w:overflowPunct w:val="0"/>
        <w:adjustRightInd w:val="0"/>
        <w:snapToGrid w:val="0"/>
        <w:spacing w:line="460" w:lineRule="exact"/>
        <w:rPr>
          <w:rFonts w:ascii="宋体" w:hAnsi="宋体" w:cs="宋体"/>
          <w:sz w:val="24"/>
          <w:szCs w:val="24"/>
        </w:rPr>
      </w:pPr>
      <w:r>
        <w:rPr>
          <w:rFonts w:hint="eastAsia" w:ascii="宋体" w:hAnsi="宋体" w:cs="宋体"/>
          <w:sz w:val="24"/>
          <w:szCs w:val="24"/>
        </w:rPr>
        <w:t xml:space="preserve">    若甲方系统需要改造或扩容，所需的设备乙方以不高于合同约定的单价提供。在保修期外，对于系统内出现故障的硬件和软件，乙方承诺及时修复或更换且只收取工作的成本费。</w:t>
      </w:r>
    </w:p>
    <w:p w14:paraId="7D15AD0E">
      <w:pPr>
        <w:overflowPunct w:val="0"/>
        <w:adjustRightInd w:val="0"/>
        <w:snapToGrid w:val="0"/>
        <w:spacing w:line="460" w:lineRule="exact"/>
        <w:ind w:firstLine="482"/>
        <w:rPr>
          <w:rFonts w:ascii="宋体" w:hAnsi="宋体" w:cs="宋体"/>
          <w:b/>
          <w:bCs/>
          <w:sz w:val="24"/>
          <w:szCs w:val="24"/>
        </w:rPr>
      </w:pPr>
      <w:bookmarkStart w:id="12" w:name="_Toc629"/>
      <w:bookmarkStart w:id="13" w:name="_Toc21406"/>
      <w:r>
        <w:rPr>
          <w:rFonts w:hint="eastAsia" w:ascii="宋体" w:hAnsi="宋体" w:cs="宋体"/>
          <w:b/>
          <w:bCs/>
          <w:sz w:val="24"/>
          <w:szCs w:val="24"/>
        </w:rPr>
        <w:t>7.备品备件（含易损件）要求及长期供应优惠条件</w:t>
      </w:r>
      <w:bookmarkEnd w:id="12"/>
      <w:bookmarkEnd w:id="13"/>
    </w:p>
    <w:p w14:paraId="2DEE3988">
      <w:pPr>
        <w:overflowPunct w:val="0"/>
        <w:adjustRightInd w:val="0"/>
        <w:snapToGrid w:val="0"/>
        <w:spacing w:line="460" w:lineRule="exact"/>
        <w:rPr>
          <w:rFonts w:ascii="宋体" w:hAnsi="宋体" w:cs="宋体"/>
          <w:sz w:val="24"/>
          <w:szCs w:val="24"/>
        </w:rPr>
      </w:pPr>
      <w:r>
        <w:rPr>
          <w:rFonts w:hint="eastAsia" w:ascii="宋体" w:hAnsi="宋体" w:cs="宋体"/>
          <w:sz w:val="24"/>
          <w:szCs w:val="24"/>
        </w:rPr>
        <w:t xml:space="preserve">    乙方严格按照招投标文件执行并确保满足甲方需要，具体要求详见招投标文件和本合同附件：供货清单。乙方同时承诺：乙方向甲方提供的备品备件（含易损件）不高于市场同类产品的价格。</w:t>
      </w:r>
    </w:p>
    <w:p w14:paraId="001D59D8">
      <w:pPr>
        <w:overflowPunct w:val="0"/>
        <w:adjustRightInd w:val="0"/>
        <w:snapToGrid w:val="0"/>
        <w:spacing w:line="460" w:lineRule="exact"/>
        <w:ind w:firstLine="482"/>
        <w:rPr>
          <w:rFonts w:ascii="宋体" w:hAnsi="宋体" w:cs="宋体"/>
          <w:b/>
          <w:bCs/>
          <w:sz w:val="24"/>
          <w:szCs w:val="24"/>
        </w:rPr>
      </w:pPr>
      <w:bookmarkStart w:id="14" w:name="_Toc16387"/>
      <w:bookmarkStart w:id="15" w:name="_Toc12574"/>
      <w:r>
        <w:rPr>
          <w:rFonts w:hint="eastAsia" w:ascii="宋体" w:hAnsi="宋体" w:cs="宋体"/>
          <w:b/>
          <w:bCs/>
          <w:sz w:val="24"/>
          <w:szCs w:val="24"/>
        </w:rPr>
        <w:t>8.包装、标记和运输</w:t>
      </w:r>
      <w:bookmarkEnd w:id="14"/>
      <w:bookmarkEnd w:id="15"/>
    </w:p>
    <w:p w14:paraId="099BE161">
      <w:pPr>
        <w:widowControl w:val="0"/>
        <w:overflowPunct w:val="0"/>
        <w:adjustRightInd w:val="0"/>
        <w:snapToGrid w:val="0"/>
        <w:spacing w:after="0"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7E694CA0">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8.2 下列资料包装在合同货物的包装箱中：</w:t>
      </w:r>
    </w:p>
    <w:p w14:paraId="32F6CCA9">
      <w:pPr>
        <w:widowControl w:val="0"/>
        <w:overflowPunct w:val="0"/>
        <w:adjustRightInd w:val="0"/>
        <w:snapToGrid w:val="0"/>
        <w:spacing w:after="0"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8.2.1 装箱单。</w:t>
      </w:r>
    </w:p>
    <w:p w14:paraId="0C36237B">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8.2.2 合同货物数量和货物制造商出具的质量合格证书、保修证书。</w:t>
      </w:r>
    </w:p>
    <w:p w14:paraId="3ECAF022">
      <w:pPr>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sz w:val="24"/>
          <w:szCs w:val="24"/>
        </w:rPr>
        <w:t xml:space="preserve">8.2.3 </w:t>
      </w:r>
      <w:r>
        <w:rPr>
          <w:rFonts w:hint="eastAsia" w:ascii="宋体" w:hAnsi="宋体" w:cs="宋体"/>
          <w:color w:val="000000"/>
          <w:sz w:val="24"/>
          <w:szCs w:val="24"/>
        </w:rPr>
        <w:t>随机备品备件、配件、工具、图纸、使用说明书及</w:t>
      </w:r>
      <w:r>
        <w:rPr>
          <w:rFonts w:hint="eastAsia" w:ascii="宋体" w:hAnsi="宋体" w:cs="宋体"/>
          <w:sz w:val="24"/>
          <w:szCs w:val="24"/>
        </w:rPr>
        <w:t>其它必要的技术资料（中文）</w:t>
      </w:r>
      <w:r>
        <w:rPr>
          <w:rFonts w:hint="eastAsia" w:ascii="宋体" w:hAnsi="宋体" w:cs="宋体"/>
          <w:color w:val="000000"/>
          <w:sz w:val="24"/>
          <w:szCs w:val="24"/>
        </w:rPr>
        <w:t>。</w:t>
      </w:r>
    </w:p>
    <w:p w14:paraId="3F4E9B2F">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8.3 乙方对合同货物包装不善、标记不明、防护措施不当或在合同货物装箱前保管不良，致使合同货物遭到损坏或丢失，乙方应负责免费修理或更换，并承担由此给甲方造成的一切损失。</w:t>
      </w:r>
    </w:p>
    <w:p w14:paraId="77DA6EC9">
      <w:pPr>
        <w:widowControl w:val="0"/>
        <w:overflowPunct w:val="0"/>
        <w:adjustRightInd w:val="0"/>
        <w:snapToGrid w:val="0"/>
        <w:spacing w:after="0"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8.4 货物（产品）运输方式：</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w:t>
      </w:r>
    </w:p>
    <w:p w14:paraId="082DB62A">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8.5 乙方负责货物（产品）运输，货物运输的合理损耗及计算方法</w:t>
      </w:r>
      <w:r>
        <w:rPr>
          <w:rFonts w:hint="eastAsia" w:ascii="宋体" w:hAnsi="宋体" w:cs="宋体"/>
          <w:sz w:val="24"/>
          <w:szCs w:val="24"/>
          <w:u w:val="single"/>
        </w:rPr>
        <w:t xml:space="preserve">        </w:t>
      </w:r>
      <w:r>
        <w:rPr>
          <w:rFonts w:hint="eastAsia" w:ascii="宋体" w:hAnsi="宋体" w:cs="宋体"/>
          <w:sz w:val="24"/>
          <w:szCs w:val="24"/>
        </w:rPr>
        <w:t>。</w:t>
      </w:r>
    </w:p>
    <w:p w14:paraId="435FB1E4">
      <w:pPr>
        <w:overflowPunct w:val="0"/>
        <w:adjustRightInd w:val="0"/>
        <w:snapToGrid w:val="0"/>
        <w:spacing w:line="460" w:lineRule="exact"/>
        <w:ind w:firstLine="482"/>
        <w:rPr>
          <w:rFonts w:ascii="宋体" w:hAnsi="宋体" w:cs="宋体"/>
          <w:b/>
          <w:bCs/>
          <w:sz w:val="24"/>
          <w:szCs w:val="24"/>
        </w:rPr>
      </w:pPr>
      <w:bookmarkStart w:id="16" w:name="_Toc9580"/>
      <w:bookmarkStart w:id="17" w:name="_Toc16421"/>
      <w:r>
        <w:rPr>
          <w:rFonts w:hint="eastAsia" w:ascii="宋体" w:hAnsi="宋体" w:cs="宋体"/>
          <w:b/>
          <w:bCs/>
          <w:sz w:val="24"/>
          <w:szCs w:val="24"/>
        </w:rPr>
        <w:t>9.交货</w:t>
      </w:r>
      <w:bookmarkEnd w:id="16"/>
      <w:bookmarkEnd w:id="17"/>
    </w:p>
    <w:p w14:paraId="11A35C59">
      <w:pPr>
        <w:widowControl w:val="0"/>
        <w:overflowPunct w:val="0"/>
        <w:adjustRightInd w:val="0"/>
        <w:snapToGrid w:val="0"/>
        <w:spacing w:after="0"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9.1 交货地点：甲方指定地点。</w:t>
      </w:r>
    </w:p>
    <w:p w14:paraId="612CB1B6">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9.2 交货日期：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FB3FED3">
      <w:pPr>
        <w:tabs>
          <w:tab w:val="left" w:pos="567"/>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9.3</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4218E15E">
      <w:pPr>
        <w:widowControl w:val="0"/>
        <w:tabs>
          <w:tab w:val="left" w:pos="709"/>
        </w:tabs>
        <w:overflowPunct w:val="0"/>
        <w:adjustRightInd w:val="0"/>
        <w:snapToGrid w:val="0"/>
        <w:spacing w:after="0"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9.4 </w:t>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交货时甲方对乙方承诺的产品包装的环保材料进行验收，必要时乙方需提供检测报告，甲方发现虚假承诺时，将扣除总货款的5%作为处罚。</w:t>
      </w:r>
    </w:p>
    <w:p w14:paraId="1601E701">
      <w:pPr>
        <w:overflowPunct w:val="0"/>
        <w:adjustRightInd w:val="0"/>
        <w:snapToGrid w:val="0"/>
        <w:spacing w:line="460" w:lineRule="exact"/>
        <w:ind w:firstLine="482"/>
        <w:rPr>
          <w:rFonts w:ascii="宋体" w:hAnsi="宋体" w:cs="宋体"/>
          <w:b/>
          <w:bCs/>
          <w:sz w:val="24"/>
          <w:szCs w:val="24"/>
        </w:rPr>
      </w:pPr>
      <w:bookmarkStart w:id="18" w:name="_Toc4864"/>
      <w:bookmarkStart w:id="19" w:name="_Toc25880"/>
      <w:r>
        <w:rPr>
          <w:rFonts w:hint="eastAsia" w:ascii="宋体" w:hAnsi="宋体" w:cs="宋体"/>
          <w:b/>
          <w:bCs/>
          <w:sz w:val="24"/>
          <w:szCs w:val="24"/>
        </w:rPr>
        <w:t>10.质量保证</w:t>
      </w:r>
      <w:bookmarkEnd w:id="18"/>
      <w:bookmarkEnd w:id="19"/>
    </w:p>
    <w:p w14:paraId="09C569D2">
      <w:pPr>
        <w:tabs>
          <w:tab w:val="left" w:pos="810"/>
        </w:tabs>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10.1自设备验收合格后，货物（产品）的原厂质保期为</w:t>
      </w:r>
      <w:r>
        <w:rPr>
          <w:rFonts w:hint="eastAsia" w:ascii="宋体" w:hAnsi="宋体" w:cs="宋体"/>
          <w:color w:val="000000"/>
          <w:sz w:val="24"/>
          <w:szCs w:val="24"/>
          <w:u w:val="single"/>
        </w:rPr>
        <w:t xml:space="preserve">  </w:t>
      </w:r>
      <w:r>
        <w:rPr>
          <w:rFonts w:hint="eastAsia" w:ascii="宋体" w:hAnsi="宋体" w:cs="宋体"/>
          <w:color w:val="000000"/>
          <w:sz w:val="24"/>
          <w:szCs w:val="24"/>
        </w:rPr>
        <w:t>年；投标人的售后服务期为</w:t>
      </w:r>
      <w:r>
        <w:rPr>
          <w:rFonts w:hint="eastAsia" w:ascii="宋体" w:hAnsi="宋体" w:cs="宋体"/>
          <w:color w:val="000000"/>
          <w:sz w:val="24"/>
          <w:szCs w:val="24"/>
          <w:u w:val="single"/>
        </w:rPr>
        <w:t xml:space="preserve">  </w:t>
      </w:r>
      <w:r>
        <w:rPr>
          <w:rFonts w:hint="eastAsia" w:ascii="宋体" w:hAnsi="宋体" w:cs="宋体"/>
          <w:color w:val="000000"/>
          <w:sz w:val="24"/>
          <w:szCs w:val="24"/>
        </w:rPr>
        <w:t>年(含质保期)，质保期内乙方提供免费维修，售后服务期间内甲方支付材料费。</w:t>
      </w:r>
    </w:p>
    <w:p w14:paraId="5D9586AA">
      <w:pPr>
        <w:tabs>
          <w:tab w:val="left" w:pos="810"/>
        </w:tabs>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10.2货物必须是原厂生产的未曾使用过的全新的合格产品，所用材料必须保证质量可靠、原材料进货渠道正规，符合国家质量性能检测标准及该产品的出厂标准。</w:t>
      </w:r>
    </w:p>
    <w:p w14:paraId="046616F8">
      <w:pPr>
        <w:tabs>
          <w:tab w:val="left" w:pos="810"/>
          <w:tab w:val="left" w:pos="993"/>
        </w:tabs>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10.3</w:t>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质量标准按照最新颁布的国家标准、行业标准或制造商企业标准确定，上述标准不一致的，以严格标准为准。</w:t>
      </w:r>
    </w:p>
    <w:p w14:paraId="49F15D2B">
      <w:pPr>
        <w:tabs>
          <w:tab w:val="left" w:pos="810"/>
        </w:tabs>
        <w:overflowPunct w:val="0"/>
        <w:adjustRightInd w:val="0"/>
        <w:snapToGrid w:val="0"/>
        <w:spacing w:line="460" w:lineRule="exact"/>
        <w:ind w:firstLine="120" w:firstLineChars="50"/>
        <w:rPr>
          <w:rFonts w:ascii="宋体" w:hAnsi="宋体" w:cs="宋体"/>
          <w:color w:val="000000"/>
          <w:sz w:val="24"/>
          <w:szCs w:val="24"/>
        </w:rPr>
      </w:pPr>
      <w:r>
        <w:rPr>
          <w:rFonts w:hint="eastAsia" w:ascii="宋体" w:hAnsi="宋体" w:cs="宋体"/>
          <w:color w:val="000000"/>
          <w:sz w:val="24"/>
          <w:szCs w:val="24"/>
        </w:rPr>
        <w:t xml:space="preserve">   10.4</w:t>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ab/>
      </w:r>
      <w:r>
        <w:rPr>
          <w:rFonts w:hint="eastAsia" w:ascii="宋体" w:hAnsi="宋体" w:cs="宋体"/>
          <w:color w:val="000000"/>
          <w:sz w:val="24"/>
          <w:szCs w:val="24"/>
        </w:rPr>
        <w:t>货物参数指标必须与其标示的技术指标项符合，甲方有权在货物的有效质保期内依据技术指标对该货物进行技术校验，其主要的技术参数达不到标准时，甲方将按本合同第13条相关条款执行。</w:t>
      </w:r>
    </w:p>
    <w:p w14:paraId="340CFC3B">
      <w:pPr>
        <w:tabs>
          <w:tab w:val="left" w:pos="810"/>
        </w:tabs>
        <w:overflowPunct w:val="0"/>
        <w:adjustRightInd w:val="0"/>
        <w:snapToGrid w:val="0"/>
        <w:spacing w:line="460" w:lineRule="exact"/>
        <w:ind w:firstLine="480" w:firstLineChars="200"/>
        <w:rPr>
          <w:rFonts w:ascii="宋体" w:hAnsi="宋体" w:cs="宋体"/>
          <w:color w:val="000000"/>
          <w:sz w:val="24"/>
          <w:szCs w:val="24"/>
        </w:rPr>
      </w:pPr>
      <w:r>
        <w:rPr>
          <w:rFonts w:hint="eastAsia" w:ascii="宋体" w:hAnsi="宋体" w:cs="宋体"/>
          <w:color w:val="000000"/>
          <w:sz w:val="24"/>
          <w:szCs w:val="24"/>
        </w:rPr>
        <w:t>10.5 乙方所提供货物还应符合国家和陕西省有关安全、环保、节能之规定，“3C”认证的货物（产品）应加贴“3C”认证标志。</w:t>
      </w:r>
    </w:p>
    <w:p w14:paraId="616AD176">
      <w:pPr>
        <w:tabs>
          <w:tab w:val="left" w:pos="810"/>
        </w:tabs>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color w:val="000000"/>
          <w:sz w:val="24"/>
          <w:szCs w:val="24"/>
        </w:rPr>
        <w:t>10.6 货物制造质量出现问题，乙方应负责三包（包修、包换、包退），费用由乙方负担。</w:t>
      </w:r>
    </w:p>
    <w:p w14:paraId="0BE455B7">
      <w:pPr>
        <w:overflowPunct w:val="0"/>
        <w:adjustRightInd w:val="0"/>
        <w:snapToGrid w:val="0"/>
        <w:spacing w:line="460" w:lineRule="exact"/>
        <w:ind w:firstLine="482"/>
        <w:rPr>
          <w:rFonts w:ascii="宋体" w:hAnsi="宋体" w:cs="宋体"/>
          <w:b/>
          <w:bCs/>
          <w:sz w:val="24"/>
          <w:szCs w:val="24"/>
        </w:rPr>
      </w:pPr>
      <w:bookmarkStart w:id="20" w:name="_Toc14336"/>
      <w:bookmarkStart w:id="21" w:name="_Toc30488"/>
      <w:r>
        <w:rPr>
          <w:rFonts w:hint="eastAsia" w:ascii="宋体" w:hAnsi="宋体" w:cs="宋体"/>
          <w:b/>
          <w:bCs/>
          <w:sz w:val="24"/>
          <w:szCs w:val="24"/>
        </w:rPr>
        <w:t>11.验收及验收标准</w:t>
      </w:r>
      <w:bookmarkEnd w:id="20"/>
      <w:bookmarkEnd w:id="21"/>
    </w:p>
    <w:p w14:paraId="49BE997B">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11.1货物验收由甲方组织，乙方配合，并按下列程序进行：</w:t>
      </w:r>
    </w:p>
    <w:p w14:paraId="66541073">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11.1.1货物初验：乙方应在货物到货之日起</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日内全部完成安装调试完毕；乙方安装调试完毕后</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日内完成初步验收；初步验收合格后，进入</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日试用期；试用期间发生重大质量问题，修复后试用期相应顺延。</w:t>
      </w:r>
    </w:p>
    <w:p w14:paraId="4467BC36">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11.1.2 货物终验：试用期结束后</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日内完成最终验收。</w:t>
      </w:r>
    </w:p>
    <w:p w14:paraId="45328AB8">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11.1.3 质量验收合格，双方签署质量验收报告。</w:t>
      </w:r>
    </w:p>
    <w:p w14:paraId="7B1CDD0A">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11.2 货物验收依据：</w:t>
      </w:r>
    </w:p>
    <w:p w14:paraId="7E333A2A">
      <w:pPr>
        <w:widowControl w:val="0"/>
        <w:overflowPunct w:val="0"/>
        <w:adjustRightInd w:val="0"/>
        <w:snapToGrid w:val="0"/>
        <w:spacing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11.2.1 采购合同及补充协议；</w:t>
      </w:r>
    </w:p>
    <w:p w14:paraId="18F944B3">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11.2.2 质检部门抽样检查货物（产品）合格的检测报告（按甲方要求）。</w:t>
      </w:r>
    </w:p>
    <w:p w14:paraId="4E9C821D">
      <w:pPr>
        <w:widowControl w:val="0"/>
        <w:overflowPunct w:val="0"/>
        <w:adjustRightInd w:val="0"/>
        <w:snapToGrid w:val="0"/>
        <w:spacing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11.2.3 招标文件；</w:t>
      </w:r>
    </w:p>
    <w:p w14:paraId="0DB282C9">
      <w:pPr>
        <w:widowControl w:val="0"/>
        <w:overflowPunct w:val="0"/>
        <w:adjustRightInd w:val="0"/>
        <w:snapToGrid w:val="0"/>
        <w:spacing w:line="460" w:lineRule="exact"/>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11.2.4 投标文件。</w:t>
      </w:r>
    </w:p>
    <w:p w14:paraId="145990B0">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 货物验收时发现问题的处理办法：</w:t>
      </w:r>
    </w:p>
    <w:p w14:paraId="32D25686">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11.3.1 乙方提供不符合招标文件和本合同规定的货物（产品），甲方有权拒绝接受；</w:t>
      </w:r>
    </w:p>
    <w:p w14:paraId="5E12BED6">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46DB22B5">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11.3.4 如货物经乙方</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次维修仍不能达到合同约定的质量标准，甲方有权退货，并视作乙方不能交付货物而须支付违约赔偿金给甲方，甲方还可依法追究乙方的违约责任； </w:t>
      </w:r>
    </w:p>
    <w:p w14:paraId="5487577B">
      <w:pPr>
        <w:widowControl w:val="0"/>
        <w:tabs>
          <w:tab w:val="left" w:pos="426"/>
        </w:tabs>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11.3.5</w:t>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ab/>
      </w:r>
      <w:r>
        <w:rPr>
          <w:rFonts w:hint="eastAsia" w:ascii="宋体" w:hAnsi="宋体" w:eastAsia="宋体" w:cs="宋体"/>
          <w:sz w:val="24"/>
          <w:szCs w:val="24"/>
          <w:lang w:val="en-US" w:eastAsia="zh-CN" w:bidi="ar-SA"/>
        </w:rPr>
        <w:t>货物安装完成后</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日内，甲方无故不进行验收工作并已使用货物的，视同已安装调试完成并验收合格；</w:t>
      </w:r>
    </w:p>
    <w:p w14:paraId="66769345">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11.3.6 乙方不能完整交付货物及本条第一款规定的单证和工具的，必须负责补齐，否则视为未按合同约定交货；</w:t>
      </w:r>
    </w:p>
    <w:p w14:paraId="039BF7A5">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 xml:space="preserve">11.3.7  </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w:t>
      </w:r>
    </w:p>
    <w:p w14:paraId="7B7884F3">
      <w:pPr>
        <w:overflowPunct w:val="0"/>
        <w:adjustRightInd w:val="0"/>
        <w:snapToGrid w:val="0"/>
        <w:spacing w:line="460" w:lineRule="exact"/>
        <w:ind w:firstLine="482"/>
        <w:rPr>
          <w:rFonts w:ascii="宋体" w:hAnsi="宋体" w:cs="宋体"/>
          <w:b/>
          <w:bCs/>
          <w:sz w:val="24"/>
          <w:szCs w:val="24"/>
        </w:rPr>
      </w:pPr>
      <w:bookmarkStart w:id="22" w:name="_Toc29064"/>
      <w:bookmarkStart w:id="23" w:name="_Toc4718"/>
      <w:r>
        <w:rPr>
          <w:rFonts w:hint="eastAsia" w:ascii="宋体" w:hAnsi="宋体" w:cs="宋体"/>
          <w:b/>
          <w:bCs/>
          <w:sz w:val="24"/>
          <w:szCs w:val="24"/>
        </w:rPr>
        <w:t>12.技术培训</w:t>
      </w:r>
      <w:bookmarkEnd w:id="22"/>
      <w:bookmarkEnd w:id="23"/>
    </w:p>
    <w:p w14:paraId="70624FBD">
      <w:pPr>
        <w:widowControl w:val="0"/>
        <w:overflowPunct w:val="0"/>
        <w:adjustRightInd w:val="0"/>
        <w:snapToGrid w:val="0"/>
        <w:spacing w:after="0" w:line="460" w:lineRule="exact"/>
        <w:ind w:firstLine="480" w:firstLineChars="200"/>
        <w:jc w:val="both"/>
        <w:rPr>
          <w:rFonts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乙方向甲方提供</w:t>
      </w:r>
      <w:r>
        <w:rPr>
          <w:rFonts w:hint="eastAsia" w:ascii="宋体" w:hAnsi="宋体" w:eastAsia="宋体" w:cs="宋体"/>
          <w:sz w:val="24"/>
          <w:szCs w:val="24"/>
          <w:u w:val="single"/>
          <w:shd w:val="clear" w:color="auto" w:fill="FFFFFF"/>
          <w:lang w:val="en-US" w:eastAsia="zh-CN" w:bidi="ar-SA"/>
        </w:rPr>
        <w:t xml:space="preserve">  </w:t>
      </w:r>
      <w:r>
        <w:rPr>
          <w:rFonts w:hint="eastAsia" w:ascii="宋体" w:hAnsi="宋体" w:eastAsia="宋体" w:cs="宋体"/>
          <w:sz w:val="24"/>
          <w:szCs w:val="24"/>
          <w:shd w:val="clear" w:color="auto" w:fill="FFFFFF"/>
          <w:lang w:val="en-US" w:eastAsia="zh-CN" w:bidi="ar-SA"/>
        </w:rPr>
        <w:t>天的设备使用人员现场例行免费培训，培训内容包括设备的使用、一般的维修、维护及保养等；食宿自理（各自负责）；其他由甲乙双方协定。</w:t>
      </w:r>
    </w:p>
    <w:p w14:paraId="1FCC9697">
      <w:pPr>
        <w:overflowPunct w:val="0"/>
        <w:adjustRightInd w:val="0"/>
        <w:snapToGrid w:val="0"/>
        <w:spacing w:line="460" w:lineRule="exact"/>
        <w:ind w:firstLine="482"/>
        <w:rPr>
          <w:rFonts w:ascii="宋体" w:hAnsi="宋体" w:cs="宋体"/>
          <w:b/>
          <w:bCs/>
          <w:sz w:val="24"/>
          <w:szCs w:val="24"/>
        </w:rPr>
      </w:pPr>
      <w:bookmarkStart w:id="24" w:name="_Toc11999"/>
      <w:bookmarkStart w:id="25" w:name="_Toc6139"/>
      <w:r>
        <w:rPr>
          <w:rFonts w:hint="eastAsia" w:ascii="宋体" w:hAnsi="宋体" w:cs="宋体"/>
          <w:b/>
          <w:bCs/>
          <w:sz w:val="24"/>
          <w:szCs w:val="24"/>
        </w:rPr>
        <w:t>13.技术支持</w:t>
      </w:r>
      <w:bookmarkEnd w:id="24"/>
      <w:bookmarkEnd w:id="25"/>
    </w:p>
    <w:p w14:paraId="6A1CF03C">
      <w:pPr>
        <w:widowControl w:val="0"/>
        <w:overflowPunct w:val="0"/>
        <w:adjustRightInd w:val="0"/>
        <w:snapToGrid w:val="0"/>
        <w:spacing w:after="0" w:line="460" w:lineRule="exact"/>
        <w:jc w:val="both"/>
        <w:rPr>
          <w:rFonts w:ascii="宋体" w:hAnsi="宋体" w:eastAsia="宋体" w:cs="宋体"/>
          <w:b/>
          <w:bCs/>
          <w:sz w:val="24"/>
          <w:szCs w:val="24"/>
          <w:lang w:val="en-US" w:eastAsia="zh-CN" w:bidi="ar-SA"/>
        </w:rPr>
      </w:pPr>
      <w:r>
        <w:rPr>
          <w:rFonts w:hint="eastAsia" w:ascii="宋体" w:hAnsi="宋体" w:eastAsia="宋体" w:cs="宋体"/>
          <w:sz w:val="24"/>
          <w:szCs w:val="24"/>
          <w:shd w:val="clear" w:color="auto" w:fill="FFFFFF"/>
          <w:lang w:val="en-US" w:eastAsia="zh-CN" w:bidi="ar-SA"/>
        </w:rPr>
        <w:t xml:space="preserve">    甲方在设备使用过程中发生技术质量问题，乙方应提供及时有效的技术支持。乙方技术支持联系人：</w:t>
      </w:r>
      <w:r>
        <w:rPr>
          <w:rFonts w:hint="eastAsia" w:ascii="宋体" w:hAnsi="宋体" w:eastAsia="宋体" w:cs="宋体"/>
          <w:sz w:val="24"/>
          <w:szCs w:val="24"/>
          <w:u w:val="single"/>
          <w:shd w:val="clear" w:color="auto" w:fill="FFFFFF"/>
          <w:lang w:val="en-US" w:eastAsia="zh-CN" w:bidi="ar-SA"/>
        </w:rPr>
        <w:t xml:space="preserve">            </w:t>
      </w:r>
      <w:r>
        <w:rPr>
          <w:rFonts w:hint="eastAsia" w:ascii="宋体" w:hAnsi="宋体" w:eastAsia="宋体" w:cs="宋体"/>
          <w:sz w:val="24"/>
          <w:szCs w:val="24"/>
          <w:shd w:val="clear" w:color="auto" w:fill="FFFFFF"/>
          <w:lang w:val="en-US" w:eastAsia="zh-CN" w:bidi="ar-SA"/>
        </w:rPr>
        <w:t xml:space="preserve"> 联系电话：</w:t>
      </w:r>
      <w:r>
        <w:rPr>
          <w:rFonts w:hint="eastAsia" w:ascii="宋体" w:hAnsi="宋体" w:eastAsia="宋体" w:cs="宋体"/>
          <w:b/>
          <w:bCs/>
          <w:sz w:val="24"/>
          <w:szCs w:val="24"/>
          <w:u w:val="single"/>
          <w:lang w:val="en-US" w:eastAsia="zh-CN" w:bidi="ar-SA"/>
        </w:rPr>
        <w:t xml:space="preserve">          </w:t>
      </w:r>
    </w:p>
    <w:p w14:paraId="0394BBEA">
      <w:pPr>
        <w:overflowPunct w:val="0"/>
        <w:adjustRightInd w:val="0"/>
        <w:snapToGrid w:val="0"/>
        <w:spacing w:line="460" w:lineRule="exact"/>
        <w:ind w:firstLine="482"/>
        <w:rPr>
          <w:rFonts w:ascii="宋体" w:hAnsi="宋体" w:cs="宋体"/>
          <w:b/>
          <w:bCs/>
          <w:sz w:val="24"/>
          <w:szCs w:val="24"/>
        </w:rPr>
      </w:pPr>
      <w:bookmarkStart w:id="26" w:name="_Toc1419"/>
      <w:bookmarkStart w:id="27" w:name="_Toc9936"/>
      <w:r>
        <w:rPr>
          <w:rFonts w:hint="eastAsia" w:ascii="宋体" w:hAnsi="宋体" w:cs="宋体"/>
          <w:b/>
          <w:bCs/>
          <w:sz w:val="24"/>
          <w:szCs w:val="24"/>
        </w:rPr>
        <w:t>14.售后服务要求</w:t>
      </w:r>
      <w:bookmarkEnd w:id="26"/>
      <w:bookmarkEnd w:id="27"/>
    </w:p>
    <w:p w14:paraId="43862A16">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14.1 凡正常使用中出现的故障，均由乙方负责提供免费检测维修、更换不合格的零部件直至整机（更换的零部件或整机应保证自更换之日起提供相同的质量保证期）正常使用。若需返厂处理，乙方应承担相关费用。同时记录检修情况，并向甲方提供检修报告。</w:t>
      </w:r>
    </w:p>
    <w:p w14:paraId="6C2157A7">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14.2 凡设备发生质量问题或出现其他故障，接到甲方通知后，乙方的服务响应时间不超过</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小时，并且在</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小时内派专业维修人员到达现场，排除故障的期限最长不得超过</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个工作日，否则甲方有权指定第三方维修，维修费用由乙方承担。</w:t>
      </w:r>
    </w:p>
    <w:p w14:paraId="533C7A0A">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14.3 免费提供每周7×24小时不间断的电话支持服务，解答用户在使用过程中遇到的问题，及时提出解决问题的建议和对策。</w:t>
      </w:r>
    </w:p>
    <w:p w14:paraId="05B258D3">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14.4 定期派专业维修人员到现场走访，给予检查维护。并向甲方提供巡检单（一式两份，由双方签字确认），内容包含但不限于巡检时间、巡检内容、巡检结果。</w:t>
      </w:r>
    </w:p>
    <w:p w14:paraId="23036084">
      <w:pPr>
        <w:widowControl w:val="0"/>
        <w:overflowPunct w:val="0"/>
        <w:adjustRightInd w:val="0"/>
        <w:snapToGrid w:val="0"/>
        <w:spacing w:line="460" w:lineRule="exact"/>
        <w:ind w:firstLine="480" w:firstLineChars="200"/>
        <w:jc w:val="both"/>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14.5  款项结清前，对所供产品进行一次全面检测、保养和维护。</w:t>
      </w:r>
    </w:p>
    <w:p w14:paraId="54F6A39A">
      <w:pPr>
        <w:overflowPunct w:val="0"/>
        <w:adjustRightInd w:val="0"/>
        <w:snapToGrid w:val="0"/>
        <w:spacing w:line="460" w:lineRule="exact"/>
        <w:ind w:firstLine="482"/>
        <w:rPr>
          <w:rFonts w:ascii="宋体" w:hAnsi="宋体" w:cs="宋体"/>
          <w:b/>
          <w:bCs/>
          <w:sz w:val="24"/>
          <w:szCs w:val="24"/>
        </w:rPr>
      </w:pPr>
      <w:bookmarkStart w:id="28" w:name="_Toc9696"/>
      <w:bookmarkStart w:id="29" w:name="_Toc29588"/>
      <w:r>
        <w:rPr>
          <w:rFonts w:hint="eastAsia" w:ascii="宋体" w:hAnsi="宋体" w:cs="宋体"/>
          <w:b/>
          <w:bCs/>
          <w:sz w:val="24"/>
          <w:szCs w:val="24"/>
        </w:rPr>
        <w:t>15.违约责任</w:t>
      </w:r>
      <w:bookmarkEnd w:id="28"/>
      <w:bookmarkEnd w:id="29"/>
    </w:p>
    <w:p w14:paraId="4A77B609">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15.1 本合同若与甲方的上级管理机关的政策性行为或其他规定发生冲突，甲方有权与乙方协商调整合同内容或终止合同执行。</w:t>
      </w:r>
    </w:p>
    <w:p w14:paraId="30BE4168">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向甲方支付违约金并赔偿甲方因此而遭受的一切损失。</w:t>
      </w:r>
    </w:p>
    <w:p w14:paraId="52D2C01A">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向甲方支付违约金并赔偿甲方因此而遭受的一切损失。</w:t>
      </w:r>
    </w:p>
    <w:p w14:paraId="22C7DC1E">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15.4 除发生不可抗力事件（不可抗力事件仅指自然灾害、战争）外，如乙方逾期交货或安装调试逾期，则每逾期一天，乙方按合同总价的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向甲方支付违约金，逾期30天，甲方有权解除合同并追究乙方违约责任，乙方应返还甲方已支付的全部款项，并按合同总价款的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向甲方支付违约金并赔偿甲方因此而遭受的一切损失。</w:t>
      </w:r>
    </w:p>
    <w:p w14:paraId="1EA9D348">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15.5 保修期内，如乙方未按本合同约定提供保修服务，由甲方有权追究乙方违约责任，乙方应按合同总价款的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向甲方支付违约金并赔偿甲方因此而遭受的一切损失。</w:t>
      </w:r>
    </w:p>
    <w:p w14:paraId="400271CB">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15.6 如乙方出现除上述13.2-13.5条以外的其他违约行为或违反保证与承诺义务，应按合同总价款的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向甲方支付违约金并赔偿甲方因此而遭受的一切损失。</w:t>
      </w:r>
    </w:p>
    <w:p w14:paraId="4BF86164">
      <w:pPr>
        <w:tabs>
          <w:tab w:val="left" w:pos="1155"/>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 xml:space="preserve">15.7 </w:t>
      </w:r>
      <w:r>
        <w:rPr>
          <w:rFonts w:hint="eastAsia" w:ascii="宋体" w:hAnsi="宋体" w:cs="宋体"/>
          <w:sz w:val="24"/>
          <w:szCs w:val="24"/>
          <w:shd w:val="clear" w:color="auto" w:fill="FFFFFF"/>
        </w:rPr>
        <w:tab/>
      </w:r>
      <w:r>
        <w:rPr>
          <w:rFonts w:hint="eastAsia" w:ascii="宋体" w:hAnsi="宋体" w:cs="宋体"/>
          <w:sz w:val="24"/>
          <w:szCs w:val="24"/>
          <w:shd w:val="clear" w:color="auto" w:fill="FFFFFF"/>
        </w:rPr>
        <w:t>甲方无正当理由拒收设备，应按合同总价款的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向乙方支付违约金以作为对乙方的赔偿。</w:t>
      </w:r>
    </w:p>
    <w:p w14:paraId="6FEB8D98">
      <w:pPr>
        <w:tabs>
          <w:tab w:val="left" w:pos="1155"/>
        </w:tabs>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 xml:space="preserve">15.8 </w:t>
      </w:r>
      <w:r>
        <w:rPr>
          <w:rFonts w:hint="eastAsia" w:ascii="宋体" w:hAnsi="宋体" w:cs="宋体"/>
          <w:sz w:val="24"/>
          <w:szCs w:val="24"/>
          <w:shd w:val="clear" w:color="auto" w:fill="FFFFFF"/>
        </w:rPr>
        <w:tab/>
      </w:r>
      <w:r>
        <w:rPr>
          <w:rFonts w:hint="eastAsia" w:ascii="宋体" w:hAnsi="宋体" w:cs="宋体"/>
          <w:sz w:val="24"/>
          <w:szCs w:val="24"/>
          <w:shd w:val="clear" w:color="auto" w:fill="FFFFFF"/>
        </w:rPr>
        <w:tab/>
      </w:r>
      <w:r>
        <w:rPr>
          <w:rFonts w:hint="eastAsia" w:ascii="宋体" w:hAnsi="宋体" w:cs="宋体"/>
          <w:sz w:val="24"/>
          <w:szCs w:val="24"/>
          <w:shd w:val="clear" w:color="auto" w:fill="FFFFFF"/>
        </w:rPr>
        <w:t>如甲方无正当理由延迟付款，则每延迟一天，甲方按应付而未付款项的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向乙方支付逾期的违约金，但逾期付款违约金最多不超过甲方应付而未付金额的</w:t>
      </w:r>
      <w:r>
        <w:rPr>
          <w:rFonts w:hint="eastAsia" w:ascii="宋体" w:hAnsi="宋体" w:cs="宋体"/>
          <w:sz w:val="24"/>
          <w:szCs w:val="24"/>
          <w:u w:val="single"/>
          <w:shd w:val="clear" w:color="auto" w:fill="FFFFFF"/>
        </w:rPr>
        <w:t xml:space="preserve">   </w:t>
      </w:r>
      <w:r>
        <w:rPr>
          <w:rFonts w:hint="eastAsia" w:ascii="宋体" w:hAnsi="宋体" w:cs="宋体"/>
          <w:sz w:val="24"/>
          <w:szCs w:val="24"/>
          <w:shd w:val="clear" w:color="auto" w:fill="FFFFFF"/>
        </w:rPr>
        <w:t>，本合同继续履行。</w:t>
      </w:r>
    </w:p>
    <w:p w14:paraId="6A1B010E">
      <w:pPr>
        <w:overflowPunct w:val="0"/>
        <w:adjustRightInd w:val="0"/>
        <w:snapToGrid w:val="0"/>
        <w:spacing w:line="460" w:lineRule="exact"/>
        <w:ind w:firstLine="480" w:firstLineChars="200"/>
        <w:rPr>
          <w:rFonts w:ascii="宋体" w:hAnsi="宋体" w:cs="宋体"/>
          <w:sz w:val="24"/>
          <w:szCs w:val="24"/>
          <w:shd w:val="clear" w:color="auto" w:fill="FFFFFF"/>
        </w:rPr>
      </w:pPr>
      <w:r>
        <w:rPr>
          <w:rFonts w:hint="eastAsia" w:ascii="宋体" w:hAnsi="宋体" w:cs="宋体"/>
          <w:sz w:val="24"/>
          <w:szCs w:val="24"/>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4C5EAFD7">
      <w:pPr>
        <w:overflowPunct w:val="0"/>
        <w:adjustRightInd w:val="0"/>
        <w:snapToGrid w:val="0"/>
        <w:spacing w:line="460" w:lineRule="exact"/>
        <w:ind w:firstLine="482"/>
        <w:rPr>
          <w:rFonts w:ascii="宋体" w:hAnsi="宋体" w:cs="宋体"/>
          <w:b/>
          <w:bCs/>
          <w:sz w:val="24"/>
          <w:szCs w:val="24"/>
        </w:rPr>
      </w:pPr>
      <w:bookmarkStart w:id="30" w:name="_Toc14590"/>
      <w:bookmarkStart w:id="31" w:name="_Toc18421"/>
      <w:r>
        <w:rPr>
          <w:rFonts w:hint="eastAsia" w:ascii="宋体" w:hAnsi="宋体" w:cs="宋体"/>
          <w:b/>
          <w:bCs/>
          <w:sz w:val="24"/>
          <w:szCs w:val="24"/>
        </w:rPr>
        <w:t>16.保密条款</w:t>
      </w:r>
      <w:bookmarkEnd w:id="30"/>
      <w:bookmarkEnd w:id="31"/>
    </w:p>
    <w:p w14:paraId="30B90676">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甲、乙双方对本合同履行过程中获得的对方的资料数据、商业技术信息等承担保密责任。未经对方事先书面同意，任何一方不得以任何形式向第三方泄露。本合同的解除或终止，不免除双方对本保密条款的遵守。</w:t>
      </w:r>
    </w:p>
    <w:p w14:paraId="4B22D97F">
      <w:pPr>
        <w:overflowPunct w:val="0"/>
        <w:adjustRightInd w:val="0"/>
        <w:snapToGrid w:val="0"/>
        <w:spacing w:line="460" w:lineRule="exact"/>
        <w:ind w:firstLine="482"/>
        <w:rPr>
          <w:rFonts w:ascii="宋体" w:hAnsi="宋体" w:cs="宋体"/>
          <w:b/>
          <w:bCs/>
          <w:sz w:val="24"/>
          <w:szCs w:val="24"/>
        </w:rPr>
      </w:pPr>
      <w:bookmarkStart w:id="32" w:name="_Toc24354"/>
      <w:bookmarkStart w:id="33" w:name="_Toc18460"/>
      <w:r>
        <w:rPr>
          <w:rFonts w:hint="eastAsia" w:ascii="宋体" w:hAnsi="宋体" w:cs="宋体"/>
          <w:b/>
          <w:bCs/>
          <w:sz w:val="24"/>
          <w:szCs w:val="24"/>
        </w:rPr>
        <w:t>17.合同</w:t>
      </w:r>
      <w:bookmarkEnd w:id="32"/>
      <w:bookmarkEnd w:id="33"/>
      <w:r>
        <w:rPr>
          <w:rFonts w:hint="eastAsia" w:ascii="宋体" w:hAnsi="宋体" w:cs="宋体"/>
          <w:b/>
          <w:bCs/>
          <w:sz w:val="24"/>
          <w:szCs w:val="24"/>
        </w:rPr>
        <w:t>履行</w:t>
      </w:r>
    </w:p>
    <w:p w14:paraId="2C41EBC2">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除《中华人民共和国政府采购法》第49条、第50条第二款规定的情形外，本合同一经签订，甲乙双方不得擅自变更、中止或终止合同。</w:t>
      </w:r>
    </w:p>
    <w:p w14:paraId="3FA630C3">
      <w:pPr>
        <w:overflowPunct w:val="0"/>
        <w:adjustRightInd w:val="0"/>
        <w:snapToGrid w:val="0"/>
        <w:spacing w:line="460" w:lineRule="exact"/>
        <w:ind w:firstLine="482"/>
        <w:rPr>
          <w:rFonts w:ascii="宋体" w:hAnsi="宋体" w:cs="宋体"/>
          <w:b/>
          <w:bCs/>
          <w:sz w:val="24"/>
          <w:szCs w:val="24"/>
        </w:rPr>
      </w:pPr>
      <w:bookmarkStart w:id="34" w:name="_Toc2019"/>
      <w:bookmarkStart w:id="35" w:name="_Toc23231"/>
      <w:r>
        <w:rPr>
          <w:rFonts w:hint="eastAsia" w:ascii="宋体" w:hAnsi="宋体" w:cs="宋体"/>
          <w:b/>
          <w:bCs/>
          <w:sz w:val="24"/>
          <w:szCs w:val="24"/>
        </w:rPr>
        <w:t>18.合同争议解决的方式</w:t>
      </w:r>
      <w:bookmarkEnd w:id="34"/>
      <w:bookmarkEnd w:id="35"/>
    </w:p>
    <w:p w14:paraId="20B6DDB8">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18.1 因货物的质量问题发生争议，由质量技术监督部门或其指定的质量鉴定机构进行质量鉴定。货物符合标准的，鉴定费由甲方承担；货物不符合质量标准的，鉴定费由乙方承担。</w:t>
      </w:r>
    </w:p>
    <w:p w14:paraId="021CE763">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18.2 因履行本合同引起的或与本合同有关的争议，甲、乙双方应首先通过友好协商解决，如果协商不成，则采取以下第</w:t>
      </w:r>
      <w:r>
        <w:rPr>
          <w:rFonts w:hint="eastAsia" w:ascii="宋体" w:hAnsi="宋体" w:eastAsia="宋体" w:cs="宋体"/>
          <w:sz w:val="24"/>
          <w:szCs w:val="24"/>
          <w:u w:val="single"/>
          <w:lang w:val="en-US" w:eastAsia="zh-CN" w:bidi="ar-SA"/>
        </w:rPr>
        <w:t xml:space="preserve">   </w:t>
      </w:r>
      <w:r>
        <w:rPr>
          <w:rFonts w:hint="eastAsia" w:ascii="宋体" w:hAnsi="宋体" w:eastAsia="宋体" w:cs="宋体"/>
          <w:sz w:val="24"/>
          <w:szCs w:val="24"/>
          <w:lang w:val="en-US" w:eastAsia="zh-CN" w:bidi="ar-SA"/>
        </w:rPr>
        <w:t>种方式解决争议：</w:t>
      </w:r>
    </w:p>
    <w:p w14:paraId="4940E024">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18.2.1 向甲方所在地有管辖权的人民法院提起诉讼；</w:t>
      </w:r>
    </w:p>
    <w:p w14:paraId="789722E6">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18.2.2 向西安仲裁委员会按其仲裁规则申请仲裁。</w:t>
      </w:r>
    </w:p>
    <w:p w14:paraId="075CD211">
      <w:pPr>
        <w:widowControl w:val="0"/>
        <w:overflowPunct w:val="0"/>
        <w:adjustRightInd w:val="0"/>
        <w:snapToGrid w:val="0"/>
        <w:spacing w:line="460" w:lineRule="exact"/>
        <w:ind w:firstLine="480" w:firstLineChars="200"/>
        <w:jc w:val="both"/>
        <w:rPr>
          <w:rFonts w:ascii="宋体" w:hAnsi="宋体" w:eastAsia="宋体" w:cs="宋体"/>
          <w:sz w:val="24"/>
          <w:szCs w:val="24"/>
          <w:lang w:val="en-US" w:eastAsia="zh-CN" w:bidi="ar-SA"/>
        </w:rPr>
      </w:pPr>
      <w:r>
        <w:rPr>
          <w:rFonts w:hint="eastAsia" w:ascii="宋体" w:hAnsi="宋体" w:eastAsia="宋体" w:cs="宋体"/>
          <w:sz w:val="24"/>
          <w:szCs w:val="24"/>
          <w:lang w:val="en-US" w:eastAsia="zh-CN" w:bidi="ar-SA"/>
        </w:rPr>
        <w:t>18.3 仲裁期间，本合同应继续履行。</w:t>
      </w:r>
    </w:p>
    <w:p w14:paraId="2B24248E">
      <w:pPr>
        <w:overflowPunct w:val="0"/>
        <w:adjustRightInd w:val="0"/>
        <w:snapToGrid w:val="0"/>
        <w:spacing w:line="460" w:lineRule="exact"/>
        <w:ind w:firstLine="482"/>
        <w:rPr>
          <w:rFonts w:ascii="宋体" w:hAnsi="宋体" w:cs="宋体"/>
          <w:b/>
          <w:bCs/>
          <w:sz w:val="24"/>
          <w:szCs w:val="24"/>
        </w:rPr>
      </w:pPr>
      <w:bookmarkStart w:id="36" w:name="_Toc3946"/>
      <w:bookmarkStart w:id="37" w:name="_Toc23719"/>
      <w:r>
        <w:rPr>
          <w:rFonts w:hint="eastAsia" w:ascii="宋体" w:hAnsi="宋体" w:cs="宋体"/>
          <w:b/>
          <w:bCs/>
          <w:sz w:val="24"/>
          <w:szCs w:val="24"/>
        </w:rPr>
        <w:t>19.合同文件</w:t>
      </w:r>
      <w:bookmarkEnd w:id="36"/>
      <w:bookmarkEnd w:id="37"/>
    </w:p>
    <w:p w14:paraId="2111036A">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294A5A54">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19.1 本合同书</w:t>
      </w:r>
    </w:p>
    <w:p w14:paraId="3BB61242">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19.2 中标通知书</w:t>
      </w:r>
      <w:r>
        <w:rPr>
          <w:rFonts w:hint="eastAsia" w:ascii="宋体" w:hAnsi="宋体" w:cs="宋体"/>
          <w:sz w:val="24"/>
          <w:szCs w:val="24"/>
        </w:rPr>
        <w:tab/>
      </w:r>
    </w:p>
    <w:p w14:paraId="3EF3AFEB">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19.3 协议</w:t>
      </w:r>
    </w:p>
    <w:p w14:paraId="710F3346">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19.4 招标文件(含澄清或者修改文件)</w:t>
      </w:r>
    </w:p>
    <w:p w14:paraId="1C2FDBD6">
      <w:pPr>
        <w:overflowPunct w:val="0"/>
        <w:adjustRightInd w:val="0"/>
        <w:snapToGrid w:val="0"/>
        <w:spacing w:line="460" w:lineRule="exact"/>
        <w:ind w:firstLine="480" w:firstLineChars="200"/>
        <w:jc w:val="left"/>
        <w:rPr>
          <w:rFonts w:ascii="宋体" w:hAnsi="宋体" w:cs="宋体"/>
          <w:sz w:val="24"/>
          <w:szCs w:val="24"/>
        </w:rPr>
      </w:pPr>
      <w:r>
        <w:rPr>
          <w:rFonts w:hint="eastAsia" w:ascii="宋体" w:hAnsi="宋体" w:cs="宋体"/>
          <w:sz w:val="24"/>
          <w:szCs w:val="24"/>
        </w:rPr>
        <w:t>19.5 投标文件</w:t>
      </w:r>
    </w:p>
    <w:p w14:paraId="455D3A29">
      <w:pPr>
        <w:overflowPunct w:val="0"/>
        <w:adjustRightInd w:val="0"/>
        <w:snapToGrid w:val="0"/>
        <w:spacing w:line="460" w:lineRule="exact"/>
        <w:ind w:firstLine="482"/>
        <w:rPr>
          <w:rFonts w:ascii="宋体" w:hAnsi="宋体" w:cs="宋体"/>
          <w:b/>
          <w:bCs/>
          <w:sz w:val="24"/>
          <w:szCs w:val="24"/>
        </w:rPr>
      </w:pPr>
      <w:bookmarkStart w:id="38" w:name="_Toc21719"/>
      <w:bookmarkStart w:id="39" w:name="_Toc16981"/>
      <w:r>
        <w:rPr>
          <w:rFonts w:hint="eastAsia" w:ascii="宋体" w:hAnsi="宋体" w:cs="宋体"/>
          <w:b/>
          <w:bCs/>
          <w:sz w:val="24"/>
          <w:szCs w:val="24"/>
        </w:rPr>
        <w:t>20.其他事项</w:t>
      </w:r>
      <w:bookmarkEnd w:id="38"/>
      <w:bookmarkEnd w:id="39"/>
    </w:p>
    <w:p w14:paraId="03FE5EBF">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20.1 陕西省财政厅在合同的履行期间以及履行期后，可以随时检查项目的执行情况，对采购标准、采购内容进行调查核实，并对发现的问题进行处理。</w:t>
      </w:r>
    </w:p>
    <w:p w14:paraId="40EFE201">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20.2乙方应根据公开招标文件要求向采购代理机构交纳代理服务费并取得甲方的签章后，合同才正式生效。</w:t>
      </w:r>
    </w:p>
    <w:p w14:paraId="285B66D9">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20.3 本合同一式</w:t>
      </w:r>
      <w:r>
        <w:rPr>
          <w:rFonts w:hint="eastAsia" w:ascii="宋体" w:hAnsi="宋体" w:cs="宋体"/>
          <w:sz w:val="24"/>
          <w:szCs w:val="24"/>
          <w:u w:val="single"/>
        </w:rPr>
        <w:t xml:space="preserve">   </w:t>
      </w:r>
      <w:r>
        <w:rPr>
          <w:rFonts w:hint="eastAsia" w:ascii="宋体" w:hAnsi="宋体" w:cs="宋体"/>
          <w:sz w:val="24"/>
          <w:szCs w:val="24"/>
        </w:rPr>
        <w:t>份，甲方</w:t>
      </w:r>
      <w:r>
        <w:rPr>
          <w:rFonts w:hint="eastAsia" w:ascii="宋体" w:hAnsi="宋体" w:cs="宋体"/>
          <w:sz w:val="24"/>
          <w:szCs w:val="24"/>
          <w:u w:val="single"/>
        </w:rPr>
        <w:t xml:space="preserve">   </w:t>
      </w:r>
      <w:r>
        <w:rPr>
          <w:rFonts w:hint="eastAsia" w:ascii="宋体" w:hAnsi="宋体" w:cs="宋体"/>
          <w:sz w:val="24"/>
          <w:szCs w:val="24"/>
        </w:rPr>
        <w:t>份，乙方</w:t>
      </w:r>
      <w:r>
        <w:rPr>
          <w:rFonts w:hint="eastAsia" w:ascii="宋体" w:hAnsi="宋体" w:cs="宋体"/>
          <w:sz w:val="24"/>
          <w:szCs w:val="24"/>
          <w:u w:val="single"/>
        </w:rPr>
        <w:t xml:space="preserve">   </w:t>
      </w:r>
      <w:r>
        <w:rPr>
          <w:rFonts w:hint="eastAsia" w:ascii="宋体" w:hAnsi="宋体" w:cs="宋体"/>
          <w:sz w:val="24"/>
          <w:szCs w:val="24"/>
        </w:rPr>
        <w:t>份，采购代理机构</w:t>
      </w:r>
      <w:r>
        <w:rPr>
          <w:rFonts w:hint="eastAsia" w:ascii="宋体" w:hAnsi="宋体" w:cs="宋体"/>
          <w:sz w:val="24"/>
          <w:szCs w:val="24"/>
          <w:u w:val="single"/>
        </w:rPr>
        <w:t xml:space="preserve"> 壹 </w:t>
      </w:r>
      <w:r>
        <w:rPr>
          <w:rFonts w:hint="eastAsia" w:ascii="宋体" w:hAnsi="宋体" w:cs="宋体"/>
          <w:sz w:val="24"/>
          <w:szCs w:val="24"/>
        </w:rPr>
        <w:t>份。。</w:t>
      </w:r>
    </w:p>
    <w:p w14:paraId="4254D5C9">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20.4 本合同未尽事项，补充合同内容。</w:t>
      </w:r>
    </w:p>
    <w:p w14:paraId="122E4F53">
      <w:pPr>
        <w:overflowPunct w:val="0"/>
        <w:adjustRightInd w:val="0"/>
        <w:snapToGrid w:val="0"/>
        <w:spacing w:line="460" w:lineRule="exact"/>
        <w:ind w:firstLine="480" w:firstLineChars="200"/>
        <w:rPr>
          <w:rFonts w:ascii="宋体" w:hAnsi="宋体" w:cs="宋体"/>
          <w:sz w:val="24"/>
          <w:szCs w:val="24"/>
        </w:rPr>
      </w:pPr>
      <w:r>
        <w:rPr>
          <w:rFonts w:hint="eastAsia" w:ascii="宋体" w:hAnsi="宋体" w:cs="宋体"/>
          <w:sz w:val="24"/>
          <w:szCs w:val="24"/>
        </w:rPr>
        <w:t>（以下无正文）</w:t>
      </w:r>
    </w:p>
    <w:p w14:paraId="048442AC">
      <w:pPr>
        <w:pStyle w:val="6"/>
        <w:ind w:left="0" w:leftChars="0" w:firstLine="0" w:firstLineChars="0"/>
        <w:rPr>
          <w:rFonts w:ascii="宋体" w:hAnsi="宋体" w:eastAsia="宋体" w:cs="Times New Roman"/>
          <w:kern w:val="2"/>
          <w:sz w:val="24"/>
          <w:lang w:val="en-US" w:eastAsia="zh-CN" w:bidi="ar-SA"/>
        </w:rPr>
      </w:pPr>
    </w:p>
    <w:p w14:paraId="3B42B0FF">
      <w:pPr>
        <w:rPr>
          <w:lang w:val="en-US" w:eastAsia="zh-CN"/>
        </w:rPr>
      </w:pPr>
    </w:p>
    <w:tbl>
      <w:tblPr>
        <w:tblStyle w:val="8"/>
        <w:tblpPr w:leftFromText="180" w:rightFromText="180" w:vertAnchor="text" w:horzAnchor="page" w:tblpX="1144" w:tblpY="305"/>
        <w:tblW w:w="4829" w:type="pct"/>
        <w:tblInd w:w="0" w:type="dxa"/>
        <w:tblLayout w:type="fixed"/>
        <w:tblCellMar>
          <w:top w:w="0" w:type="dxa"/>
          <w:left w:w="108" w:type="dxa"/>
          <w:bottom w:w="0" w:type="dxa"/>
          <w:right w:w="108" w:type="dxa"/>
        </w:tblCellMar>
      </w:tblPr>
      <w:tblGrid>
        <w:gridCol w:w="4115"/>
        <w:gridCol w:w="4117"/>
      </w:tblGrid>
      <w:tr w14:paraId="3AFA2A96">
        <w:tblPrEx>
          <w:tblCellMar>
            <w:top w:w="0" w:type="dxa"/>
            <w:left w:w="108" w:type="dxa"/>
            <w:bottom w:w="0" w:type="dxa"/>
            <w:right w:w="108" w:type="dxa"/>
          </w:tblCellMar>
        </w:tblPrEx>
        <w:trPr>
          <w:trHeight w:val="437" w:hRule="atLeast"/>
        </w:trPr>
        <w:tc>
          <w:tcPr>
            <w:tcW w:w="2499" w:type="pct"/>
            <w:vAlign w:val="center"/>
          </w:tcPr>
          <w:p w14:paraId="267B795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甲方:                  （盖章）</w:t>
            </w:r>
          </w:p>
        </w:tc>
        <w:tc>
          <w:tcPr>
            <w:tcW w:w="2500" w:type="pct"/>
            <w:vAlign w:val="center"/>
          </w:tcPr>
          <w:p w14:paraId="6930ACE4">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乙方:                    （盖章）</w:t>
            </w:r>
          </w:p>
        </w:tc>
      </w:tr>
      <w:tr w14:paraId="22430349">
        <w:tblPrEx>
          <w:tblCellMar>
            <w:top w:w="0" w:type="dxa"/>
            <w:left w:w="108" w:type="dxa"/>
            <w:bottom w:w="0" w:type="dxa"/>
            <w:right w:w="108" w:type="dxa"/>
          </w:tblCellMar>
        </w:tblPrEx>
        <w:trPr>
          <w:trHeight w:val="437" w:hRule="atLeast"/>
        </w:trPr>
        <w:tc>
          <w:tcPr>
            <w:tcW w:w="2499" w:type="pct"/>
            <w:vAlign w:val="center"/>
          </w:tcPr>
          <w:p w14:paraId="1518E03F">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2500" w:type="pct"/>
            <w:vAlign w:val="center"/>
          </w:tcPr>
          <w:p w14:paraId="19959DF4">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地址：</w:t>
            </w:r>
          </w:p>
        </w:tc>
      </w:tr>
      <w:tr w14:paraId="7145C570">
        <w:tblPrEx>
          <w:tblCellMar>
            <w:top w:w="0" w:type="dxa"/>
            <w:left w:w="108" w:type="dxa"/>
            <w:bottom w:w="0" w:type="dxa"/>
            <w:right w:w="108" w:type="dxa"/>
          </w:tblCellMar>
        </w:tblPrEx>
        <w:trPr>
          <w:trHeight w:val="437" w:hRule="atLeast"/>
        </w:trPr>
        <w:tc>
          <w:tcPr>
            <w:tcW w:w="2499" w:type="pct"/>
            <w:vAlign w:val="center"/>
          </w:tcPr>
          <w:p w14:paraId="1D2BCC2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邮编：</w:t>
            </w:r>
          </w:p>
        </w:tc>
        <w:tc>
          <w:tcPr>
            <w:tcW w:w="2500" w:type="pct"/>
            <w:vAlign w:val="center"/>
          </w:tcPr>
          <w:p w14:paraId="4197BA00">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邮编：</w:t>
            </w:r>
          </w:p>
        </w:tc>
      </w:tr>
      <w:tr w14:paraId="21679C1C">
        <w:tblPrEx>
          <w:tblCellMar>
            <w:top w:w="0" w:type="dxa"/>
            <w:left w:w="108" w:type="dxa"/>
            <w:bottom w:w="0" w:type="dxa"/>
            <w:right w:w="108" w:type="dxa"/>
          </w:tblCellMar>
        </w:tblPrEx>
        <w:trPr>
          <w:trHeight w:val="1095" w:hRule="atLeast"/>
        </w:trPr>
        <w:tc>
          <w:tcPr>
            <w:tcW w:w="2499" w:type="pct"/>
          </w:tcPr>
          <w:p w14:paraId="4EF6374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法定代表人（签字或盖章）：</w:t>
            </w:r>
          </w:p>
          <w:p w14:paraId="68ED3055">
            <w:pPr>
              <w:overflowPunct w:val="0"/>
              <w:adjustRightInd w:val="0"/>
              <w:snapToGrid w:val="0"/>
              <w:rPr>
                <w:rFonts w:hint="eastAsia" w:ascii="宋体" w:hAnsi="宋体" w:eastAsia="宋体" w:cs="宋体"/>
                <w:sz w:val="24"/>
                <w:szCs w:val="24"/>
              </w:rPr>
            </w:pPr>
          </w:p>
        </w:tc>
        <w:tc>
          <w:tcPr>
            <w:tcW w:w="2500" w:type="pct"/>
          </w:tcPr>
          <w:p w14:paraId="08C34C69">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法定代表人（签字或盖章）：</w:t>
            </w:r>
          </w:p>
        </w:tc>
      </w:tr>
      <w:tr w14:paraId="3F9FB398">
        <w:tblPrEx>
          <w:tblCellMar>
            <w:top w:w="0" w:type="dxa"/>
            <w:left w:w="108" w:type="dxa"/>
            <w:bottom w:w="0" w:type="dxa"/>
            <w:right w:w="108" w:type="dxa"/>
          </w:tblCellMar>
        </w:tblPrEx>
        <w:trPr>
          <w:trHeight w:val="1095" w:hRule="atLeast"/>
        </w:trPr>
        <w:tc>
          <w:tcPr>
            <w:tcW w:w="2499" w:type="pct"/>
          </w:tcPr>
          <w:p w14:paraId="3F247A62">
            <w:pPr>
              <w:overflowPunct w:val="0"/>
              <w:adjustRightInd w:val="0"/>
              <w:snapToGrid w:val="0"/>
              <w:rPr>
                <w:rFonts w:hint="eastAsia" w:ascii="宋体" w:hAnsi="宋体" w:eastAsia="宋体" w:cs="宋体"/>
                <w:sz w:val="24"/>
                <w:szCs w:val="24"/>
              </w:rPr>
            </w:pPr>
          </w:p>
        </w:tc>
        <w:tc>
          <w:tcPr>
            <w:tcW w:w="2500" w:type="pct"/>
          </w:tcPr>
          <w:p w14:paraId="14AEA5EE">
            <w:pPr>
              <w:overflowPunct w:val="0"/>
              <w:adjustRightInd w:val="0"/>
              <w:snapToGrid w:val="0"/>
              <w:rPr>
                <w:rFonts w:hint="eastAsia" w:ascii="宋体" w:hAnsi="宋体" w:eastAsia="宋体" w:cs="宋体"/>
                <w:sz w:val="24"/>
                <w:szCs w:val="24"/>
              </w:rPr>
            </w:pPr>
          </w:p>
        </w:tc>
      </w:tr>
      <w:tr w14:paraId="5040FBFB">
        <w:tblPrEx>
          <w:tblCellMar>
            <w:top w:w="0" w:type="dxa"/>
            <w:left w:w="108" w:type="dxa"/>
            <w:bottom w:w="0" w:type="dxa"/>
            <w:right w:w="108" w:type="dxa"/>
          </w:tblCellMar>
        </w:tblPrEx>
        <w:trPr>
          <w:trHeight w:val="657" w:hRule="atLeast"/>
        </w:trPr>
        <w:tc>
          <w:tcPr>
            <w:tcW w:w="2499" w:type="pct"/>
          </w:tcPr>
          <w:p w14:paraId="4BB808D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被授权代表：（签字）</w:t>
            </w:r>
          </w:p>
        </w:tc>
        <w:tc>
          <w:tcPr>
            <w:tcW w:w="2500" w:type="pct"/>
          </w:tcPr>
          <w:p w14:paraId="5A56A084">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被授权代表：（签字）</w:t>
            </w:r>
          </w:p>
        </w:tc>
      </w:tr>
      <w:tr w14:paraId="54C76E7F">
        <w:tblPrEx>
          <w:tblCellMar>
            <w:top w:w="0" w:type="dxa"/>
            <w:left w:w="108" w:type="dxa"/>
            <w:bottom w:w="0" w:type="dxa"/>
            <w:right w:w="108" w:type="dxa"/>
          </w:tblCellMar>
        </w:tblPrEx>
        <w:trPr>
          <w:trHeight w:val="437" w:hRule="atLeast"/>
        </w:trPr>
        <w:tc>
          <w:tcPr>
            <w:tcW w:w="2499" w:type="pct"/>
            <w:vAlign w:val="center"/>
          </w:tcPr>
          <w:p w14:paraId="34D38DA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电话：</w:t>
            </w:r>
          </w:p>
        </w:tc>
        <w:tc>
          <w:tcPr>
            <w:tcW w:w="2500" w:type="pct"/>
            <w:vAlign w:val="center"/>
          </w:tcPr>
          <w:p w14:paraId="6B745223">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电话：</w:t>
            </w:r>
          </w:p>
        </w:tc>
      </w:tr>
      <w:tr w14:paraId="03539FBF">
        <w:tblPrEx>
          <w:tblCellMar>
            <w:top w:w="0" w:type="dxa"/>
            <w:left w:w="108" w:type="dxa"/>
            <w:bottom w:w="0" w:type="dxa"/>
            <w:right w:w="108" w:type="dxa"/>
          </w:tblCellMar>
        </w:tblPrEx>
        <w:trPr>
          <w:trHeight w:val="437" w:hRule="atLeast"/>
        </w:trPr>
        <w:tc>
          <w:tcPr>
            <w:tcW w:w="2499" w:type="pct"/>
            <w:vAlign w:val="center"/>
          </w:tcPr>
          <w:p w14:paraId="6FBE0082">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传真：</w:t>
            </w:r>
          </w:p>
        </w:tc>
        <w:tc>
          <w:tcPr>
            <w:tcW w:w="2500" w:type="pct"/>
            <w:vAlign w:val="center"/>
          </w:tcPr>
          <w:p w14:paraId="6278774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传真：</w:t>
            </w:r>
          </w:p>
        </w:tc>
      </w:tr>
      <w:tr w14:paraId="4A09D738">
        <w:tblPrEx>
          <w:tblCellMar>
            <w:top w:w="0" w:type="dxa"/>
            <w:left w:w="108" w:type="dxa"/>
            <w:bottom w:w="0" w:type="dxa"/>
            <w:right w:w="108" w:type="dxa"/>
          </w:tblCellMar>
        </w:tblPrEx>
        <w:trPr>
          <w:trHeight w:val="437" w:hRule="atLeast"/>
        </w:trPr>
        <w:tc>
          <w:tcPr>
            <w:tcW w:w="2499" w:type="pct"/>
            <w:vAlign w:val="center"/>
          </w:tcPr>
          <w:p w14:paraId="7FF78D80">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开户银行：</w:t>
            </w:r>
          </w:p>
        </w:tc>
        <w:tc>
          <w:tcPr>
            <w:tcW w:w="2500" w:type="pct"/>
            <w:vAlign w:val="center"/>
          </w:tcPr>
          <w:p w14:paraId="6D80B0F0">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开户银行：</w:t>
            </w:r>
          </w:p>
        </w:tc>
      </w:tr>
      <w:tr w14:paraId="7CFB9C99">
        <w:tblPrEx>
          <w:tblCellMar>
            <w:top w:w="0" w:type="dxa"/>
            <w:left w:w="108" w:type="dxa"/>
            <w:bottom w:w="0" w:type="dxa"/>
            <w:right w:w="108" w:type="dxa"/>
          </w:tblCellMar>
        </w:tblPrEx>
        <w:trPr>
          <w:trHeight w:val="437" w:hRule="atLeast"/>
        </w:trPr>
        <w:tc>
          <w:tcPr>
            <w:tcW w:w="2499" w:type="pct"/>
            <w:vAlign w:val="center"/>
          </w:tcPr>
          <w:p w14:paraId="00FC7733">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账号:</w:t>
            </w:r>
          </w:p>
        </w:tc>
        <w:tc>
          <w:tcPr>
            <w:tcW w:w="2500" w:type="pct"/>
            <w:vAlign w:val="center"/>
          </w:tcPr>
          <w:p w14:paraId="776EE1B7">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账号:</w:t>
            </w:r>
          </w:p>
        </w:tc>
      </w:tr>
      <w:tr w14:paraId="606C3505">
        <w:tblPrEx>
          <w:tblCellMar>
            <w:top w:w="0" w:type="dxa"/>
            <w:left w:w="108" w:type="dxa"/>
            <w:bottom w:w="0" w:type="dxa"/>
            <w:right w:w="108" w:type="dxa"/>
          </w:tblCellMar>
        </w:tblPrEx>
        <w:trPr>
          <w:trHeight w:val="437" w:hRule="atLeast"/>
        </w:trPr>
        <w:tc>
          <w:tcPr>
            <w:tcW w:w="2499" w:type="pct"/>
            <w:vAlign w:val="center"/>
          </w:tcPr>
          <w:p w14:paraId="31B47764">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日期：       年   月   日</w:t>
            </w:r>
          </w:p>
        </w:tc>
        <w:tc>
          <w:tcPr>
            <w:tcW w:w="2500" w:type="pct"/>
            <w:vAlign w:val="center"/>
          </w:tcPr>
          <w:p w14:paraId="05E4FA0A">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日期：      年   月   日</w:t>
            </w:r>
          </w:p>
        </w:tc>
      </w:tr>
    </w:tbl>
    <w:p w14:paraId="6F962F01">
      <w:pPr>
        <w:overflowPunct w:val="0"/>
        <w:adjustRightInd w:val="0"/>
        <w:snapToGrid w:val="0"/>
        <w:rPr>
          <w:rFonts w:ascii="宋体" w:hAnsi="宋体" w:cs="宋体"/>
          <w:sz w:val="24"/>
          <w:szCs w:val="24"/>
        </w:rPr>
      </w:pPr>
    </w:p>
    <w:p w14:paraId="3284566E">
      <w:pPr>
        <w:overflowPunct w:val="0"/>
        <w:adjustRightInd w:val="0"/>
        <w:snapToGrid w:val="0"/>
        <w:rPr>
          <w:rFonts w:ascii="宋体" w:hAnsi="宋体" w:cs="宋体"/>
          <w:sz w:val="24"/>
          <w:szCs w:val="24"/>
          <w:lang w:val="zh-CN"/>
        </w:rPr>
      </w:pPr>
    </w:p>
    <w:p w14:paraId="4E169ACD">
      <w:pPr>
        <w:widowControl w:val="0"/>
        <w:overflowPunct w:val="0"/>
        <w:adjustRightInd w:val="0"/>
        <w:snapToGrid w:val="0"/>
        <w:spacing w:after="120" w:line="360" w:lineRule="auto"/>
        <w:jc w:val="both"/>
        <w:rPr>
          <w:rFonts w:hint="eastAsia" w:ascii="宋体" w:hAnsi="宋体" w:eastAsia="宋体" w:cs="宋体"/>
          <w:sz w:val="24"/>
          <w:szCs w:val="24"/>
          <w:lang w:val="zh-CN" w:eastAsia="zh-CN" w:bidi="ar-SA"/>
        </w:rPr>
      </w:pPr>
    </w:p>
    <w:p w14:paraId="090B18B7">
      <w:pPr>
        <w:widowControl w:val="0"/>
        <w:overflowPunct w:val="0"/>
        <w:adjustRightInd w:val="0"/>
        <w:snapToGrid w:val="0"/>
        <w:spacing w:after="120" w:line="360" w:lineRule="auto"/>
        <w:jc w:val="both"/>
        <w:rPr>
          <w:rFonts w:hint="eastAsia" w:ascii="宋体" w:hAnsi="宋体" w:eastAsia="宋体" w:cs="宋体"/>
          <w:sz w:val="24"/>
          <w:szCs w:val="24"/>
          <w:lang w:val="zh-CN" w:eastAsia="zh-CN" w:bidi="ar-SA"/>
        </w:rPr>
      </w:pPr>
    </w:p>
    <w:p w14:paraId="4656BD52">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64D43D87">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314E2441">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1A06521E">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0E7CB6A2">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1BB8D8AC">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187D8068">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4F473B76">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7E51AF6A">
      <w:pPr>
        <w:widowControl w:val="0"/>
        <w:overflowPunct w:val="0"/>
        <w:adjustRightInd w:val="0"/>
        <w:snapToGrid w:val="0"/>
        <w:spacing w:after="120" w:line="360" w:lineRule="auto"/>
        <w:jc w:val="both"/>
        <w:rPr>
          <w:rFonts w:hint="eastAsia" w:ascii="宋体" w:hAnsi="宋体" w:cs="宋体"/>
          <w:sz w:val="24"/>
          <w:szCs w:val="24"/>
          <w:lang w:val="zh-CN" w:eastAsia="zh-CN" w:bidi="ar-SA"/>
        </w:rPr>
      </w:pPr>
    </w:p>
    <w:p w14:paraId="303355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4AA15A86"/>
    <w:rsid w:val="1A482A28"/>
    <w:rsid w:val="4AA15A86"/>
    <w:rsid w:val="4C6017D3"/>
    <w:rsid w:val="6A1F1E12"/>
    <w:rsid w:val="77B00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2">
    <w:name w:val="heading 2"/>
    <w:basedOn w:val="1"/>
    <w:next w:val="1"/>
    <w:qFormat/>
    <w:uiPriority w:val="0"/>
    <w:pPr>
      <w:keepNext/>
      <w:keepLines/>
      <w:spacing w:before="10" w:after="10" w:line="440" w:lineRule="exact"/>
      <w:ind w:firstLine="800" w:firstLineChars="200"/>
      <w:outlineLvl w:val="1"/>
    </w:pPr>
    <w:rPr>
      <w:rFonts w:ascii="Arial" w:hAnsi="Arial"/>
      <w:b/>
      <w:bCs/>
      <w:kern w:val="2"/>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Body Text Indent"/>
    <w:basedOn w:val="1"/>
    <w:next w:val="5"/>
    <w:qFormat/>
    <w:uiPriority w:val="99"/>
    <w:pPr>
      <w:spacing w:after="120"/>
      <w:ind w:left="420" w:leftChars="200"/>
    </w:pPr>
    <w:rPr>
      <w:kern w:val="2"/>
      <w:sz w:val="21"/>
      <w:szCs w:val="24"/>
      <w:lang w:val="zh-CN"/>
    </w:rPr>
  </w:style>
  <w:style w:type="paragraph" w:customStyle="1" w:styleId="5">
    <w:name w:val="font5"/>
    <w:basedOn w:val="1"/>
    <w:qFormat/>
    <w:uiPriority w:val="0"/>
    <w:pPr>
      <w:widowControl/>
      <w:spacing w:beforeAutospacing="1" w:afterAutospacing="1"/>
      <w:jc w:val="left"/>
    </w:pPr>
    <w:rPr>
      <w:rFonts w:hint="eastAsia" w:ascii="宋体" w:hAnsi="宋体"/>
      <w:sz w:val="24"/>
    </w:rPr>
  </w:style>
  <w:style w:type="paragraph" w:styleId="6">
    <w:name w:val="Body Text First Indent"/>
    <w:basedOn w:val="1"/>
    <w:next w:val="1"/>
    <w:qFormat/>
    <w:uiPriority w:val="0"/>
    <w:pPr>
      <w:widowControl/>
      <w:spacing w:after="0" w:line="360" w:lineRule="auto"/>
      <w:ind w:firstLine="420"/>
      <w:jc w:val="left"/>
    </w:pPr>
    <w:rPr>
      <w:rFonts w:ascii="宋体" w:hAnsi="宋体"/>
      <w:kern w:val="2"/>
      <w:sz w:val="24"/>
    </w:rPr>
  </w:style>
  <w:style w:type="paragraph" w:styleId="7">
    <w:name w:val="Body Text First Indent 2"/>
    <w:basedOn w:val="4"/>
    <w:next w:val="6"/>
    <w:qFormat/>
    <w:uiPriority w:val="0"/>
    <w:pPr>
      <w:adjustRightInd w:val="0"/>
      <w:snapToGrid w:val="0"/>
    </w:pPr>
    <w:rPr>
      <w:kern w:val="2"/>
      <w:sz w:val="21"/>
      <w:szCs w:val="21"/>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4707</Words>
  <Characters>5028</Characters>
  <Lines>0</Lines>
  <Paragraphs>0</Paragraphs>
  <TotalTime>2</TotalTime>
  <ScaleCrop>false</ScaleCrop>
  <LinksUpToDate>false</LinksUpToDate>
  <CharactersWithSpaces>5740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2023-07-31T08:57:00Z</dcterms:created>
  <dc:creator>新昱</dc:creator>
  <cp:lastModifiedBy>新昱</cp:lastModifiedBy>
  <dcterms:modified xsi:type="dcterms:W3CDTF">2024-08-27T06:07:46Z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99C6EE1774E34D22BA32CB33A6DB9A67_11</vt:lpwstr>
  </property>
</Properties>
</file>