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版本号：241127002</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感知元件电磁参数测试平台等设备采购项目</w:t>
      </w:r>
    </w:p>
    <w:p>
      <w:pPr>
        <w:pStyle w:val="null3"/>
        <w:jc w:val="center"/>
        <w:outlineLvl w:val="2"/>
      </w:pPr>
      <w:r>
        <w:rPr>
          <w:sz w:val="28"/>
          <w:b/>
        </w:rPr>
        <w:t>采购项目编号：</w:t>
      </w:r>
      <w:r>
        <w:rPr>
          <w:sz w:val="28"/>
          <w:b/>
        </w:rPr>
        <w:t>ZX2024-11-24</w:t>
      </w:r>
      <w:r>
        <w:br/>
      </w:r>
      <w:r>
        <w:br/>
      </w:r>
      <w:r>
        <w:br/>
      </w:r>
    </w:p>
    <w:p>
      <w:pPr>
        <w:pStyle w:val="null3"/>
        <w:jc w:val="center"/>
        <w:outlineLvl w:val="2"/>
      </w:pPr>
      <w:r>
        <w:rPr>
          <w:sz w:val="28"/>
          <w:b/>
        </w:rPr>
        <w:t>西北大学</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2024年11月27日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陕西正信招标有限公司</w:t>
      </w:r>
      <w:r>
        <w:rPr/>
        <w:t>（以下简称“代理机构”）受</w:t>
      </w:r>
      <w:r>
        <w:rPr/>
        <w:t>西北大学</w:t>
      </w:r>
      <w:r>
        <w:rPr/>
        <w:t>委托，拟对</w:t>
      </w:r>
      <w:r>
        <w:rPr/>
        <w:t>感知元件电磁参数测试平台等设备采购项目</w:t>
      </w:r>
      <w:r>
        <w:rPr/>
        <w:t>采用竞争性谈判采购方式进行采购，兹邀请供应商参加本项目的竞争性谈判。</w:t>
      </w:r>
    </w:p>
    <w:p>
      <w:pPr>
        <w:pStyle w:val="null3"/>
        <w:outlineLvl w:val="2"/>
      </w:pPr>
      <w:r>
        <w:rPr>
          <w:sz w:val="28"/>
          <w:b/>
        </w:rPr>
        <w:t>一、项目编号：</w:t>
      </w:r>
      <w:r>
        <w:rPr>
          <w:sz w:val="28"/>
          <w:b/>
        </w:rPr>
        <w:t>ZX2024-11-24</w:t>
      </w:r>
    </w:p>
    <w:p>
      <w:pPr>
        <w:pStyle w:val="null3"/>
        <w:outlineLvl w:val="2"/>
      </w:pPr>
      <w:r>
        <w:rPr>
          <w:sz w:val="28"/>
          <w:b/>
        </w:rPr>
        <w:t>二、项目名称：</w:t>
      </w:r>
      <w:r>
        <w:rPr>
          <w:sz w:val="28"/>
          <w:b/>
        </w:rPr>
        <w:t>感知元件电磁参数测试平台等设备采购项目</w:t>
      </w:r>
    </w:p>
    <w:p>
      <w:pPr>
        <w:pStyle w:val="null3"/>
        <w:outlineLvl w:val="2"/>
      </w:pPr>
      <w:r>
        <w:rPr>
          <w:sz w:val="28"/>
          <w:b/>
        </w:rPr>
        <w:t>三、谈判项目简介：</w:t>
      </w:r>
    </w:p>
    <w:p>
      <w:pPr>
        <w:pStyle w:val="null3"/>
        <w:ind w:firstLine="480"/>
      </w:pPr>
      <w:r>
        <w:rPr/>
        <w:t>感知元件电磁参数测试平台等设备采购，1批，具体详见采购文件</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1、法定代表人授权委托书：法定代表人参加谈判的，须出示身份证；法定代表人授权本单位他人参加谈判的，须提供法定代表人授权委托书。</w:t>
      </w:r>
    </w:p>
    <w:p>
      <w:pPr>
        <w:pStyle w:val="null3"/>
      </w:pPr>
      <w:r>
        <w:rPr/>
        <w:t>2、本项目不接受联合体谈判，不允许分包：本项目不接受联合体谈判，不允许分包。供应商应提供《非联合体不分包投标声明》。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西安市长安区郭杜教育科技产业区学府大道1号</w:t>
      </w:r>
    </w:p>
    <w:p>
      <w:pPr>
        <w:pStyle w:val="null3"/>
      </w:pPr>
      <w:r>
        <w:rPr/>
        <w:t xml:space="preserve"> 邮编： </w:t>
      </w:r>
      <w:r>
        <w:rPr/>
        <w:t>710000</w:t>
      </w:r>
    </w:p>
    <w:p>
      <w:pPr>
        <w:pStyle w:val="null3"/>
      </w:pPr>
      <w:r>
        <w:rPr/>
        <w:t xml:space="preserve"> 联系人： </w:t>
      </w:r>
      <w:r>
        <w:rPr/>
        <w:t>张老师</w:t>
      </w:r>
    </w:p>
    <w:p>
      <w:pPr>
        <w:pStyle w:val="null3"/>
      </w:pPr>
      <w:r>
        <w:rPr/>
        <w:t xml:space="preserve"> 联系电话： </w:t>
      </w:r>
      <w:r>
        <w:rPr/>
        <w:t>029-88302565</w:t>
      </w:r>
    </w:p>
    <w:p>
      <w:pPr>
        <w:pStyle w:val="null3"/>
        <w:outlineLvl w:val="3"/>
      </w:pPr>
      <w:r>
        <w:rPr>
          <w:sz w:val="24"/>
          <w:b/>
        </w:rPr>
        <w:t>代理机构：</w:t>
      </w:r>
      <w:r>
        <w:rPr>
          <w:sz w:val="24"/>
          <w:b/>
        </w:rPr>
        <w:t>陕西正信招标有限公司</w:t>
      </w:r>
    </w:p>
    <w:p>
      <w:pPr>
        <w:pStyle w:val="null3"/>
      </w:pPr>
      <w:r>
        <w:rPr/>
        <w:t xml:space="preserve"> 地址： </w:t>
      </w:r>
      <w:r>
        <w:rPr/>
        <w:t>西安市红缨路南口6号均明拍卖广场4层</w:t>
      </w:r>
    </w:p>
    <w:p>
      <w:pPr>
        <w:pStyle w:val="null3"/>
      </w:pPr>
      <w:r>
        <w:rPr/>
        <w:t xml:space="preserve"> 邮编： </w:t>
      </w:r>
      <w:r>
        <w:rPr/>
        <w:t>710000</w:t>
      </w:r>
    </w:p>
    <w:p>
      <w:pPr>
        <w:pStyle w:val="null3"/>
      </w:pPr>
      <w:r>
        <w:rPr/>
        <w:t xml:space="preserve"> 联系人： </w:t>
      </w:r>
      <w:r>
        <w:rPr/>
        <w:t>罗永山 马演 蔡丹</w:t>
      </w:r>
    </w:p>
    <w:p>
      <w:pPr>
        <w:pStyle w:val="null3"/>
      </w:pPr>
      <w:r>
        <w:rPr/>
        <w:t xml:space="preserve"> 联系电话： </w:t>
      </w:r>
      <w:r>
        <w:rPr/>
        <w:t>029-88411508转8027</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采购包1：1,883,000.00元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采购包1保证金金额：37,011.24元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说明：说明：1.中标人凭中标通知书向采购人缴纳合同金额的5%作为履约保证金， 缴纳方式：银行转账、支票/汇票/本票、保函/保险 ；退还方式：待验收合格后凭收据和验收单复印件无息退还。2.转账账号：西北大学；611301015018001145006；交通银行太白路支行。转账金额到账后，可持银行回执到西北大学采购与招标办公室换取收据。 3. 待合同执行完毕、设备验收合格后凭验收单和缴款收据，履约保证金予以无息退还。除不可抗力原因外，如遇下列情况之一者，采购人有权不予退还供应商所缴纳的合同履约保证金，作为对采购人的赔偿：（1）合同签订后不能按合同时限要求供货或安装调试；（2）所供货物不合格、与合同不符；（3）不能按合同履约；（4）货物验收不合格。</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代理服务费收费标准：1、参照国家计委计价格[2002]1980号及发改办价格[2003]857号通知规定下浮20%计取，由成交供应商支付代理服务费。2、收款账户如下：收款单位：陕西正信招标有限公司 开户银行：中国银行股份有限公司西安四府街支行 银行账号：102460065607。3、转账时备注：241124项目服务费。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陕西正信招标有限公司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陕西正信招标有限公司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按采购文件、响应文件及合同约定执行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联系人：马演 罗永山</w:t>
      </w:r>
    </w:p>
    <w:p>
      <w:pPr>
        <w:pStyle w:val="null3"/>
      </w:pPr>
      <w:r>
        <w:rPr/>
        <w:t>联系电话：029-88411508转8027（2416573385@qq.com）</w:t>
      </w:r>
    </w:p>
    <w:p>
      <w:pPr>
        <w:pStyle w:val="null3"/>
      </w:pPr>
      <w:r>
        <w:rPr/>
        <w:t>地址：西安市红缨路南口6号均明拍卖广场四层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感知元件电磁参数测试平台等设备采购，1批，具体详见采购文件。</w:t>
      </w:r>
    </w:p>
    <w:p>
      <w:pPr>
        <w:pStyle w:val="null3"/>
        <w:outlineLvl w:val="2"/>
      </w:pPr>
      <w:r>
        <w:rPr>
          <w:sz w:val="28"/>
          <w:b/>
        </w:rPr>
        <w:t>3.2采购内容</w:t>
      </w:r>
    </w:p>
    <w:p>
      <w:pPr>
        <w:pStyle w:val="null3"/>
      </w:pPr>
      <w:r>
        <w:rPr/>
        <w:t>采购包1：</w:t>
      </w:r>
    </w:p>
    <w:p>
      <w:pPr>
        <w:pStyle w:val="null3"/>
      </w:pPr>
      <w:r>
        <w:rPr/>
        <w:t>采购包预算金额（元）: 1,883,000.00</w:t>
      </w:r>
    </w:p>
    <w:p>
      <w:pPr>
        <w:pStyle w:val="null3"/>
      </w:pPr>
      <w:r>
        <w:rPr/>
        <w:t>采购包最高限价（元）: 1,883,000.00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感知元件电磁参数测试平台</w:t>
            </w:r>
          </w:p>
        </w:tc>
        <w:tc>
          <w:tcPr>
            <w:tcW w:type="dxa" w:w="831"/>
          </w:tcPr>
          <w:p>
            <w:pPr>
              <w:pStyle w:val="null3"/>
              <w:jc w:val="right"/>
            </w:pPr>
            <w:r>
              <w:rPr/>
              <w:t>1.00</w:t>
            </w:r>
          </w:p>
        </w:tc>
        <w:tc>
          <w:tcPr>
            <w:tcW w:type="dxa" w:w="831"/>
          </w:tcPr>
          <w:p>
            <w:pPr>
              <w:pStyle w:val="null3"/>
              <w:jc w:val="right"/>
            </w:pPr>
            <w:r>
              <w:rPr/>
              <w:t>1,883,000.00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标的名称：感知元件电磁参数测试平台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jc w:val="center"/>
                  </w:pPr>
                  <w:r>
                    <w:rPr/>
                    <w:t>序号</w:t>
                  </w:r>
                </w:p>
              </w:tc>
              <w:tc>
                <w:tcPr>
                  <w:tcW w:type="dxa" w:w="638"/>
                </w:tcPr>
                <w:p>
                  <w:pPr>
                    <w:pStyle w:val="null3"/>
                    <w:jc w:val="center"/>
                  </w:pPr>
                  <w:r>
                    <w:rPr/>
                    <w:t>货物名称</w:t>
                  </w:r>
                </w:p>
              </w:tc>
              <w:tc>
                <w:tcPr>
                  <w:tcW w:type="dxa" w:w="638"/>
                </w:tcPr>
                <w:p>
                  <w:pPr>
                    <w:pStyle w:val="null3"/>
                    <w:jc w:val="center"/>
                  </w:pPr>
                  <w:r>
                    <w:rPr/>
                    <w:t>数量</w:t>
                  </w:r>
                </w:p>
              </w:tc>
              <w:tc>
                <w:tcPr>
                  <w:tcW w:type="dxa" w:w="638"/>
                </w:tcPr>
                <w:p>
                  <w:pPr>
                    <w:pStyle w:val="null3"/>
                    <w:jc w:val="center"/>
                  </w:pPr>
                  <w:r>
                    <w:rPr/>
                    <w:t>单位</w:t>
                  </w:r>
                </w:p>
              </w:tc>
            </w:tr>
            <w:tr>
              <w:tc>
                <w:tcPr>
                  <w:tcW w:type="dxa" w:w="638"/>
                </w:tcPr>
                <w:p>
                  <w:pPr>
                    <w:pStyle w:val="null3"/>
                    <w:jc w:val="center"/>
                  </w:pPr>
                  <w:r>
                    <w:rPr/>
                    <w:t>1</w:t>
                  </w:r>
                </w:p>
              </w:tc>
              <w:tc>
                <w:tcPr>
                  <w:tcW w:type="dxa" w:w="638"/>
                </w:tcPr>
                <w:p>
                  <w:pPr>
                    <w:pStyle w:val="null3"/>
                    <w:jc w:val="center"/>
                  </w:pPr>
                  <w:r>
                    <w:rPr/>
                    <w:t>感知元件电磁参数测试平台</w:t>
                  </w:r>
                </w:p>
              </w:tc>
              <w:tc>
                <w:tcPr>
                  <w:tcW w:type="dxa" w:w="638"/>
                </w:tcPr>
                <w:p>
                  <w:pPr>
                    <w:pStyle w:val="null3"/>
                    <w:jc w:val="center"/>
                  </w:pPr>
                  <w:r>
                    <w:rPr/>
                    <w:t>1</w:t>
                  </w:r>
                </w:p>
              </w:tc>
              <w:tc>
                <w:tcPr>
                  <w:tcW w:type="dxa" w:w="638"/>
                </w:tcPr>
                <w:p>
                  <w:pPr>
                    <w:pStyle w:val="null3"/>
                    <w:jc w:val="center"/>
                  </w:pPr>
                  <w:r>
                    <w:rPr/>
                    <w:t>套</w:t>
                  </w:r>
                </w:p>
              </w:tc>
            </w:tr>
            <w:tr>
              <w:tc>
                <w:tcPr>
                  <w:tcW w:type="dxa" w:w="638"/>
                </w:tcPr>
                <w:p>
                  <w:pPr>
                    <w:pStyle w:val="null3"/>
                    <w:jc w:val="center"/>
                  </w:pPr>
                  <w:r>
                    <w:rPr/>
                    <w:t>2</w:t>
                  </w:r>
                </w:p>
              </w:tc>
              <w:tc>
                <w:tcPr>
                  <w:tcW w:type="dxa" w:w="638"/>
                </w:tcPr>
                <w:p>
                  <w:pPr>
                    <w:pStyle w:val="null3"/>
                    <w:jc w:val="center"/>
                  </w:pPr>
                  <w:r>
                    <w:rPr/>
                    <w:t>手持移动式感知信号频谱分析仪</w:t>
                  </w:r>
                </w:p>
              </w:tc>
              <w:tc>
                <w:tcPr>
                  <w:tcW w:type="dxa" w:w="638"/>
                </w:tcPr>
                <w:p>
                  <w:pPr>
                    <w:pStyle w:val="null3"/>
                    <w:jc w:val="center"/>
                  </w:pPr>
                  <w:r>
                    <w:rPr/>
                    <w:t>1</w:t>
                  </w:r>
                </w:p>
              </w:tc>
              <w:tc>
                <w:tcPr>
                  <w:tcW w:type="dxa" w:w="638"/>
                </w:tcPr>
                <w:p>
                  <w:pPr>
                    <w:pStyle w:val="null3"/>
                    <w:jc w:val="center"/>
                  </w:pPr>
                  <w:r>
                    <w:rPr/>
                    <w:t>套</w:t>
                  </w:r>
                </w:p>
              </w:tc>
            </w:tr>
            <w:tr>
              <w:tc>
                <w:tcPr>
                  <w:tcW w:type="dxa" w:w="638"/>
                </w:tcPr>
                <w:p>
                  <w:pPr>
                    <w:pStyle w:val="null3"/>
                    <w:jc w:val="center"/>
                  </w:pPr>
                  <w:r>
                    <w:rPr/>
                    <w:t>3</w:t>
                  </w:r>
                </w:p>
              </w:tc>
              <w:tc>
                <w:tcPr>
                  <w:tcW w:type="dxa" w:w="638"/>
                </w:tcPr>
                <w:p>
                  <w:pPr>
                    <w:pStyle w:val="null3"/>
                    <w:jc w:val="center"/>
                  </w:pPr>
                  <w:r>
                    <w:rPr/>
                    <w:t>基础信号源发生器</w:t>
                  </w:r>
                </w:p>
              </w:tc>
              <w:tc>
                <w:tcPr>
                  <w:tcW w:type="dxa" w:w="638"/>
                </w:tcPr>
                <w:p>
                  <w:pPr>
                    <w:pStyle w:val="null3"/>
                    <w:jc w:val="center"/>
                  </w:pPr>
                  <w:r>
                    <w:rPr/>
                    <w:t>1</w:t>
                  </w:r>
                </w:p>
              </w:tc>
              <w:tc>
                <w:tcPr>
                  <w:tcW w:type="dxa" w:w="638"/>
                </w:tcPr>
                <w:p>
                  <w:pPr>
                    <w:pStyle w:val="null3"/>
                    <w:jc w:val="center"/>
                  </w:pPr>
                  <w:r>
                    <w:rPr/>
                    <w:t>套</w:t>
                  </w:r>
                </w:p>
              </w:tc>
            </w:tr>
          </w:tbl>
          <w:p/>
        </w:tc>
      </w:tr>
      <w:tr>
        <w:tc>
          <w:tcPr>
            <w:tcW w:type="dxa" w:w="2769"/>
          </w:tcPr>
          <w:p/>
        </w:tc>
        <w:tc>
          <w:tcPr>
            <w:tcW w:type="dxa" w:w="2769"/>
          </w:tcPr>
          <w:p>
            <w:pPr>
              <w:pStyle w:val="null3"/>
            </w:pPr>
            <w:r>
              <w:rPr/>
              <w:t>2</w:t>
            </w: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t>货物名称</w:t>
                  </w:r>
                </w:p>
              </w:tc>
              <w:tc>
                <w:tcPr>
                  <w:tcW w:type="dxa" w:w="1276"/>
                </w:tcPr>
                <w:p>
                  <w:pPr>
                    <w:pStyle w:val="null3"/>
                  </w:pPr>
                  <w:r>
                    <w:rPr/>
                    <w:t>技术参数</w:t>
                  </w:r>
                </w:p>
              </w:tc>
            </w:tr>
            <w:tr>
              <w:tc>
                <w:tcPr>
                  <w:tcW w:type="dxa" w:w="1276"/>
                </w:tcPr>
                <w:p>
                  <w:pPr>
                    <w:pStyle w:val="null3"/>
                  </w:pPr>
                  <w:r>
                    <w:rPr/>
                    <w:t>感知元件电磁参数测试平台</w:t>
                  </w:r>
                </w:p>
              </w:tc>
              <w:tc>
                <w:tcPr>
                  <w:tcW w:type="dxa" w:w="1276"/>
                </w:tcPr>
                <w:p>
                  <w:pPr>
                    <w:pStyle w:val="null3"/>
                  </w:pPr>
                  <w:r>
                    <w:rPr/>
                    <w:t>1.同轴探头法技术指标：</w:t>
                  </w:r>
                </w:p>
                <w:p>
                  <w:pPr>
                    <w:pStyle w:val="null3"/>
                  </w:pPr>
                  <w:r>
                    <w:rPr/>
                    <w:t>(1)测试频率范围：0.1GHz-50GHz</w:t>
                  </w:r>
                </w:p>
                <w:p>
                  <w:pPr>
                    <w:pStyle w:val="null3"/>
                  </w:pPr>
                  <w:r>
                    <w:rPr/>
                    <w:t>(2)介电常数实部测试精度：优于±10%</w:t>
                  </w:r>
                </w:p>
                <w:p>
                  <w:pPr>
                    <w:pStyle w:val="null3"/>
                  </w:pPr>
                  <w:r>
                    <w:rPr/>
                    <w:t>2.开式谐振腔法技术指标：</w:t>
                  </w:r>
                </w:p>
                <w:p>
                  <w:pPr>
                    <w:pStyle w:val="null3"/>
                  </w:pPr>
                  <w:r>
                    <w:rPr/>
                    <w:t>(1)测试频率范围：20GHz-67GHz</w:t>
                  </w:r>
                </w:p>
                <w:p>
                  <w:pPr>
                    <w:pStyle w:val="null3"/>
                  </w:pPr>
                  <w:r>
                    <w:rPr/>
                    <w:t>(2)全频段测试频点数≥30，开式谐振腔法支持低频扩展至ku波段</w:t>
                  </w:r>
                </w:p>
                <w:p>
                  <w:pPr>
                    <w:pStyle w:val="null3"/>
                  </w:pPr>
                  <w:r>
                    <w:rPr/>
                    <w:t>(3)介电常数实部测试精度：优于±1.5%</w:t>
                  </w:r>
                </w:p>
                <w:p>
                  <w:pPr>
                    <w:pStyle w:val="null3"/>
                  </w:pPr>
                  <w:r>
                    <w:rPr/>
                    <w:t>(4)可测样品尺寸：直径80mm/50mm的圆片；</w:t>
                  </w:r>
                </w:p>
                <w:p>
                  <w:pPr>
                    <w:pStyle w:val="null3"/>
                  </w:pPr>
                  <w:r>
                    <w:rPr/>
                    <w:t>3.自由空间法技术指标：</w:t>
                  </w:r>
                </w:p>
                <w:p>
                  <w:pPr>
                    <w:pStyle w:val="null3"/>
                  </w:pPr>
                  <w:r>
                    <w:rPr/>
                    <w:t>(1)测试频率范围：4GHz-40GHz</w:t>
                  </w:r>
                </w:p>
                <w:p>
                  <w:pPr>
                    <w:pStyle w:val="null3"/>
                  </w:pPr>
                  <w:r>
                    <w:rPr/>
                    <w:t>(2)介电常数实部测试精度：优于±8%</w:t>
                  </w:r>
                </w:p>
                <w:p>
                  <w:pPr>
                    <w:pStyle w:val="null3"/>
                  </w:pPr>
                  <w:r>
                    <w:rPr/>
                    <w:t>(3)透波率重复性测试精度：± 1dB</w:t>
                  </w:r>
                </w:p>
                <w:p>
                  <w:pPr>
                    <w:pStyle w:val="null3"/>
                  </w:pPr>
                  <w:r>
                    <w:rPr/>
                    <w:t>4.配套系统软件相关要求；</w:t>
                  </w:r>
                </w:p>
                <w:p>
                  <w:pPr>
                    <w:pStyle w:val="null3"/>
                  </w:pPr>
                  <w:r>
                    <w:rPr/>
                    <w:t>(1)配套兼容罗德与施瓦茨矢量网络分析仪（频率达67GHz）和思仪科技3674系列矢量网络分析仪，实现完整的测试功能</w:t>
                  </w:r>
                </w:p>
                <w:p>
                  <w:pPr>
                    <w:pStyle w:val="null3"/>
                  </w:pPr>
                  <w:r>
                    <w:rPr/>
                    <w:t>(2)传输线法软件具备保存S参数,计算分项屏蔽效能并曲线呈现</w:t>
                  </w:r>
                </w:p>
                <w:p>
                  <w:pPr>
                    <w:pStyle w:val="null3"/>
                  </w:pPr>
                  <w:r>
                    <w:rPr/>
                    <w:t>(3)传输线法软件支持计算吸波性能功能</w:t>
                  </w:r>
                </w:p>
                <w:p>
                  <w:pPr>
                    <w:pStyle w:val="null3"/>
                  </w:pPr>
                  <w:r>
                    <w:rPr/>
                    <w:t>(4)传输线法软件具备数据绘图功能，多格式数据导出功能，不限于文本、表格、图片等</w:t>
                  </w:r>
                </w:p>
                <w:p>
                  <w:pPr>
                    <w:pStyle w:val="null3"/>
                  </w:pPr>
                  <w:r>
                    <w:rPr/>
                    <w:t>5.阻抗测试指标：</w:t>
                  </w:r>
                </w:p>
                <w:p>
                  <w:pPr>
                    <w:pStyle w:val="null3"/>
                  </w:pPr>
                  <w:r>
                    <w:rPr/>
                    <w:t>(1)测试频率10Hz-15MHz</w:t>
                  </w:r>
                </w:p>
                <w:p>
                  <w:pPr>
                    <w:pStyle w:val="null3"/>
                  </w:pPr>
                  <w:r>
                    <w:rPr/>
                    <w:t>(2)可测试参数：阻抗、电阻、电抗、导纳、电导、电纳、电容、品质因数、损耗因数、相位角测量</w:t>
                  </w:r>
                </w:p>
                <w:p>
                  <w:pPr>
                    <w:pStyle w:val="null3"/>
                  </w:pPr>
                  <w:r>
                    <w:rPr/>
                    <w:t>(3)频率分辨率:小于等于1mHz; d).阻抗测试范围:±1aΩ~999.999EΩ;e) 阻抗精度:至少达到±0.05%</w:t>
                  </w:r>
                </w:p>
              </w:tc>
            </w:tr>
          </w:tbl>
          <w:p/>
        </w:tc>
      </w:tr>
      <w:tr>
        <w:tc>
          <w:tcPr>
            <w:tcW w:type="dxa" w:w="2769"/>
          </w:tcPr>
          <w:p/>
        </w:tc>
        <w:tc>
          <w:tcPr>
            <w:tcW w:type="dxa" w:w="2769"/>
          </w:tcPr>
          <w:p>
            <w:pPr>
              <w:pStyle w:val="null3"/>
            </w:pPr>
            <w:r>
              <w:rPr/>
              <w:t>3</w:t>
            </w: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t>货物名称</w:t>
                  </w:r>
                </w:p>
              </w:tc>
              <w:tc>
                <w:tcPr>
                  <w:tcW w:type="dxa" w:w="1276"/>
                </w:tcPr>
                <w:p>
                  <w:pPr>
                    <w:pStyle w:val="null3"/>
                  </w:pPr>
                  <w:r>
                    <w:rPr/>
                    <w:t>技术参数</w:t>
                  </w:r>
                </w:p>
              </w:tc>
            </w:tr>
            <w:tr>
              <w:tc>
                <w:tcPr>
                  <w:tcW w:type="dxa" w:w="1276"/>
                </w:tcPr>
                <w:p>
                  <w:pPr>
                    <w:pStyle w:val="null3"/>
                  </w:pPr>
                  <w:r>
                    <w:rPr/>
                    <w:t>手持移动式感知信号频谱分析仪</w:t>
                  </w:r>
                </w:p>
              </w:tc>
              <w:tc>
                <w:tcPr>
                  <w:tcW w:type="dxa" w:w="1276"/>
                </w:tcPr>
                <w:p>
                  <w:pPr>
                    <w:pStyle w:val="null3"/>
                  </w:pPr>
                  <w:r>
                    <w:rPr/>
                    <w:t>1.频率范围：9kHz~67GHz</w:t>
                  </w:r>
                </w:p>
                <w:p>
                  <w:pPr>
                    <w:pStyle w:val="null3"/>
                  </w:pPr>
                  <w:r>
                    <w:rPr/>
                    <w:t>2.扫描时间：10μs~600s</w:t>
                  </w:r>
                </w:p>
                <w:p>
                  <w:pPr>
                    <w:pStyle w:val="null3"/>
                  </w:pPr>
                  <w:r>
                    <w:rPr/>
                    <w:t>3.分辨率带宽：1Hz~10MHz</w:t>
                  </w:r>
                </w:p>
                <w:p>
                  <w:pPr>
                    <w:pStyle w:val="null3"/>
                  </w:pPr>
                  <w:r>
                    <w:rPr/>
                    <w:t>4.视频带宽：1Hz~10MHz</w:t>
                  </w:r>
                </w:p>
                <w:p>
                  <w:pPr>
                    <w:pStyle w:val="null3"/>
                  </w:pPr>
                  <w:r>
                    <w:rPr/>
                    <w:t>5.射频输入衰减：0~30dB；</w:t>
                  </w:r>
                </w:p>
                <w:p>
                  <w:pPr>
                    <w:pStyle w:val="null3"/>
                  </w:pPr>
                  <w:r>
                    <w:rPr/>
                    <w:t xml:space="preserve">6.总电平不确定度：±2.70 dB（50GHz）                             </w:t>
                  </w:r>
                </w:p>
                <w:p>
                  <w:pPr>
                    <w:pStyle w:val="null3"/>
                  </w:pPr>
                  <w:r>
                    <w:rPr/>
                    <w:t>7.显示平均噪声电平，前置放大器打开，输入端接50Ω匹配负载：</w:t>
                  </w:r>
                </w:p>
                <w:p>
                  <w:pPr>
                    <w:pStyle w:val="null3"/>
                  </w:pPr>
                  <w:r>
                    <w:rPr/>
                    <w:t xml:space="preserve">≤-153dB（10MHz~20GHz）  </w:t>
                  </w:r>
                </w:p>
                <w:p>
                  <w:pPr>
                    <w:pStyle w:val="null3"/>
                  </w:pPr>
                  <w:r>
                    <w:rPr/>
                    <w:t xml:space="preserve">≤-152dB（20GHz~32GHz）            </w:t>
                  </w:r>
                </w:p>
                <w:p>
                  <w:pPr>
                    <w:pStyle w:val="null3"/>
                  </w:pPr>
                  <w:r>
                    <w:rPr/>
                    <w:t xml:space="preserve">≤-147dB（32GHz~40GHz）           </w:t>
                  </w:r>
                </w:p>
                <w:p>
                  <w:pPr>
                    <w:pStyle w:val="null3"/>
                  </w:pPr>
                  <w:r>
                    <w:rPr/>
                    <w:t xml:space="preserve">≤-142dB（40GHz~46GHz）            </w:t>
                  </w:r>
                </w:p>
                <w:p>
                  <w:pPr>
                    <w:pStyle w:val="null3"/>
                  </w:pPr>
                  <w:r>
                    <w:rPr/>
                    <w:t xml:space="preserve">≤-132dB（46GHz~60GHz）          </w:t>
                  </w:r>
                </w:p>
                <w:p>
                  <w:pPr>
                    <w:pStyle w:val="null3"/>
                  </w:pPr>
                  <w:r>
                    <w:rPr/>
                    <w:t xml:space="preserve">≤-118dB（60GHz~67GHz）                     </w:t>
                  </w:r>
                </w:p>
                <w:p>
                  <w:pPr>
                    <w:pStyle w:val="null3"/>
                  </w:pPr>
                  <w:r>
                    <w:rPr/>
                    <w:t>8.单边带相位噪声（1GHz载波）</w:t>
                  </w:r>
                </w:p>
                <w:p>
                  <w:pPr>
                    <w:pStyle w:val="null3"/>
                  </w:pPr>
                  <w:r>
                    <w:rPr/>
                    <w:t>≤-102dBc/Hz@10kHz</w:t>
                  </w:r>
                </w:p>
                <w:p>
                  <w:pPr>
                    <w:pStyle w:val="null3"/>
                  </w:pPr>
                  <w:r>
                    <w:rPr/>
                    <w:t>≤-106dBc/Hz@100kHz</w:t>
                  </w:r>
                </w:p>
                <w:p>
                  <w:pPr>
                    <w:pStyle w:val="null3"/>
                  </w:pPr>
                  <w:r>
                    <w:rPr/>
                    <w:t>≤-111dBc/Hz@1MHz</w:t>
                  </w:r>
                </w:p>
                <w:p>
                  <w:pPr>
                    <w:pStyle w:val="null3"/>
                  </w:pPr>
                  <w:r>
                    <w:rPr/>
                    <w:t>9.二次谐波失真（-30dBm射频输入功率）： &lt; -65dBc</w:t>
                  </w:r>
                </w:p>
                <w:p>
                  <w:pPr>
                    <w:pStyle w:val="null3"/>
                  </w:pPr>
                  <w:r>
                    <w:rPr/>
                    <w:t>10.具备谱分析、场强测量、干扰分析、模拟解调、功率测量、信道扫描等多种测量模式</w:t>
                  </w:r>
                </w:p>
                <w:p>
                  <w:pPr>
                    <w:pStyle w:val="null3"/>
                  </w:pPr>
                  <w:r>
                    <w:rPr/>
                    <w:t>11.具有通道功率、占用带宽、邻道功率、载噪比、场强测量等测试功能</w:t>
                  </w:r>
                </w:p>
              </w:tc>
            </w:tr>
          </w:tbl>
          <w:p/>
        </w:tc>
      </w:tr>
      <w:tr>
        <w:tc>
          <w:tcPr>
            <w:tcW w:type="dxa" w:w="2769"/>
          </w:tcPr>
          <w:p/>
        </w:tc>
        <w:tc>
          <w:tcPr>
            <w:tcW w:type="dxa" w:w="2769"/>
          </w:tcPr>
          <w:p>
            <w:pPr>
              <w:pStyle w:val="null3"/>
            </w:pPr>
            <w:r>
              <w:rPr/>
              <w:t>4</w:t>
            </w: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t xml:space="preserve"> </w:t>
                  </w:r>
                </w:p>
                <w:p>
                  <w:pPr>
                    <w:pStyle w:val="null3"/>
                  </w:pPr>
                  <w:r>
                    <w:rPr/>
                    <w:t>货物名称</w:t>
                  </w:r>
                </w:p>
              </w:tc>
              <w:tc>
                <w:tcPr>
                  <w:tcW w:type="dxa" w:w="1276"/>
                </w:tcPr>
                <w:p>
                  <w:pPr>
                    <w:pStyle w:val="null3"/>
                  </w:pPr>
                  <w:r>
                    <w:rPr/>
                    <w:t>技术参数</w:t>
                  </w:r>
                </w:p>
              </w:tc>
            </w:tr>
            <w:tr>
              <w:tc>
                <w:tcPr>
                  <w:tcW w:type="dxa" w:w="1276"/>
                </w:tcPr>
                <w:p>
                  <w:pPr>
                    <w:pStyle w:val="null3"/>
                  </w:pPr>
                  <w:r>
                    <w:rPr/>
                    <w:t>基础信号源发生器</w:t>
                  </w:r>
                </w:p>
              </w:tc>
              <w:tc>
                <w:tcPr>
                  <w:tcW w:type="dxa" w:w="1276"/>
                </w:tcPr>
                <w:p>
                  <w:pPr>
                    <w:pStyle w:val="null3"/>
                  </w:pPr>
                  <w:r>
                    <w:rPr/>
                    <w:t>1.采样率：5GSa/s，插值到12GSa/s</w:t>
                  </w:r>
                </w:p>
                <w:p>
                  <w:pPr>
                    <w:pStyle w:val="null3"/>
                  </w:pPr>
                  <w:r>
                    <w:rPr/>
                    <w:t>2.垂直分辨率：16bits</w:t>
                  </w:r>
                </w:p>
                <w:p>
                  <w:pPr>
                    <w:pStyle w:val="null3"/>
                  </w:pPr>
                  <w:r>
                    <w:rPr/>
                    <w:t>3.最高输出频率：5GHz</w:t>
                  </w:r>
                </w:p>
                <w:p>
                  <w:pPr>
                    <w:pStyle w:val="null3"/>
                  </w:pPr>
                  <w:r>
                    <w:rPr/>
                    <w:t>4.通道数：8</w:t>
                  </w:r>
                </w:p>
                <w:p>
                  <w:pPr>
                    <w:pStyle w:val="null3"/>
                  </w:pPr>
                  <w:r>
                    <w:rPr/>
                    <w:t>5.波形存储深度：最大2G点/通道</w:t>
                  </w:r>
                </w:p>
                <w:p>
                  <w:pPr>
                    <w:pStyle w:val="null3"/>
                  </w:pPr>
                  <w:r>
                    <w:rPr/>
                    <w:t>6.最大单端输出幅度：5Vpp</w:t>
                  </w:r>
                </w:p>
                <w:p>
                  <w:pPr>
                    <w:pStyle w:val="null3"/>
                  </w:pPr>
                  <w:r>
                    <w:rPr/>
                    <w:t>7.无杂散动态范围：典型值-70dBc</w:t>
                  </w:r>
                </w:p>
                <w:p>
                  <w:pPr>
                    <w:pStyle w:val="null3"/>
                  </w:pPr>
                  <w:r>
                    <w:rPr/>
                    <w:t>8.同步精度：通道间同步精度±10ps</w:t>
                  </w:r>
                </w:p>
                <w:p>
                  <w:pPr>
                    <w:pStyle w:val="null3"/>
                  </w:pPr>
                  <w:r>
                    <w:rPr/>
                    <w:t>9.通道间延迟调节范围：±2ns</w:t>
                  </w:r>
                </w:p>
                <w:p>
                  <w:pPr>
                    <w:pStyle w:val="null3"/>
                  </w:pPr>
                  <w:r>
                    <w:rPr/>
                    <w:t>10.函数信号发生：支持正弦波、方波、三角波发生</w:t>
                  </w:r>
                </w:p>
                <w:p>
                  <w:pPr>
                    <w:pStyle w:val="null3"/>
                  </w:pPr>
                  <w:r>
                    <w:rPr/>
                    <w:t>11.任意波发生：支持用户自定义波形发生</w:t>
                  </w:r>
                </w:p>
                <w:p>
                  <w:pPr>
                    <w:pStyle w:val="null3"/>
                  </w:pPr>
                  <w:r>
                    <w:rPr/>
                    <w:t>12.支持DC和AC耦合模式</w:t>
                  </w:r>
                </w:p>
                <w:p>
                  <w:pPr>
                    <w:pStyle w:val="null3"/>
                  </w:pPr>
                  <w:r>
                    <w:rPr/>
                    <w:t>13.Mark通道数：每通道4个</w:t>
                  </w:r>
                </w:p>
                <w:p>
                  <w:pPr>
                    <w:pStyle w:val="null3"/>
                  </w:pPr>
                  <w:r>
                    <w:rPr/>
                    <w:t>14.Mark信号输出幅度：≥1Vpp</w:t>
                  </w:r>
                </w:p>
                <w:p>
                  <w:pPr>
                    <w:pStyle w:val="null3"/>
                  </w:pPr>
                  <w:r>
                    <w:rPr/>
                    <w:t>15.支持外参考时钟输入</w:t>
                  </w:r>
                </w:p>
                <w:p>
                  <w:pPr>
                    <w:pStyle w:val="null3"/>
                  </w:pPr>
                  <w:r>
                    <w:rPr/>
                    <w:t>16.支持网口（LAN）远程控制</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5</w:t>
            </w:r>
          </w:p>
        </w:tc>
        <w:tc>
          <w:tcPr>
            <w:tcW w:type="dxa" w:w="2769"/>
          </w:tcPr>
          <w:p>
            <w:pPr>
              <w:pStyle w:val="null3"/>
            </w:pPr>
            <w:r>
              <w:rPr/>
              <w:t>备注：以上所有技术参数不允许出现负偏离，否则按照无效文件处理</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合同签订之日起120日</w:t>
      </w:r>
    </w:p>
    <w:p>
      <w:pPr>
        <w:pStyle w:val="null3"/>
        <w:outlineLvl w:val="3"/>
      </w:pPr>
      <w:r>
        <w:rPr>
          <w:sz w:val="24"/>
          <w:b/>
        </w:rPr>
        <w:t>3.4.2交货地点和方式</w:t>
      </w:r>
    </w:p>
    <w:p>
      <w:pPr>
        <w:pStyle w:val="null3"/>
      </w:pPr>
      <w:r>
        <w:rPr/>
        <w:t>采购包1：</w:t>
      </w:r>
    </w:p>
    <w:p>
      <w:pPr>
        <w:pStyle w:val="null3"/>
      </w:pPr>
      <w:r>
        <w:rPr/>
        <w:t>西北大学信息学院指定地点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合同生效后，供应商开具合同金额等额银行保函，采购人收到银行保函正本后，预付合同货款，待货物到达指定地点、安装调试验收合格后，采购人退还银行保函正本</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（1）验收分初次开箱验收和采购人最终验收两个阶段，以最终验收为准； （2）货物到货后，采购人、供应商双方共同开箱验收。在检查货物原产地、型号、规格、配置符合合同要求后，由供应商负责安装调试、采购人负责技术验收（供应商协助），验收以国内行业标准或合同文本货物供货配置清单中描述的有关技术要求为准； （3）在货物安装调试运行正常后，采购人按学校相关业务部门规定提交验收申请，学校根据采购人技术验收结果，组织有关专家进行货物的最终验收。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1、货物的运输方式由供应商自行选择，但包装必须符合国家标准或行业标准，满足航空、铁路或公路运输以及货物装卸要求，保证使用人收到的是无任何损伤的货物。否则，因此造成的损失由供应商自行承担；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1.供应商须根据产品所包含的内容，通过电话、网络远程或上门等方式为采购提供提供使用操作、安装培训及疑难解答等服务。供应商须承诺在2个工作日内针对采购人提出的具体问题予以回复。 2.如果在保质期内产品出现使用缺陷，供应商负责维修、置换同等产品，所产生的费用由供应商自行承担。 3.质保期内，产品出现非人为因素损坏而造成短期停用时，则质保期相应顺延，如停用时间累计超过60天，则质保期自产品修复之日起重新计算。 4.供应商针对产品操作人员及相关人员提供每年不少于1次的现场培训，保证采购人熟练操作。 5.供应商提供不少于2人次的集中培训，介绍产品相关理论和日常维护，简单故障的排除。 6、即时响应（包括电话响应）；电话响应无法解决时，2小时内到达现场。修复时间4小时内；如4 小时内无法修复，应提供相应解决方案。</w:t>
      </w:r>
    </w:p>
    <w:p>
      <w:pPr>
        <w:pStyle w:val="null3"/>
        <w:outlineLvl w:val="3"/>
      </w:pPr>
      <w:r>
        <w:rPr>
          <w:sz w:val="24"/>
          <w:b/>
        </w:rPr>
        <w:t>3.4.8违约责任及解决争议的方法</w:t>
      </w:r>
    </w:p>
    <w:p>
      <w:pPr>
        <w:pStyle w:val="null3"/>
      </w:pPr>
      <w:r>
        <w:rPr/>
        <w:t>采购包1：</w:t>
      </w:r>
    </w:p>
    <w:p>
      <w:pPr>
        <w:pStyle w:val="null3"/>
      </w:pPr>
      <w:r>
        <w:rPr/>
        <w:t>1、供应商所交付货物不符合其投标承诺，存在偷工减料、以次充好情形的，采购人要求更换一次后仍不符合约定的，采购人有权解除采购合同，没收履约保证金，并将有关情况上报政府采购监管部门处理； 2、按照采购文件、响应文件及合同要求。</w:t>
      </w:r>
    </w:p>
    <w:p>
      <w:pPr>
        <w:pStyle w:val="null3"/>
        <w:jc w:val="left"/>
        <w:outlineLvl w:val="3"/>
      </w:pPr>
      <w:r>
        <w:rPr>
          <w:sz w:val="24"/>
          <w:b/>
        </w:rPr>
        <w:t>3.5其他要求</w:t>
      </w:r>
    </w:p>
    <w:p>
      <w:pPr>
        <w:pStyle w:val="null3"/>
      </w:pPr>
      <w:r>
        <w:rPr/>
        <w:t>采购包1：</w:t>
      </w:r>
    </w:p>
    <w:p>
      <w:pPr>
        <w:pStyle w:val="null3"/>
      </w:pPr>
      <w:r>
        <w:rPr/>
        <w:t>1、为顺利推进政府采购电子化交易平台应用工作，供应商需要在线提交所有通 过电子化交易平台实施的政府采购项目的响应文件，同时，线下提交响应文件正本壹份、副本贰份、电子版壹份（U盘一份标 明供应商名称，随正本密封）。若电子响应文件与纸质响应文件不一致的，以电子响应文件为准；若正本和副本不符，以正本为准。线下递交文件时间：详见本项目招标公告文件截止时间；线下递交文件地点：陕西省西安市碑林区红缨路南口6号均明拍卖广场3层 。 2、投标保证金注意事项：（1）投标保证金须从供应商户名支付，如从个人户名或非供应商户名支付，将被拒绝，视为自动放弃投标权利（该个人是供应商的情形除外）；投标保证金缴纳时间：开标时间之前；以保函形式交纳投标保证金的，供应商应在投标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连带责任；（2）投标保证金的提交金额、时间不满足采购文件要求的，投标无效；（3）投标保证金以采购代理机构到账凭证为准，供应商无需更换交纳凭证，由采购代理机构统一提供；（4）未按指定账户提交的，我公司将退回，供应商须在文件递交截止时间前按照指定账户再次提交。 3、供应商无正当理由拒签合同的，或在接到成交通知书规定的时间内，借故拖延、拒签合同者，采购人取消其中标资格，其投标保证金不予退还； 给采购人造成的损失超过投标保证金数额的，供应商还应对超过部分予以赔偿。同时报请政府采购监督机构通报全省，取消其进入政府采购市场的资格，并按规定予以处罚。 4、（1）响应总报价是指设备到达使用地点、验收合格达到正常使用条件前的所有费用，包括但不限于以下费用：货物价值、安装调试费、国内运杂费（含保险）、仓储保管费、技术培训费、检测费、施工费、人工费等及按国家政策征收的一切税费等。（2）响应报价表中标明本次货物、服务的所有单项价格和总价，任何有选择的报价将不予接受，否则按无效投标处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2023年11月1日以来至少一个月的纳税证明或完税证明，纳税证明或完税证明上应有代收机构或税务机关的公章或业务专用章；其他组织和自然人提供自2023年11月1日以来至少一个月缴纳税收的凭据；依法免税的或者依法不需缴税的供应商应提供相关文件证明；③社会保障资金缴纳证明：提供自2023年11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以上②-③项，提供“陕西省政府采购供应商信用承诺书”的，可不再提供其他证明文件。</w:t>
            </w:r>
          </w:p>
        </w:tc>
        <w:tc>
          <w:tcPr>
            <w:tcW w:type="dxa" w:w="1661"/>
          </w:tcPr>
          <w:p>
            <w:pPr>
              <w:pStyle w:val="null3"/>
            </w:pPr>
            <w:r>
              <w:rPr/>
              <w:t>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财务状况报告：法人提供会计师事务所出具有效的2023年度审计报告（成立时间至提交响应文件截止时间不足一年的可提供成立后任意时段的资产负债表），或提交自2024年5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法定代表人参加谈判的，须出示身份证；法定代表人授权本单位他人参加谈判的，须提供法定代表人授权委托书。</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本项目不接受联合体谈判，不允许分包</w:t>
            </w:r>
          </w:p>
        </w:tc>
        <w:tc>
          <w:tcPr>
            <w:tcW w:type="dxa" w:w="3322"/>
          </w:tcPr>
          <w:p>
            <w:pPr>
              <w:pStyle w:val="null3"/>
            </w:pPr>
            <w:r>
              <w:rPr/>
              <w:t>本项目不接受联合体谈判，不允许分包。供应商应提供《非联合体不分包投标声明》。</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分项价格表 标的清单 报价表</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响应文件按照谈判文件规定要求签署、盖章的</w:t>
            </w:r>
          </w:p>
        </w:tc>
        <w:tc>
          <w:tcPr>
            <w:tcW w:type="dxa" w:w="1661"/>
          </w:tcPr>
          <w:p>
            <w:pPr>
              <w:pStyle w:val="null3"/>
            </w:pPr>
            <w:r>
              <w:rPr/>
              <w:t>技术响应与偏离表 中小企业声明函 商务应答表 报价表 响应文件封面 分项价格表 技术方案及实施方案、组织机构、售后服务承诺 残疾人福利性单位声明函 投标担保函、履约担保函格式及公章授权书 标的清单 响应函 监狱企业的证明文件 供应商资格证明文件</w:t>
            </w:r>
          </w:p>
        </w:tc>
      </w:tr>
      <w:tr>
        <w:tc>
          <w:tcPr>
            <w:tcW w:type="dxa" w:w="831"/>
          </w:tcPr>
          <w:p>
            <w:pPr>
              <w:pStyle w:val="null3"/>
            </w:pPr>
            <w:r>
              <w:rPr/>
              <w:t>3</w:t>
            </w:r>
          </w:p>
        </w:tc>
        <w:tc>
          <w:tcPr>
            <w:tcW w:type="dxa" w:w="2492"/>
          </w:tcPr>
          <w:p>
            <w:pPr>
              <w:pStyle w:val="null3"/>
            </w:pPr>
            <w:r>
              <w:rPr/>
              <w:t>响应有效期</w:t>
            </w:r>
          </w:p>
        </w:tc>
        <w:tc>
          <w:tcPr>
            <w:tcW w:type="dxa" w:w="3322"/>
          </w:tcPr>
          <w:p>
            <w:pPr>
              <w:pStyle w:val="null3"/>
            </w:pPr>
            <w:r>
              <w:rPr/>
              <w:t>响应有效期满足的</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报价是否超预算</w:t>
            </w:r>
          </w:p>
        </w:tc>
        <w:tc>
          <w:tcPr>
            <w:tcW w:type="dxa" w:w="3322"/>
          </w:tcPr>
          <w:p>
            <w:pPr>
              <w:pStyle w:val="null3"/>
            </w:pPr>
            <w:r>
              <w:rPr/>
              <w:t>报价未超过谈判文件中规定的预算金额或最高限价的</w:t>
            </w:r>
          </w:p>
        </w:tc>
        <w:tc>
          <w:tcPr>
            <w:tcW w:type="dxa" w:w="1661"/>
          </w:tcPr>
          <w:p>
            <w:pPr>
              <w:pStyle w:val="null3"/>
            </w:pPr>
            <w:r>
              <w:rPr/>
              <w:t>分项价格表 标的清单 报价表</w:t>
            </w:r>
          </w:p>
        </w:tc>
      </w:tr>
      <w:tr>
        <w:tc>
          <w:tcPr>
            <w:tcW w:type="dxa" w:w="831"/>
          </w:tcPr>
          <w:p>
            <w:pPr>
              <w:pStyle w:val="null3"/>
            </w:pPr>
            <w:r>
              <w:rPr/>
              <w:t>5</w:t>
            </w:r>
          </w:p>
        </w:tc>
        <w:tc>
          <w:tcPr>
            <w:tcW w:type="dxa" w:w="2492"/>
          </w:tcPr>
          <w:p>
            <w:pPr>
              <w:pStyle w:val="null3"/>
            </w:pPr>
            <w:r>
              <w:rPr/>
              <w:t>实质性条款</w:t>
            </w:r>
          </w:p>
        </w:tc>
        <w:tc>
          <w:tcPr>
            <w:tcW w:type="dxa" w:w="3322"/>
          </w:tcPr>
          <w:p>
            <w:pPr>
              <w:pStyle w:val="null3"/>
            </w:pPr>
            <w:r>
              <w:rPr/>
              <w:t>满足本谈判文件中的实质性条款（交货时间、交货地点和方式、支付方式、支付约定、质量保修范围和保修期）要求的</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其他无效情形</w:t>
            </w:r>
          </w:p>
        </w:tc>
        <w:tc>
          <w:tcPr>
            <w:tcW w:type="dxa" w:w="3322"/>
          </w:tcPr>
          <w:p>
            <w:pPr>
              <w:pStyle w:val="null3"/>
            </w:pPr>
            <w:r>
              <w:rPr/>
              <w:t>无其他不符合法律、规章、规范性文件和谈判文件规定的</w:t>
            </w:r>
          </w:p>
        </w:tc>
        <w:tc>
          <w:tcPr>
            <w:tcW w:type="dxa" w:w="1661"/>
          </w:tcPr>
          <w:p>
            <w:pPr>
              <w:pStyle w:val="null3"/>
            </w:pPr>
            <w:r>
              <w:rPr/>
              <w:t>技术响应与偏离表 投标担保函、履约担保函格式及公章授权书</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详见附件：分项价格表</w:t>
      </w:r>
    </w:p>
    <w:p>
      <w:pPr>
        <w:pStyle w:val="null3"/>
        <w:ind w:firstLine="960"/>
      </w:pPr>
      <w:r>
        <w:rPr/>
        <w:t>详见附件：供应商资格证明文件</w:t>
      </w:r>
    </w:p>
    <w:p>
      <w:pPr>
        <w:pStyle w:val="null3"/>
        <w:ind w:firstLine="960"/>
      </w:pPr>
      <w:r>
        <w:rPr/>
        <w:t>详见附件：技术方案及实施方案、组织机构、售后服务承诺</w:t>
      </w:r>
    </w:p>
    <w:p>
      <w:pPr>
        <w:pStyle w:val="null3"/>
        <w:ind w:firstLine="960"/>
      </w:pPr>
      <w:r>
        <w:rPr/>
        <w:t>详见附件：技术响应与偏离表</w:t>
      </w:r>
    </w:p>
    <w:p>
      <w:pPr>
        <w:pStyle w:val="null3"/>
        <w:ind w:firstLine="960"/>
      </w:pPr>
      <w:r>
        <w:rPr/>
        <w:t>详见附件：投标担保函、履约担保函格式及公章授权书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