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版本号：241128001</w:t>
      </w:r>
      <w:r>
        <w:br/>
      </w:r>
      <w:r>
        <w:br/>
      </w:r>
      <w:r>
        <w:br/>
      </w:r>
      <w:r>
        <w:br/>
      </w:r>
      <w:r>
        <w:br/>
      </w:r>
    </w:p>
    <w:p>
      <w:pPr>
        <w:pStyle w:val="null3"/>
        <w:jc w:val="center"/>
        <w:outlineLvl w:val="0"/>
      </w:pPr>
      <w:r>
        <w:rPr>
          <w:sz w:val="48"/>
          <w:b/>
        </w:rPr>
        <w:t>谈 判 文 件</w:t>
      </w:r>
      <w:r>
        <w:br/>
      </w:r>
      <w:r>
        <w:br/>
      </w:r>
      <w:r>
        <w:br/>
      </w:r>
    </w:p>
    <w:p>
      <w:pPr>
        <w:pStyle w:val="null3"/>
        <w:jc w:val="center"/>
        <w:outlineLvl w:val="1"/>
      </w:pPr>
      <w:r>
        <w:rPr>
          <w:sz w:val="36"/>
          <w:b/>
        </w:rPr>
        <w:t>（货物类）</w:t>
      </w:r>
      <w:r>
        <w:br/>
      </w:r>
      <w:r>
        <w:br/>
      </w:r>
      <w:r>
        <w:br/>
      </w:r>
      <w:r>
        <w:br/>
      </w:r>
      <w:r>
        <w:br/>
      </w:r>
      <w:r>
        <w:br/>
      </w:r>
      <w:r>
        <w:br/>
      </w:r>
      <w:r>
        <w:br/>
      </w:r>
      <w:r>
        <w:br/>
      </w:r>
      <w:r>
        <w:br/>
      </w:r>
      <w:r>
        <w:br/>
      </w:r>
    </w:p>
    <w:p>
      <w:pPr>
        <w:pStyle w:val="null3"/>
        <w:jc w:val="center"/>
        <w:outlineLvl w:val="2"/>
      </w:pPr>
      <w:r>
        <w:rPr>
          <w:sz w:val="28"/>
          <w:b/>
        </w:rPr>
        <w:t>采购项目名称：</w:t>
      </w:r>
      <w:r>
        <w:rPr>
          <w:sz w:val="28"/>
          <w:b/>
        </w:rPr>
        <w:t>通信电路实验教学系统采购项目</w:t>
      </w:r>
    </w:p>
    <w:p>
      <w:pPr>
        <w:pStyle w:val="null3"/>
        <w:jc w:val="center"/>
        <w:outlineLvl w:val="2"/>
      </w:pPr>
      <w:r>
        <w:rPr>
          <w:sz w:val="28"/>
          <w:b/>
        </w:rPr>
        <w:t>采购项目编号：</w:t>
      </w:r>
      <w:r>
        <w:rPr>
          <w:sz w:val="28"/>
          <w:b/>
        </w:rPr>
        <w:t>RTZB-2024-2105</w:t>
      </w:r>
      <w:r>
        <w:br/>
      </w:r>
      <w:r>
        <w:br/>
      </w:r>
      <w:r>
        <w:br/>
      </w:r>
    </w:p>
    <w:p>
      <w:pPr>
        <w:pStyle w:val="null3"/>
        <w:jc w:val="center"/>
        <w:outlineLvl w:val="2"/>
      </w:pPr>
      <w:r>
        <w:rPr>
          <w:sz w:val="28"/>
          <w:b/>
        </w:rPr>
        <w:t>西北大学</w:t>
      </w:r>
    </w:p>
    <w:p>
      <w:pPr>
        <w:pStyle w:val="null3"/>
        <w:jc w:val="center"/>
        <w:outlineLvl w:val="2"/>
      </w:pPr>
      <w:r>
        <w:rPr>
          <w:sz w:val="28"/>
          <w:b/>
        </w:rPr>
        <w:t>陕西瑞通工程造价咨询有限公司</w:t>
      </w:r>
      <w:r>
        <w:rPr>
          <w:sz w:val="28"/>
          <w:b/>
        </w:rPr>
        <w:t>共同编制</w:t>
      </w:r>
    </w:p>
    <w:p>
      <w:pPr>
        <w:pStyle w:val="null3"/>
        <w:jc w:val="center"/>
        <w:outlineLvl w:val="2"/>
      </w:pPr>
      <w:r>
        <w:rPr>
          <w:sz w:val="28"/>
          <w:b/>
        </w:rPr>
        <w:t>2024年11月28日</w:t>
      </w:r>
    </w:p>
    <w:p>
      <w:pPr>
        <w:pStyle w:val="null3"/>
      </w:pPr>
      <w:r>
        <w:rPr/>
        <w:t xml:space="preserve"> </w:t>
        <w:br/>
        <w:br w:type="page"/>
      </w:r>
    </w:p>
    <w:p>
      <w:pPr>
        <w:pStyle w:val="null3"/>
        <w:jc w:val="center"/>
        <w:outlineLvl w:val="1"/>
      </w:pPr>
      <w:r>
        <w:rPr>
          <w:sz w:val="36"/>
          <w:b/>
        </w:rPr>
        <w:t>第一章 竞争性谈判邀请</w:t>
      </w:r>
    </w:p>
    <w:p>
      <w:pPr>
        <w:pStyle w:val="null3"/>
        <w:ind w:firstLine="480"/>
      </w:pPr>
      <w:r>
        <w:rPr/>
        <w:t>陕西瑞通工程造价咨询有限公司</w:t>
      </w:r>
      <w:r>
        <w:rPr/>
        <w:t>（以下简称“代理机构”）受</w:t>
      </w:r>
      <w:r>
        <w:rPr/>
        <w:t>西北大学</w:t>
      </w:r>
      <w:r>
        <w:rPr/>
        <w:t>委托，拟对</w:t>
      </w:r>
      <w:r>
        <w:rPr/>
        <w:t>通信电路实验教学系统采购项目</w:t>
      </w:r>
      <w:r>
        <w:rPr/>
        <w:t>采用竞争性谈判采购方式进行采购，兹邀请供应商参加本项目的竞争性谈判。</w:t>
      </w:r>
    </w:p>
    <w:p>
      <w:pPr>
        <w:pStyle w:val="null3"/>
        <w:outlineLvl w:val="2"/>
      </w:pPr>
      <w:r>
        <w:rPr>
          <w:sz w:val="28"/>
          <w:b/>
        </w:rPr>
        <w:t>一、项目编号：</w:t>
      </w:r>
      <w:r>
        <w:rPr>
          <w:sz w:val="28"/>
          <w:b/>
        </w:rPr>
        <w:t>RTZB-2024-2105</w:t>
      </w:r>
    </w:p>
    <w:p>
      <w:pPr>
        <w:pStyle w:val="null3"/>
        <w:outlineLvl w:val="2"/>
      </w:pPr>
      <w:r>
        <w:rPr>
          <w:sz w:val="28"/>
          <w:b/>
        </w:rPr>
        <w:t>二、项目名称：</w:t>
      </w:r>
      <w:r>
        <w:rPr>
          <w:sz w:val="28"/>
          <w:b/>
        </w:rPr>
        <w:t>通信电路实验教学系统采购项目</w:t>
      </w:r>
    </w:p>
    <w:p>
      <w:pPr>
        <w:pStyle w:val="null3"/>
        <w:outlineLvl w:val="2"/>
      </w:pPr>
      <w:r>
        <w:rPr>
          <w:sz w:val="28"/>
          <w:b/>
        </w:rPr>
        <w:t>三、谈判项目简介：</w:t>
      </w:r>
    </w:p>
    <w:p>
      <w:pPr>
        <w:pStyle w:val="null3"/>
        <w:ind w:firstLine="480"/>
      </w:pPr>
      <w:r>
        <w:rPr/>
        <w:t>西北大学拟采购通信电路实验教学系统1套，采购预算547500元</w:t>
      </w:r>
    </w:p>
    <w:p>
      <w:pPr>
        <w:pStyle w:val="null3"/>
        <w:outlineLvl w:val="2"/>
      </w:pPr>
      <w:r>
        <w:rPr>
          <w:sz w:val="28"/>
          <w:b/>
        </w:rPr>
        <w:t>四、邀请供应商：</w:t>
      </w:r>
    </w:p>
    <w:p>
      <w:pPr>
        <w:pStyle w:val="null3"/>
      </w:pPr>
      <w:r>
        <w:rPr/>
        <w:t>本次采购采取公告征集邀请谈判的供应商。</w:t>
      </w:r>
    </w:p>
    <w:p>
      <w:pPr>
        <w:pStyle w:val="null3"/>
      </w:pPr>
      <w:r>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落实政府采购促进中小企业发展的相关政策：</w:t>
      </w:r>
    </w:p>
    <w:p>
      <w:pPr>
        <w:pStyle w:val="null3"/>
      </w:pPr>
      <w:r>
        <w:rPr/>
        <w:t>无</w:t>
      </w:r>
    </w:p>
    <w:p>
      <w:pPr>
        <w:pStyle w:val="null3"/>
        <w:ind w:firstLine="440"/>
        <w:jc w:val="left"/>
      </w:pPr>
      <w:r>
        <w:rPr>
          <w:sz w:val="22"/>
        </w:rPr>
        <w:t>注：监狱企业和残疾人福利性单位视同小微企业，符合中小企业划分标准的个体工商户视同中小企业。</w:t>
      </w:r>
    </w:p>
    <w:p>
      <w:pPr>
        <w:pStyle w:val="null3"/>
        <w:ind w:firstLine="480"/>
      </w:pPr>
      <w:r>
        <w:rPr/>
        <w:t>（三）本项目的特定资格要求：</w:t>
      </w:r>
    </w:p>
    <w:p>
      <w:pPr>
        <w:pStyle w:val="null3"/>
      </w:pPr>
      <w:r>
        <w:rPr/>
        <w:t>采购包1：</w:t>
      </w:r>
    </w:p>
    <w:p>
      <w:pPr>
        <w:pStyle w:val="null3"/>
      </w:pPr>
      <w:r>
        <w:rPr/>
        <w:t>1、信用证明：未被信用中国网站列入失信被执行人和重大税收违法案件当事人名单、未被中国政府采购网列入政府采购严重违法失信行为记录名单（开标时系统查询）、参加本次政府采购活动前3年内在经营活动中没有重大违纪并提供书面声明。</w:t>
      </w:r>
    </w:p>
    <w:p>
      <w:pPr>
        <w:pStyle w:val="null3"/>
      </w:pPr>
      <w:r>
        <w:rPr/>
        <w:t>2、注册证照：法人单位提供带有统一社会信用代码营业执照，未提供的接受采购人通过国家企业信用信息公示系统（http://www.gsxt.gov.cn/index.html）进行相关信息的核实，并承担核实不到的后果；事业单位提供事业单位法人登记证；其他组织提供有效合法的登记证明文件；自然人提供身份证。</w:t>
      </w:r>
    </w:p>
    <w:p>
      <w:pPr>
        <w:pStyle w:val="null3"/>
      </w:pPr>
      <w:r>
        <w:rPr/>
        <w:t>3、供应商代表授权：提供法定代表人证明书和代表人授权委托书</w:t>
      </w:r>
    </w:p>
    <w:p>
      <w:pPr>
        <w:pStyle w:val="null3"/>
      </w:pPr>
      <w:r>
        <w:rPr/>
        <w:t>4、财务状况证明：提供2023年度经第三方会计事务所审计过的财务报告，或谈判截止时间前90天内基本账户银行出具的资信证明。注：①提供财务报告的，内容应完整。②提供资信证明的，必须提供资信证明全部页以及基本户信息（提供开户许可证复印件或提供基本银行账户信息复印件加盖公章）。银行出具的存款证明不能代替资信证明，存款证明无效。</w:t>
      </w:r>
    </w:p>
    <w:p>
      <w:pPr>
        <w:pStyle w:val="null3"/>
      </w:pPr>
      <w:r>
        <w:rPr/>
        <w:t>5、纳税证明：提供2024年1月1日至今至少一次依法纳税的凭证（至少包括企业所得税或增值税中的一种）；依法免税或不需交税的应提供链条完整的证明；成立不足一个月的提供将依法纳税的承诺书（格式自拟）。注：①零报税的提供申报成功的凭证。②时间以税款所属时段为准。</w:t>
      </w:r>
    </w:p>
    <w:p>
      <w:pPr>
        <w:pStyle w:val="null3"/>
      </w:pPr>
      <w:r>
        <w:rPr/>
        <w:t>6、社会保障资金缴纳证明：提供2024年1月1日至今至少一个月的社会保障资金缴存凭证或社保机构开具的社会保险参保缴费情况证明；依法不需要缴纳社会保障资金的应提供链条完整的证明；成立不足一个月的提供将依法交纳社会保障资金的承诺书（格式自拟）。注：①通过代缴方式缴存的，需提供链条完整的证明材料，证明材料至少包括代缴方的缴存凭证、投标人向代缴方用于缴存社保的银行转账单据。②供应商可自行打印带有社保机构公章的缴存凭证；提供银行交纳单据的，单据应显示社保缴存项（任一项）。</w:t>
      </w:r>
    </w:p>
    <w:p>
      <w:pPr>
        <w:pStyle w:val="null3"/>
      </w:pPr>
      <w:r>
        <w:rPr/>
        <w:t>7、履约能力证明：提供具有履行本合同所必需的专业技术能力的声明</w:t>
      </w:r>
    </w:p>
    <w:p>
      <w:pPr>
        <w:pStyle w:val="null3"/>
      </w:pPr>
      <w:r>
        <w:rPr/>
        <w:t>8、联合体投标：不接受联合体，提供非联合体声明</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七、竞争性谈判文件获取时间、方式及地址</w:t>
      </w:r>
    </w:p>
    <w:p>
      <w:pPr>
        <w:pStyle w:val="null3"/>
        <w:ind w:firstLine="480"/>
      </w:pPr>
      <w:r>
        <w:rPr/>
        <w:t>（一）谈判文件获取时间：详见采购公告或邀请书</w:t>
      </w:r>
    </w:p>
    <w:p>
      <w:pPr>
        <w:pStyle w:val="null3"/>
        <w:ind w:firstLine="480"/>
      </w:pPr>
      <w:r>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t>注：获取的谈判文件主体格式包括pdf、word两种格式版本，其中以pdf格式为准。</w:t>
      </w:r>
    </w:p>
    <w:p>
      <w:pPr>
        <w:pStyle w:val="null3"/>
        <w:outlineLvl w:val="2"/>
      </w:pPr>
      <w:r>
        <w:rPr>
          <w:sz w:val="28"/>
          <w:b/>
        </w:rPr>
        <w:t>八、提交首次响应文件截止时间及开启时间、地点、方式：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九、谈判方式</w:t>
      </w:r>
    </w:p>
    <w:p>
      <w:pPr>
        <w:pStyle w:val="null3"/>
        <w:ind w:firstLine="480"/>
      </w:pPr>
      <w:r>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西北大学</w:t>
      </w:r>
    </w:p>
    <w:p>
      <w:pPr>
        <w:pStyle w:val="null3"/>
      </w:pPr>
      <w:r>
        <w:rPr/>
        <w:t xml:space="preserve"> 地址： </w:t>
      </w:r>
      <w:r>
        <w:rPr/>
        <w:t>西安市长安区郭杜教育科技产业区学府大街1号</w:t>
      </w:r>
    </w:p>
    <w:p>
      <w:pPr>
        <w:pStyle w:val="null3"/>
      </w:pPr>
      <w:r>
        <w:rPr/>
        <w:t xml:space="preserve"> 邮编： </w:t>
      </w:r>
      <w:r>
        <w:rPr/>
        <w:t>710199</w:t>
      </w:r>
    </w:p>
    <w:p>
      <w:pPr>
        <w:pStyle w:val="null3"/>
      </w:pPr>
      <w:r>
        <w:rPr/>
        <w:t xml:space="preserve"> 联系人： </w:t>
      </w:r>
      <w:r>
        <w:rPr/>
        <w:t>张老师</w:t>
      </w:r>
    </w:p>
    <w:p>
      <w:pPr>
        <w:pStyle w:val="null3"/>
      </w:pPr>
      <w:r>
        <w:rPr/>
        <w:t xml:space="preserve"> 联系电话： </w:t>
      </w:r>
      <w:r>
        <w:rPr/>
        <w:t>029-8830265</w:t>
      </w:r>
    </w:p>
    <w:p>
      <w:pPr>
        <w:pStyle w:val="null3"/>
        <w:outlineLvl w:val="3"/>
      </w:pPr>
      <w:r>
        <w:rPr>
          <w:sz w:val="24"/>
          <w:b/>
        </w:rPr>
        <w:t>代理机构：</w:t>
      </w:r>
      <w:r>
        <w:rPr>
          <w:sz w:val="24"/>
          <w:b/>
        </w:rPr>
        <w:t>陕西瑞通工程造价咨询有限公司</w:t>
      </w:r>
    </w:p>
    <w:p>
      <w:pPr>
        <w:pStyle w:val="null3"/>
      </w:pPr>
      <w:r>
        <w:rPr/>
        <w:t xml:space="preserve"> 地址： </w:t>
      </w:r>
      <w:r>
        <w:rPr/>
        <w:t>西安市科技路30号合力紫郡A座2204室</w:t>
      </w:r>
    </w:p>
    <w:p>
      <w:pPr>
        <w:pStyle w:val="null3"/>
      </w:pPr>
      <w:r>
        <w:rPr/>
        <w:t xml:space="preserve"> 邮编： </w:t>
      </w:r>
      <w:r>
        <w:rPr/>
        <w:t>710075</w:t>
      </w:r>
    </w:p>
    <w:p>
      <w:pPr>
        <w:pStyle w:val="null3"/>
      </w:pPr>
      <w:r>
        <w:rPr/>
        <w:t xml:space="preserve"> 联系人： </w:t>
      </w:r>
      <w:r>
        <w:rPr/>
        <w:t>贾堃 水思楠 张晨 张岩</w:t>
      </w:r>
    </w:p>
    <w:p>
      <w:pPr>
        <w:pStyle w:val="null3"/>
      </w:pPr>
      <w:r>
        <w:rPr/>
        <w:t xml:space="preserve"> 联系电话： </w:t>
      </w:r>
      <w:r>
        <w:rPr/>
        <w:t>029-88224132-8007</w:t>
      </w:r>
    </w:p>
    <w:p>
      <w:pPr>
        <w:pStyle w:val="null3"/>
        <w:outlineLvl w:val="3"/>
      </w:pPr>
      <w:r>
        <w:rPr>
          <w:sz w:val="24"/>
          <w:b/>
        </w:rPr>
        <w:t>采购监督机构：</w:t>
      </w:r>
      <w:r>
        <w:rPr>
          <w:sz w:val="24"/>
          <w:b/>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采购包1：547,500.00元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最低评标价法(详见第六章)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如以联合体响应的，联合体各方均应当具备本谈判文件要求的资格条件和能力。</w:t>
            </w:r>
          </w:p>
          <w:p>
            <w:pPr>
              <w:pStyle w:val="null3"/>
            </w:pPr>
            <w:r>
              <w:rPr/>
              <w:t xml:space="preserve"> （1）联合体各方均应具有承担本谈判项目必备的条件，如相应的人力、物力、资金等。</w:t>
            </w:r>
          </w:p>
          <w:p>
            <w:pPr>
              <w:pStyle w:val="null3"/>
            </w:pPr>
            <w:r>
              <w:rPr/>
              <w:t xml:space="preserve"> （2）谈判文件对供应商资格条件有特殊要求的，联合体各个成员都应当具备规定的相应资格条件。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无</w:t>
            </w:r>
            <w:r>
              <w:rPr/>
              <w:t>产品属于节能产品政府采购品目清单中应强制采购的产品范围，供应商应当提供国家确定的认证机构出具的、处于有效期之内的节能产品认证证书，否则作无效响应处理。</w:t>
            </w:r>
          </w:p>
          <w:p>
            <w:pPr>
              <w:pStyle w:val="null3"/>
            </w:pPr>
            <w:r>
              <w:rPr/>
              <w:t xml:space="preserve"> 3.本项目采购的</w:t>
            </w:r>
            <w:r>
              <w:rPr/>
              <w:t>无</w:t>
            </w:r>
            <w:r>
              <w:rPr/>
              <w:t>产品属于节能产品政府采购品目清单中应优先采购的产品范围，本项目采购的</w:t>
            </w:r>
            <w:r>
              <w:rPr/>
              <w:t>无</w:t>
            </w:r>
            <w:r>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t>核心产品清单详见第三章。</w:t>
            </w:r>
          </w:p>
          <w:p>
            <w:pPr>
              <w:pStyle w:val="null3"/>
            </w:pPr>
            <w:r>
              <w:rPr/>
              <w:t>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t>9</w:t>
            </w:r>
          </w:p>
        </w:tc>
        <w:tc>
          <w:tcPr>
            <w:tcW w:type="dxa" w:w="2252"/>
          </w:tcPr>
          <w:p>
            <w:pPr>
              <w:pStyle w:val="null3"/>
            </w:pPr>
            <w:r>
              <w:rPr/>
              <w:t>谈判保证金</w:t>
            </w:r>
          </w:p>
        </w:tc>
        <w:tc>
          <w:tcPr>
            <w:tcW w:type="dxa" w:w="5004"/>
          </w:tcPr>
          <w:p>
            <w:pPr>
              <w:pStyle w:val="null3"/>
            </w:pPr>
            <w:r>
              <w:rPr/>
              <w:t>采购包1保证金金额：10,000.00元</w:t>
            </w:r>
          </w:p>
          <w:p>
            <w:pPr>
              <w:pStyle w:val="null3"/>
            </w:pPr>
            <w:r>
              <w:rPr/>
              <w:t>缴交渠道：转账、支票、汇票等（需通过实体账户、户名及开户行信息）</w:t>
            </w:r>
          </w:p>
          <w:p>
            <w:pPr>
              <w:pStyle w:val="null3"/>
            </w:pPr>
            <w:r>
              <w:rPr/>
              <w:t>开户名称：陕西瑞通工程造价咨询有限公司</w:t>
            </w:r>
          </w:p>
          <w:p>
            <w:pPr>
              <w:pStyle w:val="null3"/>
            </w:pPr>
            <w:r>
              <w:rPr/>
              <w:t>开户银行：中国民生银行西安分行营业部</w:t>
            </w:r>
          </w:p>
          <w:p>
            <w:pPr>
              <w:pStyle w:val="null3"/>
            </w:pPr>
            <w:r>
              <w:rPr/>
              <w:t>银行账号：698207824</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采购包1：缴纳</w:t>
            </w:r>
          </w:p>
          <w:p>
            <w:pPr>
              <w:pStyle w:val="null3"/>
            </w:pPr>
            <w:r>
              <w:rPr/>
              <w:t>本采购包履约保证金为合同金额的5.0%</w:t>
            </w:r>
          </w:p>
          <w:p>
            <w:pPr>
              <w:pStyle w:val="null3"/>
            </w:pPr>
            <w:r>
              <w:rPr/>
              <w:t>说明：中标供应商在与采购人签订合同前，须缴纳履约保证金。 转账银行：交通银行太白路支行 转账账号：西北大学611301015018001145006 说明：转账金额到账后，可持银行回执到西北大学采购与招标办公室换取收据。 待合同执行完毕、项目验收合格后凭验收单和缴款收据，合同履约保证金予以退还。如遇下列情况之一者，合同履约保证金不予退还，作为对采购人的赔偿：（1）合同签订后不能按合同时限要求提供服务的；（2）项目与合同不符或验收不合格的；（3）不能按合同履约的。</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提交响应文件的截止之日起不少于</w:t>
            </w:r>
            <w:r>
              <w:rPr/>
              <w:t>90</w:t>
            </w:r>
            <w:r>
              <w:rPr/>
              <w:t>天。</w:t>
            </w:r>
          </w:p>
        </w:tc>
      </w:tr>
      <w:tr>
        <w:tc>
          <w:tcPr>
            <w:tcW w:type="dxa" w:w="1051"/>
          </w:tcPr>
          <w:p>
            <w:pPr>
              <w:pStyle w:val="null3"/>
            </w:pPr>
            <w:r>
              <w:rPr/>
              <w:t>13</w:t>
            </w:r>
          </w:p>
        </w:tc>
        <w:tc>
          <w:tcPr>
            <w:tcW w:type="dxa" w:w="2252"/>
          </w:tcPr>
          <w:p>
            <w:pPr>
              <w:pStyle w:val="null3"/>
            </w:pPr>
            <w:r>
              <w:rPr/>
              <w:t>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代理服务费收费标准：中标/成交供应商 代理服务费收费标准：参照国家计委颁布的《招标代理服务收费管理暂行办法》（计价格[2002]1980号）及发改办价格[2003]857号文件的规定各包以中标价为基础按货物类标准下浮20%收取，投标人在下载中标通知书时一次性缴清。</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出现下列情形之一的，采购人或者代理机构应当中止电子化采购活动，并保留相关证明材料备查：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2.2.1适用范围</w:t>
      </w:r>
    </w:p>
    <w:p>
      <w:pPr>
        <w:pStyle w:val="null3"/>
        <w:ind w:firstLine="480"/>
      </w:pPr>
      <w:r>
        <w:rPr/>
        <w:t>一、本竞争性谈判文件仅适用于本次竞争性谈判采购项目。</w:t>
      </w:r>
    </w:p>
    <w:p>
      <w:pPr>
        <w:pStyle w:val="null3"/>
        <w:ind w:firstLine="480"/>
      </w:pPr>
      <w:r>
        <w:rPr/>
        <w:t>二、本竞争性谈判文件的最终解释权由</w:t>
      </w:r>
      <w:r>
        <w:rPr/>
        <w:t>西北大学</w:t>
      </w:r>
      <w:r>
        <w:rPr/>
        <w:t>和</w:t>
      </w:r>
      <w:r>
        <w:rPr/>
        <w:t>陕西瑞通工程造价咨询有限公司</w:t>
      </w:r>
      <w:r>
        <w:rPr/>
        <w:t>享有。竞争性谈判文件中供应商参加本次政府采购活动应当具备的条件、技术清单、参数、商务及其他要求由</w:t>
      </w:r>
      <w:r>
        <w:rPr/>
        <w:t>西北大学</w:t>
      </w:r>
      <w:r>
        <w:rPr/>
        <w:t>负责解释。除上述竞争性谈判文件内容，其他内容由</w:t>
      </w:r>
      <w:r>
        <w:rPr/>
        <w:t>陕西瑞通工程造价咨询有限公司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一、“采购人”是指依法进行政府采购的各级国家机关、事业单位、团体组织。本次谈判的采购人是</w:t>
      </w:r>
      <w:r>
        <w:rPr/>
        <w:t>西北大学</w:t>
      </w:r>
      <w:r>
        <w:rPr/>
        <w:t>。</w:t>
      </w:r>
    </w:p>
    <w:p>
      <w:pPr>
        <w:pStyle w:val="null3"/>
        <w:ind w:firstLine="480"/>
      </w:pPr>
      <w:r>
        <w:rPr/>
        <w:t xml:space="preserve"> 二、“供应商”是指在按照采购公告规定获取谈判文件，拟参加响应和向采购人提供货物、工程或服务的法人、其他组织或自然人。</w:t>
      </w:r>
    </w:p>
    <w:p>
      <w:pPr>
        <w:pStyle w:val="null3"/>
        <w:ind w:firstLine="480"/>
      </w:pPr>
      <w:r>
        <w:rPr/>
        <w:t xml:space="preserve"> 三、“代理机构”是指集中采购机构和集中采购机构以外的代理机构。本项目的代理机构是</w:t>
      </w:r>
      <w:r>
        <w:rPr/>
        <w:t>陕西瑞通工程造价咨询有限公司</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五、“电子评审”是指通过项目电子化交易系统在线完成资格审查小组、谈判小组组建，开展资格和符合性审查、出具谈判报告、推荐成交候选供应商等活动。</w:t>
      </w:r>
    </w:p>
    <w:p>
      <w:pPr>
        <w:pStyle w:val="null3"/>
        <w:outlineLvl w:val="3"/>
      </w:pPr>
      <w:r>
        <w:rPr>
          <w:sz w:val="24"/>
          <w:b/>
        </w:rPr>
        <w:t>2.2.3响应费用（实质性要求）</w:t>
      </w:r>
    </w:p>
    <w:p>
      <w:pPr>
        <w:pStyle w:val="null3"/>
        <w:ind w:firstLine="480"/>
      </w:pPr>
      <w:r>
        <w:rPr/>
        <w:t>供应商应自行承担参加竞争性谈判采购活动的全部费用。</w:t>
      </w:r>
    </w:p>
    <w:p>
      <w:pPr>
        <w:pStyle w:val="null3"/>
        <w:outlineLvl w:val="2"/>
      </w:pPr>
      <w:r>
        <w:rPr>
          <w:sz w:val="28"/>
          <w:b/>
        </w:rPr>
        <w:t>2.3竞争性谈判文件</w:t>
      </w:r>
    </w:p>
    <w:p>
      <w:pPr>
        <w:pStyle w:val="null3"/>
        <w:outlineLvl w:val="3"/>
      </w:pPr>
      <w:r>
        <w:rPr>
          <w:sz w:val="24"/>
          <w:b/>
        </w:rPr>
        <w:t xml:space="preserve"> 2.3.1竞争性谈判文件的构成</w:t>
      </w:r>
    </w:p>
    <w:p>
      <w:pPr>
        <w:pStyle w:val="null3"/>
        <w:ind w:firstLine="480"/>
      </w:pPr>
      <w:r>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t>（一）竞争性谈判邀请；</w:t>
      </w:r>
    </w:p>
    <w:p>
      <w:pPr>
        <w:pStyle w:val="null3"/>
        <w:ind w:firstLine="480"/>
      </w:pPr>
      <w:r>
        <w:rPr/>
        <w:t>（二）供应商须知；</w:t>
      </w:r>
    </w:p>
    <w:p>
      <w:pPr>
        <w:pStyle w:val="null3"/>
        <w:ind w:firstLine="480"/>
      </w:pPr>
      <w:r>
        <w:rPr/>
        <w:t>（三）谈判项目技术、服务、商务及其他要求；</w:t>
      </w:r>
    </w:p>
    <w:p>
      <w:pPr>
        <w:pStyle w:val="null3"/>
        <w:ind w:firstLine="480"/>
      </w:pPr>
      <w:r>
        <w:rPr/>
        <w:t>（四）资格审查；</w:t>
      </w:r>
    </w:p>
    <w:p>
      <w:pPr>
        <w:pStyle w:val="null3"/>
        <w:ind w:firstLine="480"/>
      </w:pPr>
      <w:r>
        <w:rPr/>
        <w:t>（五）谈判过程中可实质性变动的内容；</w:t>
      </w:r>
    </w:p>
    <w:p>
      <w:pPr>
        <w:pStyle w:val="null3"/>
        <w:ind w:firstLine="480"/>
      </w:pPr>
      <w:r>
        <w:rPr/>
        <w:t>（六）谈判办法；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sz w:val="24"/>
          <w:b/>
        </w:rPr>
        <w:t xml:space="preserve"> 2.3.2竞争性谈判文件的澄清和修改</w:t>
      </w:r>
    </w:p>
    <w:p>
      <w:pPr>
        <w:pStyle w:val="null3"/>
        <w:ind w:firstLine="480"/>
      </w:pPr>
      <w:r>
        <w:rPr/>
        <w:t>一、在提交首次响应文件截止时间前，采购人或者代理机构可以对已发出的谈判文件进行必要的澄清或者修改。</w:t>
      </w:r>
    </w:p>
    <w:p>
      <w:pPr>
        <w:pStyle w:val="null3"/>
      </w:pPr>
      <w:r>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 xml:space="preserve"> 2.4.1响应文件的语言（实质性要求）</w:t>
      </w:r>
    </w:p>
    <w:p>
      <w:pPr>
        <w:pStyle w:val="null3"/>
        <w:ind w:firstLine="480"/>
      </w:pPr>
      <w:r>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除谈判文件中另有规定外，本项目均采用国家法定的计量单位。</w:t>
      </w:r>
    </w:p>
    <w:p>
      <w:pPr>
        <w:pStyle w:val="null3"/>
        <w:outlineLvl w:val="3"/>
      </w:pPr>
      <w:r>
        <w:rPr>
          <w:sz w:val="24"/>
          <w:b/>
        </w:rPr>
        <w:t>2.4.3响应货币）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四、构成本谈判文件的各组成部分，未经采购人书面同意，供应商不得擅自复印或用于非本谈判项目所需的其他目的。</w:t>
      </w:r>
    </w:p>
    <w:p>
      <w:pPr>
        <w:pStyle w:val="null3"/>
        <w:outlineLvl w:val="3"/>
      </w:pPr>
      <w:r>
        <w:rPr>
          <w:sz w:val="24"/>
          <w:b/>
        </w:rPr>
        <w:t>2.4.5响应文件的组成（实质性要求）</w:t>
      </w:r>
    </w:p>
    <w:p>
      <w:pPr>
        <w:pStyle w:val="null3"/>
        <w:ind w:firstLine="480"/>
      </w:pPr>
      <w:r>
        <w:rPr/>
        <w:t>供应商应按照谈判文件的规定和要求编制响应文件。</w:t>
      </w:r>
    </w:p>
    <w:p>
      <w:pPr>
        <w:pStyle w:val="null3"/>
        <w:ind w:firstLine="480"/>
        <w:jc w:val="left"/>
      </w:pPr>
      <w:r>
        <w:rPr/>
        <w:t>响应文件具体内容详见第七章。</w:t>
      </w:r>
    </w:p>
    <w:p>
      <w:pPr>
        <w:pStyle w:val="null3"/>
        <w:outlineLvl w:val="3"/>
      </w:pPr>
      <w:r>
        <w:rPr>
          <w:sz w:val="24"/>
          <w:b/>
        </w:rPr>
        <w:t>2.4.6响应文件格式</w:t>
      </w:r>
    </w:p>
    <w:p>
      <w:pPr>
        <w:pStyle w:val="null3"/>
        <w:ind w:firstLine="480"/>
      </w:pPr>
      <w:r>
        <w:rPr/>
        <w:t>1.供应商应按照谈判文件第七章中提供的“响应文件格式”填写相关内容。</w:t>
      </w:r>
    </w:p>
    <w:p>
      <w:pPr>
        <w:pStyle w:val="null3"/>
        <w:ind w:firstLine="480"/>
      </w:pPr>
      <w:r>
        <w:rPr/>
        <w:t>2.对于没有格式要求的响应文件由供应商自行编写。</w:t>
      </w:r>
    </w:p>
    <w:p>
      <w:pPr>
        <w:pStyle w:val="null3"/>
        <w:outlineLvl w:val="3"/>
      </w:pPr>
      <w:r>
        <w:rPr>
          <w:sz w:val="24"/>
          <w:b/>
        </w:rPr>
        <w:t>2.4.7响应报价（实质性要求）</w:t>
      </w:r>
    </w:p>
    <w:p>
      <w:pPr>
        <w:pStyle w:val="null3"/>
        <w:ind w:firstLine="480"/>
      </w:pPr>
      <w:r>
        <w:rPr/>
        <w:t xml:space="preserve"> 一、供应商的报价是其响应谈判项目要求的全部工作内容的价格体现，包括供应商完成本项目所需的一切费用。</w:t>
      </w:r>
    </w:p>
    <w:p>
      <w:pPr>
        <w:pStyle w:val="null3"/>
        <w:ind w:firstLine="480"/>
      </w:pPr>
      <w:r>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2.4.9响应文件的制作、签章和加密（实质性要求）</w:t>
      </w:r>
    </w:p>
    <w:p>
      <w:pPr>
        <w:pStyle w:val="null3"/>
        <w:ind w:firstLine="480"/>
      </w:pPr>
      <w:r>
        <w:rPr/>
        <w:t xml:space="preserve"> 一、响应文件应当根据谈判通知书进行编制。供应商应通过陕西省政府采购网-办事指南-CA及签章服务下载投标（响应）客户端，使用客户端编制响应文件。</w:t>
      </w:r>
    </w:p>
    <w:p>
      <w:pPr>
        <w:pStyle w:val="null3"/>
        <w:ind w:firstLine="480"/>
      </w:pPr>
      <w:r>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sz w:val="24"/>
          <w:b/>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2.5开启、资格审查、谈判和确定成交供应商</w:t>
      </w:r>
    </w:p>
    <w:p>
      <w:pPr>
        <w:pStyle w:val="null3"/>
        <w:outlineLvl w:val="3"/>
      </w:pPr>
      <w:r>
        <w:rPr>
          <w:sz w:val="24"/>
          <w:b/>
        </w:rPr>
        <w:t>2.5.1谈判开启程序</w:t>
      </w:r>
    </w:p>
    <w:p>
      <w:pPr>
        <w:pStyle w:val="null3"/>
        <w:ind w:firstLine="480"/>
      </w:pPr>
      <w:r>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t>二、谈判开启准备工作</w:t>
      </w:r>
    </w:p>
    <w:p>
      <w:pPr>
        <w:pStyle w:val="null3"/>
        <w:ind w:firstLine="480"/>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详见谈判文件第四章。</w:t>
      </w:r>
    </w:p>
    <w:p>
      <w:pPr>
        <w:pStyle w:val="null3"/>
        <w:outlineLvl w:val="3"/>
      </w:pPr>
      <w:r>
        <w:rPr>
          <w:sz w:val="24"/>
          <w:b/>
        </w:rPr>
        <w:t>2.5.4谈判</w:t>
      </w:r>
    </w:p>
    <w:p>
      <w:pPr>
        <w:pStyle w:val="null3"/>
        <w:ind w:firstLine="480"/>
      </w:pPr>
      <w:r>
        <w:rPr/>
        <w:t>详见谈判文件第六章。</w:t>
      </w:r>
    </w:p>
    <w:p>
      <w:pPr>
        <w:pStyle w:val="null3"/>
        <w:outlineLvl w:val="3"/>
      </w:pPr>
      <w:r>
        <w:rPr>
          <w:sz w:val="24"/>
          <w:b/>
        </w:rPr>
        <w:t>2.5.5、成交通知书</w:t>
      </w:r>
    </w:p>
    <w:p>
      <w:pPr>
        <w:pStyle w:val="null3"/>
        <w:ind w:firstLine="480"/>
      </w:pPr>
      <w:r>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二、采购人和成交供应商签订的采购合同不得对谈判文件确定的事项以及成交供应商的响应文件作实质性修改。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 xml:space="preserve"> 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t>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sz w:val="28"/>
          <w:b/>
        </w:rPr>
        <w:t>2.6.6履行合同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2"/>
      </w:pPr>
      <w:r>
        <w:rPr>
          <w:sz w:val="28"/>
          <w:b/>
        </w:rPr>
        <w:t>2.6.7履约验收方案</w:t>
      </w:r>
    </w:p>
    <w:p>
      <w:pPr>
        <w:pStyle w:val="null3"/>
      </w:pPr>
      <w:r>
        <w:rPr/>
        <w:t>采购包1：</w:t>
      </w:r>
    </w:p>
    <w:p>
      <w:pPr>
        <w:pStyle w:val="null3"/>
      </w:pPr>
      <w:r>
        <w:rPr/>
        <w:t>根据谈判文件、响应文件及合同约定执行。</w:t>
      </w:r>
    </w:p>
    <w:p>
      <w:pPr>
        <w:pStyle w:val="null3"/>
        <w:outlineLvl w:val="2"/>
      </w:pPr>
      <w:r>
        <w:rPr>
          <w:sz w:val="28"/>
          <w:b/>
        </w:rPr>
        <w:t>2.6.8资金支付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2.7.1谈判活动纪律要求</w:t>
      </w:r>
    </w:p>
    <w:p>
      <w:pPr>
        <w:pStyle w:val="null3"/>
        <w:ind w:firstLine="480"/>
      </w:pPr>
      <w:r>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t>对各供应商的商业秘密，谈判小组成员应予以保密，不得泄露给其他供应商。</w:t>
      </w:r>
    </w:p>
    <w:p>
      <w:pPr>
        <w:pStyle w:val="null3"/>
        <w:outlineLvl w:val="3"/>
      </w:pPr>
      <w:r>
        <w:rPr>
          <w:sz w:val="24"/>
          <w:b/>
        </w:rPr>
        <w:t>2.7.2供应商不得具有的情形（实质性要求）</w:t>
      </w:r>
    </w:p>
    <w:p>
      <w:pPr>
        <w:pStyle w:val="null3"/>
        <w:ind w:firstLine="480"/>
      </w:pPr>
      <w:r>
        <w:rPr/>
        <w:t>供应商参加谈判不得有下列情形：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（二）不同供应商委托同一单位或者个人办理谈判事宜；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五、向采购人或代理机构、谈判小组成员行贿或者提供其他不正当利益；</w:t>
      </w:r>
    </w:p>
    <w:p>
      <w:pPr>
        <w:pStyle w:val="null3"/>
        <w:ind w:firstLine="480"/>
      </w:pPr>
      <w:r>
        <w:rPr/>
        <w:t>六、在谈判过程中与采购人或代理机构进行协商谈判；</w:t>
      </w:r>
    </w:p>
    <w:p>
      <w:pPr>
        <w:pStyle w:val="null3"/>
        <w:ind w:firstLine="480"/>
      </w:pPr>
      <w:r>
        <w:rPr/>
        <w:t>七、成交后无正当理由拒不与采购人签订政府采购合同；</w:t>
      </w:r>
    </w:p>
    <w:p>
      <w:pPr>
        <w:pStyle w:val="null3"/>
        <w:ind w:firstLine="480"/>
      </w:pPr>
      <w:r>
        <w:rPr/>
        <w:t>八、未按照谈判文件确定的事项签订政府采购合同；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供应商有上述情形的，按照规定追究法律责任，具有前述一至十三条情形之一的，其响应文件无效，或取消被确认为成交供应商的资格或认定成交无效。</w:t>
      </w:r>
    </w:p>
    <w:p>
      <w:pPr>
        <w:pStyle w:val="null3"/>
        <w:outlineLvl w:val="3"/>
      </w:pPr>
      <w:r>
        <w:rPr>
          <w:sz w:val="24"/>
          <w:b/>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陕西瑞通工程造价咨询有限公司</w:t>
      </w:r>
      <w:r>
        <w:rPr/>
        <w:t xml:space="preserve"> 负责答复；供应商对除采购需求外的采购文件的询问、质疑由</w:t>
      </w:r>
      <w:r>
        <w:rPr/>
        <w:t>陕西瑞通工程造价咨询有限公司</w:t>
      </w:r>
      <w:r>
        <w:rPr/>
        <w:t xml:space="preserve"> 负责答复；供应商对采购过程、采购结果的询问、质疑由 </w:t>
      </w:r>
      <w:r>
        <w:rPr/>
        <w:t>陕西瑞通工程造价咨询有限公司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t>（一）对可以质疑的采购文件提出质疑的，为收到采购文件之日或者采购文件公告期限届满之日；</w:t>
      </w:r>
    </w:p>
    <w:p>
      <w:pPr>
        <w:pStyle w:val="null3"/>
        <w:jc w:val="left"/>
      </w:pPr>
      <w:r>
        <w:rPr/>
        <w:t>（二）对采购过程提出质疑的，为各采购程序环节结束之日；</w:t>
      </w:r>
    </w:p>
    <w:p>
      <w:pPr>
        <w:pStyle w:val="null3"/>
        <w:jc w:val="left"/>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pPr>
      <w:r>
        <w:rPr/>
        <w:t>答复主体：代理机构</w:t>
      </w:r>
    </w:p>
    <w:p>
      <w:pPr>
        <w:pStyle w:val="null3"/>
      </w:pPr>
      <w:r>
        <w:rPr/>
        <w:t>联系人：贾堃 喻涛</w:t>
      </w:r>
    </w:p>
    <w:p>
      <w:pPr>
        <w:pStyle w:val="null3"/>
      </w:pPr>
      <w:r>
        <w:rPr/>
        <w:t>联系电话：029-88224132</w:t>
      </w:r>
    </w:p>
    <w:p>
      <w:pPr>
        <w:pStyle w:val="null3"/>
      </w:pPr>
      <w:r>
        <w:rPr/>
        <w:t>地址：西安市高新区科技路30号合力紫郡A座2204室</w:t>
      </w:r>
    </w:p>
    <w:p>
      <w:pPr>
        <w:pStyle w:val="null3"/>
      </w:pPr>
      <w:r>
        <w:rPr/>
        <w:t>邮编：710075</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（五）针对质疑事项必要的证明材料（针对谈判文件提出的质疑，需提交从项目电子化交易系统获取的谈判文件回执单）。</w:t>
      </w:r>
    </w:p>
    <w:p>
      <w:pPr>
        <w:pStyle w:val="null3"/>
        <w:ind w:firstLine="480"/>
      </w:pPr>
      <w:r>
        <w:rPr/>
        <w:t>注：根据《中华人民共和国政府采购法》的规定，供应商质疑不得超出谈判文件、采购过程、采购结果的范围。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t xml:space="preserve"> </w:t>
        <w:br/>
        <w:br w:type="page"/>
      </w:r>
    </w:p>
    <w:p>
      <w:pPr>
        <w:pStyle w:val="null3"/>
        <w:jc w:val="center"/>
        <w:outlineLvl w:val="1"/>
      </w:pPr>
      <w:r>
        <w:rPr>
          <w:sz w:val="36"/>
          <w:b/>
        </w:rPr>
        <w:t>第三章 谈判项目技术、服务、商务及其他要求</w:t>
      </w:r>
    </w:p>
    <w:p>
      <w:pPr>
        <w:pStyle w:val="null3"/>
        <w:ind w:firstLine="480"/>
      </w:pPr>
      <w:r>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3.1采购项目概况</w:t>
      </w:r>
    </w:p>
    <w:p>
      <w:pPr>
        <w:pStyle w:val="null3"/>
        <w:ind w:firstLine="480"/>
      </w:pPr>
      <w:r>
        <w:rPr/>
        <w:t>西北大学拟采购通信电路实验教学系统采购项目1套，采购预算547500元</w:t>
      </w:r>
    </w:p>
    <w:p>
      <w:pPr>
        <w:pStyle w:val="null3"/>
        <w:outlineLvl w:val="2"/>
      </w:pPr>
      <w:r>
        <w:rPr>
          <w:sz w:val="28"/>
          <w:b/>
        </w:rPr>
        <w:t>3.2采购内容</w:t>
      </w:r>
    </w:p>
    <w:p>
      <w:pPr>
        <w:pStyle w:val="null3"/>
      </w:pPr>
      <w:r>
        <w:rPr/>
        <w:t>采购包1：</w:t>
      </w:r>
    </w:p>
    <w:p>
      <w:pPr>
        <w:pStyle w:val="null3"/>
      </w:pPr>
      <w:r>
        <w:rPr/>
        <w:t>采购包预算金额（元）: 547,500.00</w:t>
      </w:r>
    </w:p>
    <w:p>
      <w:pPr>
        <w:pStyle w:val="null3"/>
      </w:pPr>
      <w:r>
        <w:rPr/>
        <w:t>采购包最高限价（元）: 547,500.00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通信电路实验教学系统</w:t>
            </w:r>
          </w:p>
        </w:tc>
        <w:tc>
          <w:tcPr>
            <w:tcW w:type="dxa" w:w="831"/>
          </w:tcPr>
          <w:p>
            <w:pPr>
              <w:pStyle w:val="null3"/>
              <w:jc w:val="right"/>
            </w:pPr>
            <w:r>
              <w:rPr/>
              <w:t>1.00</w:t>
            </w:r>
          </w:p>
        </w:tc>
        <w:tc>
          <w:tcPr>
            <w:tcW w:type="dxa" w:w="831"/>
          </w:tcPr>
          <w:p>
            <w:pPr>
              <w:pStyle w:val="null3"/>
              <w:jc w:val="right"/>
            </w:pPr>
            <w:r>
              <w:rPr/>
              <w:t>547,500.00</w:t>
            </w:r>
          </w:p>
        </w:tc>
        <w:tc>
          <w:tcPr>
            <w:tcW w:type="dxa" w:w="831"/>
          </w:tcPr>
          <w:p>
            <w:pPr>
              <w:pStyle w:val="null3"/>
            </w:pPr>
            <w:r>
              <w:rPr/>
              <w:t>套</w:t>
            </w:r>
          </w:p>
        </w:tc>
        <w:tc>
          <w:tcPr>
            <w:tcW w:type="dxa" w:w="831"/>
          </w:tcPr>
          <w:p>
            <w:pPr>
              <w:pStyle w:val="null3"/>
            </w:pPr>
            <w:r>
              <w:rPr/>
              <w:t>工业</w:t>
            </w:r>
          </w:p>
        </w:tc>
        <w:tc>
          <w:tcPr>
            <w:tcW w:type="dxa" w:w="831"/>
          </w:tcPr>
          <w:p>
            <w:pPr>
              <w:pStyle w:val="null3"/>
            </w:pPr>
            <w:r>
              <w:rPr/>
              <w:t>是</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3.3技术要求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标的名称：通信电路实验教学系统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tbl>
            <w:tblPr>
              <w:tblInd w:type="dxa" w:w="135"/>
              <w:tblBorders>
                <w:top w:val="none" w:color="000000" w:sz="4"/>
                <w:left w:val="none" w:color="000000" w:sz="4"/>
                <w:bottom w:val="none" w:color="000000" w:sz="4"/>
                <w:right w:val="none" w:color="000000" w:sz="4"/>
                <w:insideH w:val="none"/>
                <w:insideV w:val="none"/>
              </w:tblBorders>
            </w:tblPr>
            <w:tblGrid>
              <w:gridCol w:w="277"/>
              <w:gridCol w:w="277"/>
              <w:gridCol w:w="1442"/>
              <w:gridCol w:w="277"/>
              <w:gridCol w:w="279"/>
            </w:tblGrid>
            <w:tr>
              <w:tc>
                <w:tcPr>
                  <w:tcW w:type="dxa" w:w="27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rPr>
                    <w:t>序号</w:t>
                  </w:r>
                </w:p>
              </w:tc>
              <w:tc>
                <w:tcPr>
                  <w:tcW w:type="dxa" w:w="27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rPr>
                    <w:t>货物名称</w:t>
                  </w:r>
                </w:p>
              </w:tc>
              <w:tc>
                <w:tcPr>
                  <w:tcW w:type="dxa" w:w="144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rPr>
                    <w:t>技术参数</w:t>
                  </w:r>
                </w:p>
              </w:tc>
              <w:tc>
                <w:tcPr>
                  <w:tcW w:type="dxa" w:w="27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rPr>
                    <w:t>数量</w:t>
                  </w:r>
                </w:p>
              </w:tc>
              <w:tc>
                <w:tcPr>
                  <w:tcW w:type="dxa" w:w="27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rPr>
                    <w:t>单位</w:t>
                  </w: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w:t>
                  </w:r>
                </w:p>
              </w:tc>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通信电路实验教学系统</w:t>
                  </w:r>
                </w:p>
              </w:tc>
              <w:tc>
                <w:tcPr>
                  <w:tcW w:type="dxa" w:w="1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通信电路实验教学系统</w:t>
                  </w:r>
                  <w:r>
                    <w:rPr>
                      <w:rFonts w:ascii="宋体" w:hAnsi="宋体" w:cs="宋体" w:eastAsia="宋体"/>
                      <w:sz w:val="24"/>
                    </w:rPr>
                    <w:t>包含三个产品，其中</w:t>
                  </w:r>
                  <w:r>
                    <w:rPr>
                      <w:rFonts w:ascii="宋体" w:hAnsi="宋体" w:cs="宋体" w:eastAsia="宋体"/>
                      <w:sz w:val="24"/>
                    </w:rPr>
                    <w:t>实验终端</w:t>
                  </w:r>
                  <w:r>
                    <w:rPr>
                      <w:rFonts w:ascii="宋体" w:hAnsi="宋体" w:cs="宋体" w:eastAsia="宋体"/>
                      <w:sz w:val="24"/>
                    </w:rPr>
                    <w:t>（</w:t>
                  </w:r>
                  <w:r>
                    <w:rPr>
                      <w:rFonts w:ascii="宋体" w:hAnsi="宋体" w:cs="宋体" w:eastAsia="宋体"/>
                      <w:sz w:val="24"/>
                    </w:rPr>
                    <w:t>集成</w:t>
                  </w:r>
                  <w:r>
                    <w:rPr>
                      <w:rFonts w:ascii="宋体" w:hAnsi="宋体" w:cs="宋体" w:eastAsia="宋体"/>
                      <w:sz w:val="24"/>
                    </w:rPr>
                    <w:t>）</w:t>
                  </w:r>
                  <w:r>
                    <w:rPr>
                      <w:rFonts w:ascii="宋体" w:hAnsi="宋体" w:cs="宋体" w:eastAsia="宋体"/>
                      <w:sz w:val="24"/>
                    </w:rPr>
                    <w:t>50个</w:t>
                  </w:r>
                  <w:r>
                    <w:rPr>
                      <w:rFonts w:ascii="宋体" w:hAnsi="宋体" w:cs="宋体" w:eastAsia="宋体"/>
                      <w:sz w:val="24"/>
                      <w:b/>
                    </w:rPr>
                    <w:t>（</w:t>
                  </w:r>
                  <w:r>
                    <w:rPr>
                      <w:rFonts w:ascii="宋体" w:hAnsi="宋体" w:cs="宋体" w:eastAsia="宋体"/>
                      <w:sz w:val="24"/>
                      <w:b/>
                    </w:rPr>
                    <w:t>核心产品</w:t>
                  </w:r>
                  <w:r>
                    <w:rPr>
                      <w:rFonts w:ascii="宋体" w:hAnsi="宋体" w:cs="宋体" w:eastAsia="宋体"/>
                      <w:sz w:val="24"/>
                      <w:b/>
                    </w:rPr>
                    <w:t>）</w:t>
                  </w:r>
                  <w:r>
                    <w:rPr>
                      <w:rFonts w:ascii="宋体" w:hAnsi="宋体" w:cs="宋体" w:eastAsia="宋体"/>
                      <w:sz w:val="24"/>
                    </w:rPr>
                    <w:t>、</w:t>
                  </w:r>
                  <w:r>
                    <w:rPr>
                      <w:rFonts w:ascii="宋体" w:hAnsi="宋体" w:cs="宋体" w:eastAsia="宋体"/>
                      <w:sz w:val="24"/>
                    </w:rPr>
                    <w:t>以太网交换机</w:t>
                  </w:r>
                  <w:r>
                    <w:rPr>
                      <w:rFonts w:ascii="宋体" w:hAnsi="宋体" w:cs="宋体" w:eastAsia="宋体"/>
                      <w:sz w:val="24"/>
                    </w:rPr>
                    <w:t>6个</w:t>
                  </w:r>
                  <w:r>
                    <w:rPr>
                      <w:rFonts w:ascii="宋体" w:hAnsi="宋体" w:cs="宋体" w:eastAsia="宋体"/>
                      <w:sz w:val="24"/>
                    </w:rPr>
                    <w:t>、</w:t>
                  </w:r>
                  <w:r>
                    <w:rPr>
                      <w:rFonts w:ascii="宋体" w:hAnsi="宋体" w:cs="宋体" w:eastAsia="宋体"/>
                      <w:sz w:val="24"/>
                    </w:rPr>
                    <w:t>无线扩音系统</w:t>
                  </w:r>
                  <w:r>
                    <w:rPr>
                      <w:rFonts w:ascii="宋体" w:hAnsi="宋体" w:cs="宋体" w:eastAsia="宋体"/>
                      <w:sz w:val="24"/>
                    </w:rPr>
                    <w:t>1台</w:t>
                  </w:r>
                  <w:r>
                    <w:rPr>
                      <w:rFonts w:ascii="宋体" w:hAnsi="宋体" w:cs="宋体" w:eastAsia="宋体"/>
                      <w:sz w:val="24"/>
                    </w:rPr>
                    <w:t>。</w:t>
                  </w:r>
                </w:p>
                <w:p>
                  <w:pPr>
                    <w:pStyle w:val="null3"/>
                    <w:jc w:val="both"/>
                  </w:pPr>
                  <w:r>
                    <w:rPr>
                      <w:rFonts w:ascii="宋体" w:hAnsi="宋体" w:cs="宋体" w:eastAsia="宋体"/>
                      <w:sz w:val="24"/>
                    </w:rPr>
                    <w:t>1.实验终端50个，所有终端组网连接，每个终端包含1个实验台、1个实验箱、1个焊台和1个辅助电路仿真设计PC模块。</w:t>
                  </w:r>
                </w:p>
                <w:p>
                  <w:pPr>
                    <w:pStyle w:val="null3"/>
                    <w:jc w:val="both"/>
                  </w:pPr>
                  <w:r>
                    <w:rPr>
                      <w:rFonts w:ascii="宋体" w:hAnsi="宋体" w:cs="宋体" w:eastAsia="宋体"/>
                      <w:sz w:val="24"/>
                    </w:rPr>
                    <w:t>（</w:t>
                  </w:r>
                  <w:r>
                    <w:rPr>
                      <w:rFonts w:ascii="宋体" w:hAnsi="宋体" w:cs="宋体" w:eastAsia="宋体"/>
                      <w:sz w:val="24"/>
                    </w:rPr>
                    <w:t>1）其中的实验台1200mm宽，具备仪器放置隔板和显示器支架，具体要求如下：</w:t>
                  </w:r>
                </w:p>
                <w:p>
                  <w:pPr>
                    <w:pStyle w:val="null3"/>
                    <w:jc w:val="both"/>
                  </w:pPr>
                  <w:r>
                    <w:rPr>
                      <w:rFonts w:ascii="宋体" w:hAnsi="宋体" w:cs="宋体" w:eastAsia="宋体"/>
                      <w:sz w:val="24"/>
                    </w:rPr>
                    <w:t>①需双层台面设计，底层为实训台面，上层为隔板；台架立柱需采用工业级铝合金型材；台面上方适当位置需配置铝合金型材电源盒；台面下方需配置整体式钢制键盘托；台面上方需安装铝合金液晶显示器支架一只，固定在主立柱型材右侧位置（可固定19寸液晶显示器）；底部右侧位置需安装金属材质PC主机托板。</w:t>
                  </w:r>
                </w:p>
                <w:p>
                  <w:pPr>
                    <w:pStyle w:val="null3"/>
                    <w:jc w:val="both"/>
                  </w:pPr>
                  <w:r>
                    <w:rPr>
                      <w:rFonts w:ascii="宋体" w:hAnsi="宋体" w:cs="宋体" w:eastAsia="宋体"/>
                      <w:sz w:val="24"/>
                    </w:rPr>
                    <w:t>②尺寸规格要求：整体外形尺寸1200×750×1050mm（长×宽×高）；台面距离地面高度750mm；上层隔板距离台面高度300mm；后立柱总高1050mm；实训台面尺寸1200×750mm（长×宽）；上层隔板尺寸1200×350mm（长×宽）。实训台面≥25mm厚度E1级复面合成板，颜色为双面暖白色，上述尺寸误差≤3mm。</w:t>
                  </w:r>
                </w:p>
                <w:p>
                  <w:pPr>
                    <w:pStyle w:val="null3"/>
                    <w:jc w:val="both"/>
                  </w:pPr>
                  <w:r>
                    <w:rPr>
                      <w:rFonts w:ascii="宋体" w:hAnsi="宋体" w:cs="宋体" w:eastAsia="宋体"/>
                      <w:sz w:val="24"/>
                    </w:rPr>
                    <w:t>③前面板配置：1位漏电保护器、1位电源指示灯、≥8位250V/10A五孔插座，插座带安全门，符合GB2099.7-2015插座标准； 配置10A插头、品字尾三芯电源线1根，电源线长度≥2.5米，线芯为国标1.5平方铜芯。</w:t>
                  </w:r>
                </w:p>
                <w:p>
                  <w:pPr>
                    <w:pStyle w:val="null3"/>
                    <w:jc w:val="both"/>
                  </w:pPr>
                  <w:r>
                    <w:rPr>
                      <w:rFonts w:ascii="宋体" w:hAnsi="宋体" w:cs="宋体" w:eastAsia="宋体"/>
                      <w:sz w:val="24"/>
                    </w:rPr>
                    <w:t>（2）其中的实验箱需采用模块化结构，每个模块应标注对应实验电路原理框图、标注输入输出节点与测试节点位置。实验模块选频回路、调谐回路应采用压控式，一个模块能支持一类实验，模块级联后能构成调幅或调频无线收发信机系统。具体模块要求：</w:t>
                  </w:r>
                </w:p>
                <w:p>
                  <w:pPr>
                    <w:pStyle w:val="null3"/>
                    <w:jc w:val="both"/>
                  </w:pPr>
                  <w:r>
                    <w:rPr>
                      <w:rFonts w:ascii="宋体" w:hAnsi="宋体" w:cs="宋体" w:eastAsia="宋体"/>
                      <w:sz w:val="24"/>
                    </w:rPr>
                    <w:t>①小信号调谐放大器模块可用开关切换单调谐或双调谐工作模式，选频带宽可调，中心频率6.3MHz，放大器增益不小于25db；可研究负载对调谐回路影响、单双调谐电路选频特性等。</w:t>
                  </w:r>
                </w:p>
                <w:p>
                  <w:pPr>
                    <w:pStyle w:val="null3"/>
                    <w:jc w:val="both"/>
                  </w:pPr>
                  <w:r>
                    <w:rPr>
                      <w:rFonts w:ascii="宋体" w:hAnsi="宋体" w:cs="宋体" w:eastAsia="宋体"/>
                      <w:sz w:val="24"/>
                    </w:rPr>
                    <w:t>②晶体管高频功率放大器模块可进行基极调幅，工作频率6.3MHz，丙类功放效率不低于40%；可研究高频功率放大器丙类工作状态，测试丙类功放的调谐特性、负载特性，测试激励信号变化、负载变化、电源电压变化对工作状态的影响，能清晰地观察欠压、临界和过压三种状态的余弦脉冲波形。</w:t>
                  </w:r>
                </w:p>
                <w:p>
                  <w:pPr>
                    <w:pStyle w:val="null3"/>
                    <w:jc w:val="both"/>
                  </w:pPr>
                  <w:r>
                    <w:rPr>
                      <w:rFonts w:ascii="宋体" w:hAnsi="宋体" w:cs="宋体" w:eastAsia="宋体"/>
                      <w:sz w:val="24"/>
                    </w:rPr>
                    <w:t>③中频放大器模块采用晶体管选频放大电路，支持自动增益控制，选频范围1.0MHz-4.0MHz可调，调谐模式为压控式。</w:t>
                  </w:r>
                </w:p>
                <w:p>
                  <w:pPr>
                    <w:pStyle w:val="null3"/>
                    <w:jc w:val="both"/>
                  </w:pPr>
                  <w:r>
                    <w:rPr>
                      <w:rFonts w:ascii="宋体" w:hAnsi="宋体" w:cs="宋体" w:eastAsia="宋体"/>
                      <w:sz w:val="24"/>
                    </w:rPr>
                    <w:t>④正弦波振荡器模块内置西勒LC振荡器、克拉泼LC振荡器、晶体振荡器各一个，LC振荡器频率4—12MHZ可调，频率调节采用压控式，可研究西勒振荡电路和克拉泼振荡电路的幅频特性。晶体振荡器工作频率为8.8MHz。</w:t>
                  </w:r>
                </w:p>
                <w:p>
                  <w:pPr>
                    <w:pStyle w:val="null3"/>
                    <w:jc w:val="both"/>
                  </w:pPr>
                  <w:r>
                    <w:rPr>
                      <w:rFonts w:ascii="宋体" w:hAnsi="宋体" w:cs="宋体" w:eastAsia="宋体"/>
                      <w:sz w:val="24"/>
                    </w:rPr>
                    <w:t>⑤混频器模块采用晶体管混频电路，本振输入8.8MHZ，载波输入6.3MHZ，中频输出2.5MHZ，混频电路工作点、中频滤波特性可调。</w:t>
                  </w:r>
                </w:p>
                <w:p>
                  <w:pPr>
                    <w:pStyle w:val="null3"/>
                    <w:jc w:val="both"/>
                  </w:pPr>
                  <w:r>
                    <w:rPr>
                      <w:rFonts w:ascii="宋体" w:hAnsi="宋体" w:cs="宋体" w:eastAsia="宋体"/>
                      <w:sz w:val="24"/>
                    </w:rPr>
                    <w:t>⑥振幅调制器模块基于乘法器设计制作，具备AM、DSB、SSB调制功能，载波频率可达20MHz。</w:t>
                  </w:r>
                </w:p>
                <w:p>
                  <w:pPr>
                    <w:pStyle w:val="null3"/>
                    <w:jc w:val="both"/>
                  </w:pPr>
                  <w:r>
                    <w:rPr>
                      <w:rFonts w:ascii="宋体" w:hAnsi="宋体" w:cs="宋体" w:eastAsia="宋体"/>
                      <w:sz w:val="24"/>
                    </w:rPr>
                    <w:t>⑦振幅解调器模块采用包络检波，可研究负载与对角切割失真和底部切割失真关系，内置晶体管音频放大器，放大器工作点与增益可调，音频输出可选耳机或喇叭。</w:t>
                  </w:r>
                </w:p>
                <w:p>
                  <w:pPr>
                    <w:pStyle w:val="null3"/>
                    <w:jc w:val="both"/>
                  </w:pPr>
                  <w:r>
                    <w:rPr>
                      <w:rFonts w:ascii="宋体" w:hAnsi="宋体" w:cs="宋体" w:eastAsia="宋体"/>
                      <w:sz w:val="24"/>
                    </w:rPr>
                    <w:t>⑧频率调制器模块采用变容管调频模式，中心频率4-10MHz可调，频偏不小于200KHz，调频输出信号不小于2Vpp，可研究变容管静态与动态调制特性。</w:t>
                  </w:r>
                </w:p>
                <w:p>
                  <w:pPr>
                    <w:pStyle w:val="null3"/>
                    <w:jc w:val="both"/>
                  </w:pPr>
                  <w:r>
                    <w:rPr>
                      <w:rFonts w:ascii="宋体" w:hAnsi="宋体" w:cs="宋体" w:eastAsia="宋体"/>
                      <w:sz w:val="24"/>
                    </w:rPr>
                    <w:t>⑨频率解调器模块可选电容耦合相位鉴频或斜率鉴频两种模式，中心频率6.3MHz，输入电路工作点、鉴频回路等参数可调，可研究初级回路电容、次级回路电容、耦合电容变化对 FM 波解调的影响。</w:t>
                  </w:r>
                </w:p>
                <w:p>
                  <w:pPr>
                    <w:pStyle w:val="null3"/>
                    <w:jc w:val="both"/>
                  </w:pPr>
                  <w:r>
                    <w:rPr>
                      <w:rFonts w:ascii="宋体" w:hAnsi="宋体" w:cs="宋体" w:eastAsia="宋体"/>
                      <w:sz w:val="24"/>
                    </w:rPr>
                    <w:t>（</w:t>
                  </w:r>
                  <w:r>
                    <w:rPr>
                      <w:rFonts w:ascii="宋体" w:hAnsi="宋体" w:cs="宋体" w:eastAsia="宋体"/>
                      <w:sz w:val="24"/>
                    </w:rPr>
                    <w:t>3）其中的焊台为数字恒温焊台，功率≥60W，温度200℃-480℃可调。</w:t>
                  </w:r>
                </w:p>
                <w:p>
                  <w:pPr>
                    <w:pStyle w:val="null3"/>
                    <w:jc w:val="both"/>
                  </w:pPr>
                  <w:r>
                    <w:rPr>
                      <w:rFonts w:ascii="宋体" w:hAnsi="宋体" w:cs="宋体" w:eastAsia="宋体"/>
                      <w:sz w:val="24"/>
                    </w:rPr>
                    <w:t>（</w:t>
                  </w:r>
                  <w:r>
                    <w:rPr>
                      <w:rFonts w:ascii="宋体" w:hAnsi="宋体" w:cs="宋体" w:eastAsia="宋体"/>
                      <w:sz w:val="24"/>
                    </w:rPr>
                    <w:t>4）其中的辅助电路仿真设计PC模块（组网主机）5个，每个拥有20核28线程/基础频率3.2GHz/最大加速频率5.4GHz的CPU、16G内存、1T固态硬盘、19寸显示，预装正版Windows、office、Multisim14等软件。</w:t>
                  </w:r>
                </w:p>
                <w:p>
                  <w:pPr>
                    <w:pStyle w:val="null3"/>
                    <w:jc w:val="both"/>
                  </w:pPr>
                  <w:r>
                    <w:rPr>
                      <w:rFonts w:ascii="宋体" w:hAnsi="宋体" w:cs="宋体" w:eastAsia="宋体"/>
                      <w:sz w:val="24"/>
                    </w:rPr>
                    <w:t>（</w:t>
                  </w:r>
                  <w:r>
                    <w:rPr>
                      <w:rFonts w:ascii="宋体" w:hAnsi="宋体" w:cs="宋体" w:eastAsia="宋体"/>
                      <w:sz w:val="24"/>
                    </w:rPr>
                    <w:t>5）其中的辅助电路仿真设计PC模块（组网副机）45个，每个拥有10核16线程/基础频率2.5GHz/最大加速频率4.7GHz的CPU、16g内存，512g固态+1t机械硬盘、19寸显示器，预装正版Windows、office、Multisim14等软件。</w:t>
                  </w:r>
                </w:p>
                <w:p>
                  <w:pPr>
                    <w:pStyle w:val="null3"/>
                    <w:jc w:val="both"/>
                  </w:pPr>
                  <w:r>
                    <w:rPr>
                      <w:rFonts w:ascii="宋体" w:hAnsi="宋体" w:cs="宋体" w:eastAsia="宋体"/>
                      <w:sz w:val="24"/>
                    </w:rPr>
                    <w:t>2.</w:t>
                  </w:r>
                  <w:r>
                    <w:rPr>
                      <w:rFonts w:ascii="宋体" w:hAnsi="宋体" w:cs="宋体" w:eastAsia="宋体"/>
                      <w:sz w:val="24"/>
                    </w:rPr>
                    <w:t>以太网交换机</w:t>
                  </w:r>
                  <w:r>
                    <w:rPr>
                      <w:rFonts w:ascii="宋体" w:hAnsi="宋体" w:cs="宋体" w:eastAsia="宋体"/>
                      <w:sz w:val="24"/>
                    </w:rPr>
                    <w:t>6个，输入电源220V/50Hz，拥有12口 RJ45端口，上下行端口速率≥1000兆。</w:t>
                  </w:r>
                </w:p>
                <w:p>
                  <w:pPr>
                    <w:pStyle w:val="null3"/>
                    <w:jc w:val="both"/>
                  </w:pPr>
                  <w:r>
                    <w:rPr>
                      <w:rFonts w:ascii="宋体" w:hAnsi="宋体" w:cs="宋体" w:eastAsia="宋体"/>
                      <w:sz w:val="24"/>
                    </w:rPr>
                    <w:t>3.</w:t>
                  </w:r>
                  <w:r>
                    <w:rPr>
                      <w:rFonts w:ascii="宋体" w:hAnsi="宋体" w:cs="宋体" w:eastAsia="宋体"/>
                      <w:sz w:val="24"/>
                    </w:rPr>
                    <w:t>无线扩音系统</w:t>
                  </w:r>
                  <w:r>
                    <w:rPr>
                      <w:rFonts w:ascii="宋体" w:hAnsi="宋体" w:cs="宋体" w:eastAsia="宋体"/>
                      <w:sz w:val="24"/>
                    </w:rPr>
                    <w:t>1台，输入电源220V/50Hz，输出功率≥60W，无线频率范围76-108MHz。</w:t>
                  </w:r>
                </w:p>
                <w:p>
                  <w:pPr>
                    <w:pStyle w:val="null3"/>
                    <w:jc w:val="both"/>
                  </w:pPr>
                  <w:r>
                    <w:rPr>
                      <w:rFonts w:ascii="宋体" w:hAnsi="宋体" w:cs="宋体" w:eastAsia="宋体"/>
                      <w:sz w:val="24"/>
                      <w:b/>
                    </w:rPr>
                    <w:t>注：以上技术参数及要求不接受负偏离，出现负偏离为无效投标。</w:t>
                  </w:r>
                </w:p>
              </w:tc>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1</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套</w:t>
                  </w:r>
                </w:p>
              </w:tc>
            </w:tr>
          </w:tbl>
          <w:p/>
        </w:tc>
      </w:tr>
    </w:tbl>
    <w:p>
      <w:pPr>
        <w:pStyle w:val="null3"/>
        <w:outlineLvl w:val="2"/>
      </w:pPr>
      <w:r>
        <w:rPr>
          <w:sz w:val="28"/>
          <w:b/>
        </w:rPr>
        <w:t>3.4商务要求</w:t>
      </w:r>
    </w:p>
    <w:p>
      <w:pPr>
        <w:pStyle w:val="null3"/>
        <w:outlineLvl w:val="3"/>
      </w:pPr>
      <w:r>
        <w:rPr>
          <w:sz w:val="24"/>
          <w:b/>
        </w:rPr>
        <w:t>3.4.1交货时间</w:t>
      </w:r>
    </w:p>
    <w:p>
      <w:pPr>
        <w:pStyle w:val="null3"/>
      </w:pPr>
      <w:r>
        <w:rPr/>
        <w:t>采购包1：</w:t>
      </w:r>
    </w:p>
    <w:p>
      <w:pPr>
        <w:pStyle w:val="null3"/>
      </w:pPr>
      <w:r>
        <w:rPr/>
        <w:t>合同签订之日起30日内到货安装调试交付使用</w:t>
      </w:r>
    </w:p>
    <w:p>
      <w:pPr>
        <w:pStyle w:val="null3"/>
        <w:outlineLvl w:val="3"/>
      </w:pPr>
      <w:r>
        <w:rPr>
          <w:sz w:val="24"/>
          <w:b/>
        </w:rPr>
        <w:t>3.4.2交货地点和方式</w:t>
      </w:r>
    </w:p>
    <w:p>
      <w:pPr>
        <w:pStyle w:val="null3"/>
      </w:pPr>
      <w:r>
        <w:rPr/>
        <w:t>采购包1：</w:t>
      </w:r>
    </w:p>
    <w:p>
      <w:pPr>
        <w:pStyle w:val="null3"/>
      </w:pPr>
      <w:r>
        <w:rPr/>
        <w:t>西北大学信息学院指定地点</w:t>
      </w:r>
    </w:p>
    <w:p>
      <w:pPr>
        <w:pStyle w:val="null3"/>
        <w:outlineLvl w:val="3"/>
      </w:pPr>
      <w:r>
        <w:rPr>
          <w:sz w:val="24"/>
          <w:b/>
        </w:rPr>
        <w:t>3.4.3支付方式</w:t>
      </w:r>
    </w:p>
    <w:p>
      <w:pPr>
        <w:pStyle w:val="null3"/>
      </w:pPr>
      <w:r>
        <w:rPr/>
        <w:t>采购包1：</w:t>
      </w:r>
    </w:p>
    <w:p>
      <w:pPr>
        <w:pStyle w:val="null3"/>
      </w:pPr>
      <w:r>
        <w:rPr/>
        <w:t>一次付清</w:t>
      </w:r>
    </w:p>
    <w:p>
      <w:pPr>
        <w:pStyle w:val="null3"/>
        <w:outlineLvl w:val="3"/>
      </w:pPr>
      <w:r>
        <w:rPr>
          <w:sz w:val="24"/>
          <w:b/>
        </w:rPr>
        <w:t>3.4.4支付约定</w:t>
      </w:r>
    </w:p>
    <w:p>
      <w:pPr>
        <w:pStyle w:val="null3"/>
      </w:pPr>
      <w:r>
        <w:rPr/>
        <w:t>采购包1：</w:t>
      </w:r>
      <w:r>
        <w:rPr/>
        <w:t xml:space="preserve"> 付款条件说明： </w:t>
      </w:r>
      <w:r>
        <w:rPr/>
        <w:t>合同生效后，中标供应商开具合同金额等额银行保函，采购人收到银行保函正本后预付合同货款，待货物到达指定地点、安装调试验收合格后，采购人退还银行保函正本</w:t>
      </w:r>
      <w:r>
        <w:rPr/>
        <w:t xml:space="preserve"> ，达到付款条件起 </w:t>
      </w:r>
      <w:r>
        <w:rPr/>
        <w:t>30</w:t>
      </w:r>
      <w:r>
        <w:rPr/>
        <w:t xml:space="preserve"> 日内，支付合同总金额的 </w:t>
      </w:r>
      <w:r>
        <w:rPr/>
        <w:t>100.00</w:t>
      </w:r>
      <w:r>
        <w:rPr/>
        <w:t>%。</w:t>
      </w:r>
    </w:p>
    <w:p>
      <w:pPr>
        <w:pStyle w:val="null3"/>
        <w:outlineLvl w:val="3"/>
      </w:pPr>
      <w:r>
        <w:rPr>
          <w:sz w:val="24"/>
          <w:b/>
        </w:rPr>
        <w:t>3.4.5验收标准和方法</w:t>
      </w:r>
    </w:p>
    <w:p>
      <w:pPr>
        <w:pStyle w:val="null3"/>
      </w:pPr>
      <w:r>
        <w:rPr/>
        <w:t>采购包1：</w:t>
      </w:r>
    </w:p>
    <w:p>
      <w:pPr>
        <w:pStyle w:val="null3"/>
      </w:pPr>
      <w:r>
        <w:rPr/>
        <w:t>（1）验收分初次开箱验收和学校最终验收两个阶段，以最终验收为准； （2）货物到货后，甲、乙双方共同开箱验收。如属于检验检疫法检目录内货物，由甲乙双方会同海关共同开箱验收。在检查货物原产地、型号、规格、配置符合合同要求后，由乙方负责安装调试、甲方负责技术验收（乙方协助），验收以国内行业标准或合同文本货物供货配置清单中描述的有关技术要求为准； （3）在货物安装调试运行正常后，甲方（采购单位）按学校相关业务部门规定提交验收申请，学校根据采购单位技术验收结果，组织有关专家进行货物的最终验收。</w:t>
      </w:r>
    </w:p>
    <w:p>
      <w:pPr>
        <w:pStyle w:val="null3"/>
        <w:outlineLvl w:val="3"/>
      </w:pPr>
      <w:r>
        <w:rPr>
          <w:sz w:val="24"/>
          <w:b/>
        </w:rPr>
        <w:t>3.4.6包装方式及运输</w:t>
      </w:r>
    </w:p>
    <w:p>
      <w:pPr>
        <w:pStyle w:val="null3"/>
      </w:pPr>
      <w:r>
        <w:rPr/>
        <w:t>采购包1：</w:t>
      </w:r>
    </w:p>
    <w:p>
      <w:pPr>
        <w:pStyle w:val="null3"/>
      </w:pPr>
      <w:r>
        <w:rPr/>
        <w:t>货物的运输方式由乙方自行选择，但包装必须符合国家标准或行业标准，满足航空、铁路或公路运输以及货物装卸要求，保证使用人收到的是无任何损伤的货物。否则，因此造成的损失由乙方自行承担。</w:t>
      </w:r>
    </w:p>
    <w:p>
      <w:pPr>
        <w:pStyle w:val="null3"/>
        <w:outlineLvl w:val="3"/>
      </w:pPr>
      <w:r>
        <w:rPr>
          <w:sz w:val="24"/>
          <w:b/>
        </w:rPr>
        <w:t>3.4.7质量保修范围和保修期</w:t>
      </w:r>
    </w:p>
    <w:p>
      <w:pPr>
        <w:pStyle w:val="null3"/>
      </w:pPr>
      <w:r>
        <w:rPr/>
        <w:t>采购包1：</w:t>
      </w:r>
    </w:p>
    <w:p>
      <w:pPr>
        <w:pStyle w:val="null3"/>
      </w:pPr>
      <w:r>
        <w:rPr/>
        <w:t>1.质保期：自学校验收合格之日起3年。 2.售后服务标准要求：①质保期内，因产品质量而导致的缺陷，供应商应当提供包修、包换、包退服务，因此导致的损失采购人有权向供应商追偿。超出质保期后，供应商应当提供上门维修服务，仅收取成本费。 ②质保期内，产品出现非人为因素损坏而造成短期停用时，则质保期相应顺延，如停用时间累计超过60天，则质保期自产品修复值日起重新计算。 ③供应商应需提供产品相关技术培训包括交装培训、安装服务、试运行指导、使用操作、技术支持、维修巡检及疑难解答等服务。供应商须承诺在2个工作日内针对采购人提出的具体问题予以回复。 3.售后服务效率要求：即时响应（包括电话响应）；电话响应无法解决时， 24 小时内到达现场。修复时间 48 小时内；如 48 小时内无法修复，应提供相应解决方案。</w:t>
      </w:r>
    </w:p>
    <w:p>
      <w:pPr>
        <w:pStyle w:val="null3"/>
        <w:outlineLvl w:val="3"/>
      </w:pPr>
      <w:r>
        <w:rPr>
          <w:sz w:val="24"/>
          <w:b/>
        </w:rPr>
        <w:t>3.4.8违约责任及解决争议的方法</w:t>
      </w:r>
    </w:p>
    <w:p>
      <w:pPr>
        <w:pStyle w:val="null3"/>
      </w:pPr>
      <w:r>
        <w:rPr/>
        <w:t>采购包1：</w:t>
      </w:r>
    </w:p>
    <w:p>
      <w:pPr>
        <w:pStyle w:val="null3"/>
      </w:pPr>
      <w:r>
        <w:rPr/>
        <w:t>根据谈判文件及合同约定执行</w:t>
      </w:r>
    </w:p>
    <w:p>
      <w:pPr>
        <w:pStyle w:val="null3"/>
        <w:jc w:val="left"/>
        <w:outlineLvl w:val="3"/>
      </w:pPr>
      <w:r>
        <w:rPr>
          <w:sz w:val="24"/>
          <w:b/>
        </w:rPr>
        <w:t>3.5其他要求</w:t>
      </w:r>
    </w:p>
    <w:p>
      <w:pPr>
        <w:pStyle w:val="null3"/>
      </w:pPr>
      <w:r>
        <w:rPr/>
        <w:t>采购包1：</w:t>
      </w:r>
    </w:p>
    <w:p>
      <w:pPr>
        <w:pStyle w:val="null3"/>
      </w:pPr>
      <w:r>
        <w:rPr/>
        <w:t>1.供应商需在线提交所有通过电子化交易平台实施的政府采购项目的响应文件，另外，在谈判截止时间前向代理机构递交密封、系统生成的纸质版响应文件贰份（胶装，封袋标注供应商名称和项目名称）。代理机构对递交的文件签收，由监标人查验密封情况并记录，开标后交谈判小组，作为评审的辅助资料。递交方式：现场递交，或快递邮寄。 2.本项目谈判在采购系统线上进行，供应商需自行了解系统谈判的要求和操作流程。未按流程操作或无法联系以及供应商自身原因错过谈判的视为自动放弃谈判，其投标无效。 3.付款条件说明：合同生效后，中标供应商开具合同金额等额银行保函，采购人收到银行保函正本后预付合同货款，待货物到达指定地点、安装调试验收合格后，采购人退还银行保函正本。付款方式第三章支付约定不一致，以此处为准。 4.本项目实验终端的制造商为该产品的集成制造商。</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响应函</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响应函</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信用证明</w:t>
            </w:r>
          </w:p>
        </w:tc>
        <w:tc>
          <w:tcPr>
            <w:tcW w:type="dxa" w:w="3322"/>
          </w:tcPr>
          <w:p>
            <w:pPr>
              <w:pStyle w:val="null3"/>
            </w:pPr>
            <w:r>
              <w:rPr/>
              <w:t>未被信用中国网站列入失信被执行人和重大税收违法案件当事人名单、未被中国政府采购网列入政府采购严重违法失信行为记录名单（开标时系统查询）、参加本次政府采购活动前3年内在经营活动中没有重大违纪并提供书面声明。</w:t>
            </w:r>
          </w:p>
        </w:tc>
        <w:tc>
          <w:tcPr>
            <w:tcW w:type="dxa" w:w="1661"/>
          </w:tcPr>
          <w:p>
            <w:pPr>
              <w:pStyle w:val="null3"/>
            </w:pPr>
            <w:r>
              <w:rPr/>
              <w:t>信用声明</w:t>
            </w:r>
          </w:p>
        </w:tc>
      </w:tr>
      <w:tr>
        <w:tc>
          <w:tcPr>
            <w:tcW w:type="dxa" w:w="831"/>
          </w:tcPr>
          <w:p>
            <w:pPr>
              <w:pStyle w:val="null3"/>
            </w:pPr>
            <w:r>
              <w:rPr/>
              <w:t>2</w:t>
            </w:r>
          </w:p>
        </w:tc>
        <w:tc>
          <w:tcPr>
            <w:tcW w:type="dxa" w:w="2492"/>
          </w:tcPr>
          <w:p>
            <w:pPr>
              <w:pStyle w:val="null3"/>
            </w:pPr>
            <w:r>
              <w:rPr/>
              <w:t>注册证照</w:t>
            </w:r>
          </w:p>
        </w:tc>
        <w:tc>
          <w:tcPr>
            <w:tcW w:type="dxa" w:w="3322"/>
          </w:tcPr>
          <w:p>
            <w:pPr>
              <w:pStyle w:val="null3"/>
            </w:pPr>
            <w:r>
              <w:rPr/>
              <w:t>法人单位提供带有统一社会信用代码营业执照，未提供的接受采购人通过国家企业信用信息公示系统（http://www.gsxt.gov.cn/index.html）进行相关信息的核实，并承担核实不到的后果；事业单位提供事业单位法人登记证；其他组织提供有效合法的登记证明文件；自然人提供身份证。</w:t>
            </w:r>
          </w:p>
        </w:tc>
        <w:tc>
          <w:tcPr>
            <w:tcW w:type="dxa" w:w="1661"/>
          </w:tcPr>
          <w:p>
            <w:pPr>
              <w:pStyle w:val="null3"/>
            </w:pPr>
            <w:r>
              <w:rPr/>
              <w:t>注册证照</w:t>
            </w:r>
          </w:p>
        </w:tc>
      </w:tr>
      <w:tr>
        <w:tc>
          <w:tcPr>
            <w:tcW w:type="dxa" w:w="831"/>
          </w:tcPr>
          <w:p>
            <w:pPr>
              <w:pStyle w:val="null3"/>
            </w:pPr>
            <w:r>
              <w:rPr/>
              <w:t>3</w:t>
            </w:r>
          </w:p>
        </w:tc>
        <w:tc>
          <w:tcPr>
            <w:tcW w:type="dxa" w:w="2492"/>
          </w:tcPr>
          <w:p>
            <w:pPr>
              <w:pStyle w:val="null3"/>
            </w:pPr>
            <w:r>
              <w:rPr/>
              <w:t>供应商代表授权</w:t>
            </w:r>
          </w:p>
        </w:tc>
        <w:tc>
          <w:tcPr>
            <w:tcW w:type="dxa" w:w="3322"/>
          </w:tcPr>
          <w:p>
            <w:pPr>
              <w:pStyle w:val="null3"/>
            </w:pPr>
            <w:r>
              <w:rPr/>
              <w:t>提供法定代表人证明书和代表人授权委托书</w:t>
            </w:r>
          </w:p>
        </w:tc>
        <w:tc>
          <w:tcPr>
            <w:tcW w:type="dxa" w:w="1661"/>
          </w:tcPr>
          <w:p>
            <w:pPr>
              <w:pStyle w:val="null3"/>
            </w:pPr>
            <w:r>
              <w:rPr/>
              <w:t>法定代表人授权委托书 法定代表人证明书</w:t>
            </w:r>
          </w:p>
        </w:tc>
      </w:tr>
      <w:tr>
        <w:tc>
          <w:tcPr>
            <w:tcW w:type="dxa" w:w="831"/>
          </w:tcPr>
          <w:p>
            <w:pPr>
              <w:pStyle w:val="null3"/>
            </w:pPr>
            <w:r>
              <w:rPr/>
              <w:t>4</w:t>
            </w:r>
          </w:p>
        </w:tc>
        <w:tc>
          <w:tcPr>
            <w:tcW w:type="dxa" w:w="2492"/>
          </w:tcPr>
          <w:p>
            <w:pPr>
              <w:pStyle w:val="null3"/>
            </w:pPr>
            <w:r>
              <w:rPr/>
              <w:t>财务状况证明</w:t>
            </w:r>
          </w:p>
        </w:tc>
        <w:tc>
          <w:tcPr>
            <w:tcW w:type="dxa" w:w="3322"/>
          </w:tcPr>
          <w:p>
            <w:pPr>
              <w:pStyle w:val="null3"/>
            </w:pPr>
            <w:r>
              <w:rPr/>
              <w:t>提供2023年度经第三方会计事务所审计过的财务报告，或谈判截止时间前90天内基本账户银行出具的资信证明。注：①提供财务报告的，内容应完整。②提供资信证明的，必须提供资信证明全部页以及基本户信息（提供开户许可证复印件或提供基本银行账户信息复印件加盖公章）。银行出具的存款证明不能代替资信证明，存款证明无效。</w:t>
            </w:r>
          </w:p>
        </w:tc>
        <w:tc>
          <w:tcPr>
            <w:tcW w:type="dxa" w:w="1661"/>
          </w:tcPr>
          <w:p>
            <w:pPr>
              <w:pStyle w:val="null3"/>
            </w:pPr>
            <w:r>
              <w:rPr/>
              <w:t>财务状况证明</w:t>
            </w:r>
          </w:p>
        </w:tc>
      </w:tr>
      <w:tr>
        <w:tc>
          <w:tcPr>
            <w:tcW w:type="dxa" w:w="831"/>
          </w:tcPr>
          <w:p>
            <w:pPr>
              <w:pStyle w:val="null3"/>
            </w:pPr>
            <w:r>
              <w:rPr/>
              <w:t>5</w:t>
            </w:r>
          </w:p>
        </w:tc>
        <w:tc>
          <w:tcPr>
            <w:tcW w:type="dxa" w:w="2492"/>
          </w:tcPr>
          <w:p>
            <w:pPr>
              <w:pStyle w:val="null3"/>
            </w:pPr>
            <w:r>
              <w:rPr/>
              <w:t>纳税证明</w:t>
            </w:r>
          </w:p>
        </w:tc>
        <w:tc>
          <w:tcPr>
            <w:tcW w:type="dxa" w:w="3322"/>
          </w:tcPr>
          <w:p>
            <w:pPr>
              <w:pStyle w:val="null3"/>
            </w:pPr>
            <w:r>
              <w:rPr/>
              <w:t>提供2024年1月1日至今至少一次依法纳税的凭证（至少包括企业所得税或增值税中的一种）；依法免税或不需交税的应提供链条完整的证明；成立不足一个月的提供将依法纳税的承诺书（格式自拟）。注：①零报税的提供申报成功的凭证。②时间以税款所属时段为准。</w:t>
            </w:r>
          </w:p>
        </w:tc>
        <w:tc>
          <w:tcPr>
            <w:tcW w:type="dxa" w:w="1661"/>
          </w:tcPr>
          <w:p>
            <w:pPr>
              <w:pStyle w:val="null3"/>
            </w:pPr>
            <w:r>
              <w:rPr/>
              <w:t>纳税证明</w:t>
            </w:r>
          </w:p>
        </w:tc>
      </w:tr>
      <w:tr>
        <w:tc>
          <w:tcPr>
            <w:tcW w:type="dxa" w:w="831"/>
          </w:tcPr>
          <w:p>
            <w:pPr>
              <w:pStyle w:val="null3"/>
            </w:pPr>
            <w:r>
              <w:rPr/>
              <w:t>6</w:t>
            </w:r>
          </w:p>
        </w:tc>
        <w:tc>
          <w:tcPr>
            <w:tcW w:type="dxa" w:w="2492"/>
          </w:tcPr>
          <w:p>
            <w:pPr>
              <w:pStyle w:val="null3"/>
            </w:pPr>
            <w:r>
              <w:rPr/>
              <w:t>社会保障资金缴纳证明</w:t>
            </w:r>
          </w:p>
        </w:tc>
        <w:tc>
          <w:tcPr>
            <w:tcW w:type="dxa" w:w="3322"/>
          </w:tcPr>
          <w:p>
            <w:pPr>
              <w:pStyle w:val="null3"/>
            </w:pPr>
            <w:r>
              <w:rPr/>
              <w:t>提供2024年1月1日至今至少一个月的社会保障资金缴存凭证或社保机构开具的社会保险参保缴费情况证明；依法不需要缴纳社会保障资金的应提供链条完整的证明；成立不足一个月的提供将依法交纳社会保障资金的承诺书（格式自拟）。注：①通过代缴方式缴存的，需提供链条完整的证明材料，证明材料至少包括代缴方的缴存凭证、投标人向代缴方用于缴存社保的银行转账单据。②供应商可自行打印带有社保机构公章的缴存凭证；提供银行交纳单据的，单据应显示社保缴存项（任一项）。</w:t>
            </w:r>
          </w:p>
        </w:tc>
        <w:tc>
          <w:tcPr>
            <w:tcW w:type="dxa" w:w="1661"/>
          </w:tcPr>
          <w:p>
            <w:pPr>
              <w:pStyle w:val="null3"/>
            </w:pPr>
            <w:r>
              <w:rPr/>
              <w:t>社会保障资金缴纳证明</w:t>
            </w:r>
          </w:p>
        </w:tc>
      </w:tr>
      <w:tr>
        <w:tc>
          <w:tcPr>
            <w:tcW w:type="dxa" w:w="831"/>
          </w:tcPr>
          <w:p>
            <w:pPr>
              <w:pStyle w:val="null3"/>
            </w:pPr>
            <w:r>
              <w:rPr/>
              <w:t>7</w:t>
            </w:r>
          </w:p>
        </w:tc>
        <w:tc>
          <w:tcPr>
            <w:tcW w:type="dxa" w:w="2492"/>
          </w:tcPr>
          <w:p>
            <w:pPr>
              <w:pStyle w:val="null3"/>
            </w:pPr>
            <w:r>
              <w:rPr/>
              <w:t>履约能力证明</w:t>
            </w:r>
          </w:p>
        </w:tc>
        <w:tc>
          <w:tcPr>
            <w:tcW w:type="dxa" w:w="3322"/>
          </w:tcPr>
          <w:p>
            <w:pPr>
              <w:pStyle w:val="null3"/>
            </w:pPr>
            <w:r>
              <w:rPr/>
              <w:t>提供具有履行本合同所必需的专业技术能力的声明</w:t>
            </w:r>
          </w:p>
        </w:tc>
        <w:tc>
          <w:tcPr>
            <w:tcW w:type="dxa" w:w="1661"/>
          </w:tcPr>
          <w:p>
            <w:pPr>
              <w:pStyle w:val="null3"/>
            </w:pPr>
            <w:r>
              <w:rPr/>
              <w:t>履约能力声明</w:t>
            </w:r>
          </w:p>
        </w:tc>
      </w:tr>
      <w:tr>
        <w:tc>
          <w:tcPr>
            <w:tcW w:type="dxa" w:w="831"/>
          </w:tcPr>
          <w:p>
            <w:pPr>
              <w:pStyle w:val="null3"/>
            </w:pPr>
            <w:r>
              <w:rPr/>
              <w:t>8</w:t>
            </w:r>
          </w:p>
        </w:tc>
        <w:tc>
          <w:tcPr>
            <w:tcW w:type="dxa" w:w="2492"/>
          </w:tcPr>
          <w:p>
            <w:pPr>
              <w:pStyle w:val="null3"/>
            </w:pPr>
            <w:r>
              <w:rPr/>
              <w:t>联合体投标</w:t>
            </w:r>
          </w:p>
        </w:tc>
        <w:tc>
          <w:tcPr>
            <w:tcW w:type="dxa" w:w="3322"/>
          </w:tcPr>
          <w:p>
            <w:pPr>
              <w:pStyle w:val="null3"/>
            </w:pPr>
            <w:r>
              <w:rPr/>
              <w:t>不接受联合体，提供非联合体声明</w:t>
            </w:r>
          </w:p>
        </w:tc>
        <w:tc>
          <w:tcPr>
            <w:tcW w:type="dxa" w:w="1661"/>
          </w:tcPr>
          <w:p>
            <w:pPr>
              <w:pStyle w:val="null3"/>
            </w:pPr>
            <w:r>
              <w:rPr/>
              <w:t>非联合体声明</w:t>
            </w:r>
          </w:p>
        </w:tc>
      </w:tr>
    </w:tbl>
    <w:p>
      <w:pPr>
        <w:pStyle w:val="null3"/>
      </w:pPr>
      <w:r>
        <w:rPr/>
        <w:t xml:space="preserve"> </w:t>
        <w:br/>
        <w:br w:type="page"/>
      </w:r>
    </w:p>
    <w:p>
      <w:pPr>
        <w:pStyle w:val="null3"/>
        <w:jc w:val="center"/>
        <w:outlineLvl w:val="1"/>
      </w:pPr>
      <w:r>
        <w:rPr>
          <w:sz w:val="36"/>
          <w:b/>
        </w:rPr>
        <w:t>第五章 谈判过程中可实质性变动的内容</w:t>
      </w:r>
    </w:p>
    <w:p>
      <w:pPr>
        <w:pStyle w:val="null3"/>
        <w:ind w:firstLine="480"/>
      </w:pPr>
      <w:r>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t xml:space="preserve"> </w:t>
        <w:br/>
        <w:br w:type="page"/>
      </w:r>
    </w:p>
    <w:p>
      <w:pPr>
        <w:pStyle w:val="null3"/>
        <w:jc w:val="center"/>
        <w:outlineLvl w:val="1"/>
      </w:pPr>
      <w:r>
        <w:rPr>
          <w:sz w:val="36"/>
          <w:b/>
        </w:rPr>
        <w:t>第六章 谈判办法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t>二、评审工作由代理机构组织，具体评审事务由依法组建的谈判小组负责。</w:t>
      </w:r>
    </w:p>
    <w:p>
      <w:pPr>
        <w:pStyle w:val="null3"/>
        <w:ind w:firstLine="480"/>
      </w:pPr>
      <w:r>
        <w:rPr/>
        <w:t>三、评审工作应遵循客观、公正、审慎的原则，并以相同的谈判程序和标准对待所有的供应商。</w:t>
      </w:r>
    </w:p>
    <w:p>
      <w:pPr>
        <w:pStyle w:val="null3"/>
        <w:ind w:firstLine="480"/>
      </w:pPr>
      <w:r>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6.2谈判小组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t>三、谈判小组按照谈判文件规定的谈判程序、评审方法和标准进行评审，并独立履行下列职责：</w:t>
      </w:r>
    </w:p>
    <w:p>
      <w:pPr>
        <w:pStyle w:val="null3"/>
        <w:ind w:firstLine="480"/>
      </w:pPr>
      <w:r>
        <w:rPr/>
        <w:t>（一）熟悉和理解谈判文件；</w:t>
      </w:r>
    </w:p>
    <w:p>
      <w:pPr>
        <w:pStyle w:val="null3"/>
        <w:ind w:firstLine="480"/>
      </w:pPr>
      <w:r>
        <w:rPr/>
        <w:t>（二）审查供应商响应文件等是否满足谈判文件要求，并作出评价；</w:t>
      </w:r>
    </w:p>
    <w:p>
      <w:pPr>
        <w:pStyle w:val="null3"/>
        <w:ind w:firstLine="480"/>
      </w:pPr>
      <w:r>
        <w:rPr/>
        <w:t xml:space="preserve"> （三）根据需要要求采购组织单位对谈判文件作出解释；根据需要要求供应商对响应文件有关事项作出澄清、说明或者更正；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 xml:space="preserve"> 6.3.1审查谈判文件和停止评审</w:t>
      </w:r>
    </w:p>
    <w:p>
      <w:pPr>
        <w:pStyle w:val="null3"/>
        <w:ind w:firstLine="480"/>
      </w:pPr>
      <w:r>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t>二、本谈判文件有下列情形之一的，谈判小组应当停止评审：</w:t>
      </w:r>
    </w:p>
    <w:p>
      <w:pPr>
        <w:pStyle w:val="null3"/>
        <w:ind w:firstLine="480"/>
      </w:pPr>
      <w:r>
        <w:rPr/>
        <w:t>（一）谈判文件的规定存在歧义、重大缺陷的；</w:t>
      </w:r>
    </w:p>
    <w:p>
      <w:pPr>
        <w:pStyle w:val="null3"/>
        <w:ind w:firstLine="480"/>
      </w:pPr>
      <w:r>
        <w:rPr/>
        <w:t>（二）谈判文件明显以不合理条件对供应商实行差别待遇或者歧视待遇的；</w:t>
      </w:r>
    </w:p>
    <w:p>
      <w:pPr>
        <w:pStyle w:val="null3"/>
        <w:ind w:firstLine="480"/>
      </w:pPr>
      <w:r>
        <w:rPr/>
        <w:t>（三）采购项目属于国家规定的优先、强制采购范围，但是谈判文件未依法体现优先、强制采购相关规定的；</w:t>
      </w:r>
    </w:p>
    <w:p>
      <w:pPr>
        <w:pStyle w:val="null3"/>
        <w:ind w:firstLine="480"/>
      </w:pPr>
      <w:r>
        <w:rPr/>
        <w:t>（四）采购项目属于政府采购促进中小企业发展的范围，但是谈判文件未依法体现促进中小企业发展相关规定的；</w:t>
      </w:r>
    </w:p>
    <w:p>
      <w:pPr>
        <w:pStyle w:val="null3"/>
        <w:ind w:firstLine="480"/>
      </w:pPr>
      <w:r>
        <w:rPr/>
        <w:t>（五）谈判文件将供应商的资格条件列为评分因素的；</w:t>
      </w:r>
    </w:p>
    <w:p>
      <w:pPr>
        <w:pStyle w:val="null3"/>
        <w:ind w:firstLine="480"/>
      </w:pPr>
      <w:r>
        <w:rPr/>
        <w:t>（六）谈判文件载明的成交原则不合法的；</w:t>
      </w:r>
    </w:p>
    <w:p>
      <w:pPr>
        <w:pStyle w:val="null3"/>
        <w:ind w:firstLine="480"/>
        <w:jc w:val="left"/>
      </w:pPr>
      <w:r>
        <w:rPr/>
        <w:t>（七）谈判文件有违反国家其他有关强制性规定的情形。</w:t>
      </w:r>
    </w:p>
    <w:p>
      <w:pPr>
        <w:pStyle w:val="null3"/>
        <w:ind w:firstLine="480"/>
      </w:pPr>
      <w:r>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sz w:val="24"/>
          <w:b/>
        </w:rPr>
        <w:t>6.3.2符合性审查</w:t>
      </w:r>
    </w:p>
    <w:p>
      <w:pPr>
        <w:pStyle w:val="null3"/>
        <w:ind w:firstLine="480"/>
      </w:pPr>
      <w:r>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t xml:space="preserve"> 二、在符合性审查过程中，如果出现谈判小组成员意见不一致的情况，按照少数服从多数的原则确定，但不得违背政府采购基本原则和谈判文件规定。</w:t>
      </w:r>
    </w:p>
    <w:p>
      <w:pPr>
        <w:pStyle w:val="null3"/>
        <w:ind w:firstLine="480"/>
      </w:pPr>
      <w:r>
        <w:rPr/>
        <w:t>三、谈判小组对所有响应文件进行审查后，确定参加谈判的供应商名单。</w:t>
      </w:r>
    </w:p>
    <w:p>
      <w:pPr>
        <w:pStyle w:val="null3"/>
        <w:ind w:firstLine="480"/>
      </w:pPr>
      <w:r>
        <w:rPr/>
        <w:t>符合性审查标准见下表：</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t>分项报价表 标的清单 报价表</w:t>
            </w:r>
          </w:p>
        </w:tc>
      </w:tr>
      <w:tr>
        <w:tc>
          <w:tcPr>
            <w:tcW w:type="dxa" w:w="831"/>
          </w:tcPr>
          <w:p>
            <w:pPr>
              <w:pStyle w:val="null3"/>
            </w:pPr>
            <w:r>
              <w:rPr/>
              <w:t>2</w:t>
            </w:r>
          </w:p>
        </w:tc>
        <w:tc>
          <w:tcPr>
            <w:tcW w:type="dxa" w:w="2492"/>
          </w:tcPr>
          <w:p>
            <w:pPr>
              <w:pStyle w:val="null3"/>
            </w:pPr>
            <w:r>
              <w:rPr/>
              <w:t>供应商名称</w:t>
            </w:r>
          </w:p>
        </w:tc>
        <w:tc>
          <w:tcPr>
            <w:tcW w:type="dxa" w:w="3322"/>
          </w:tcPr>
          <w:p>
            <w:pPr>
              <w:pStyle w:val="null3"/>
            </w:pPr>
            <w:r>
              <w:rPr/>
              <w:t>供应商应按格式/模板填写供应商名称，至少以下文件的名称须和营业执照、公章一致。1.响应文件封面。2.响应函。</w:t>
            </w:r>
          </w:p>
        </w:tc>
        <w:tc>
          <w:tcPr>
            <w:tcW w:type="dxa" w:w="1661"/>
          </w:tcPr>
          <w:p>
            <w:pPr>
              <w:pStyle w:val="null3"/>
            </w:pPr>
            <w:r>
              <w:rPr/>
              <w:t>响应文件封面 响应函</w:t>
            </w:r>
          </w:p>
        </w:tc>
      </w:tr>
      <w:tr>
        <w:tc>
          <w:tcPr>
            <w:tcW w:type="dxa" w:w="831"/>
          </w:tcPr>
          <w:p>
            <w:pPr>
              <w:pStyle w:val="null3"/>
            </w:pPr>
            <w:r>
              <w:rPr/>
              <w:t>3</w:t>
            </w:r>
          </w:p>
        </w:tc>
        <w:tc>
          <w:tcPr>
            <w:tcW w:type="dxa" w:w="2492"/>
          </w:tcPr>
          <w:p>
            <w:pPr>
              <w:pStyle w:val="null3"/>
            </w:pPr>
            <w:r>
              <w:rPr/>
              <w:t>谈判有效期</w:t>
            </w:r>
          </w:p>
        </w:tc>
        <w:tc>
          <w:tcPr>
            <w:tcW w:type="dxa" w:w="3322"/>
          </w:tcPr>
          <w:p>
            <w:pPr>
              <w:pStyle w:val="null3"/>
            </w:pPr>
            <w:r>
              <w:rPr/>
              <w:t>不少于90日历天</w:t>
            </w:r>
          </w:p>
        </w:tc>
        <w:tc>
          <w:tcPr>
            <w:tcW w:type="dxa" w:w="1661"/>
          </w:tcPr>
          <w:p>
            <w:pPr>
              <w:pStyle w:val="null3"/>
            </w:pPr>
            <w:r>
              <w:rPr/>
              <w:t>响应函</w:t>
            </w:r>
          </w:p>
        </w:tc>
      </w:tr>
      <w:tr>
        <w:tc>
          <w:tcPr>
            <w:tcW w:type="dxa" w:w="831"/>
          </w:tcPr>
          <w:p>
            <w:pPr>
              <w:pStyle w:val="null3"/>
            </w:pPr>
            <w:r>
              <w:rPr/>
              <w:t>4</w:t>
            </w:r>
          </w:p>
        </w:tc>
        <w:tc>
          <w:tcPr>
            <w:tcW w:type="dxa" w:w="2492"/>
          </w:tcPr>
          <w:p>
            <w:pPr>
              <w:pStyle w:val="null3"/>
            </w:pPr>
            <w:r>
              <w:rPr/>
              <w:t>首次响应报价</w:t>
            </w:r>
          </w:p>
        </w:tc>
        <w:tc>
          <w:tcPr>
            <w:tcW w:type="dxa" w:w="3322"/>
          </w:tcPr>
          <w:p>
            <w:pPr>
              <w:pStyle w:val="null3"/>
            </w:pPr>
            <w:r>
              <w:rPr/>
              <w:t>首次报价未超过采购预算。</w:t>
            </w:r>
          </w:p>
        </w:tc>
        <w:tc>
          <w:tcPr>
            <w:tcW w:type="dxa" w:w="1661"/>
          </w:tcPr>
          <w:p>
            <w:pPr>
              <w:pStyle w:val="null3"/>
            </w:pPr>
            <w:r>
              <w:rPr/>
              <w:t>报价表</w:t>
            </w:r>
          </w:p>
        </w:tc>
      </w:tr>
      <w:tr>
        <w:tc>
          <w:tcPr>
            <w:tcW w:type="dxa" w:w="831"/>
          </w:tcPr>
          <w:p>
            <w:pPr>
              <w:pStyle w:val="null3"/>
            </w:pPr>
            <w:r>
              <w:rPr/>
              <w:t>5</w:t>
            </w:r>
          </w:p>
        </w:tc>
        <w:tc>
          <w:tcPr>
            <w:tcW w:type="dxa" w:w="2492"/>
          </w:tcPr>
          <w:p>
            <w:pPr>
              <w:pStyle w:val="null3"/>
            </w:pPr>
            <w:r>
              <w:rPr/>
              <w:t>交货期</w:t>
            </w:r>
          </w:p>
        </w:tc>
        <w:tc>
          <w:tcPr>
            <w:tcW w:type="dxa" w:w="3322"/>
          </w:tcPr>
          <w:p>
            <w:pPr>
              <w:pStyle w:val="null3"/>
            </w:pPr>
            <w:r>
              <w:rPr/>
              <w:t>合同签订之日起30日内到货安装调试交付使用。</w:t>
            </w:r>
          </w:p>
        </w:tc>
        <w:tc>
          <w:tcPr>
            <w:tcW w:type="dxa" w:w="1661"/>
          </w:tcPr>
          <w:p>
            <w:pPr>
              <w:pStyle w:val="null3"/>
            </w:pPr>
            <w:r>
              <w:rPr/>
              <w:t>报价表</w:t>
            </w:r>
          </w:p>
        </w:tc>
      </w:tr>
      <w:tr>
        <w:tc>
          <w:tcPr>
            <w:tcW w:type="dxa" w:w="831"/>
          </w:tcPr>
          <w:p>
            <w:pPr>
              <w:pStyle w:val="null3"/>
            </w:pPr>
            <w:r>
              <w:rPr/>
              <w:t>6</w:t>
            </w:r>
          </w:p>
        </w:tc>
        <w:tc>
          <w:tcPr>
            <w:tcW w:type="dxa" w:w="2492"/>
          </w:tcPr>
          <w:p>
            <w:pPr>
              <w:pStyle w:val="null3"/>
            </w:pPr>
            <w:r>
              <w:rPr/>
              <w:t>交货地点</w:t>
            </w:r>
          </w:p>
        </w:tc>
        <w:tc>
          <w:tcPr>
            <w:tcW w:type="dxa" w:w="3322"/>
          </w:tcPr>
          <w:p>
            <w:pPr>
              <w:pStyle w:val="null3"/>
            </w:pPr>
            <w:r>
              <w:rPr/>
              <w:t>西北大学信息学院指定地点。</w:t>
            </w:r>
          </w:p>
        </w:tc>
        <w:tc>
          <w:tcPr>
            <w:tcW w:type="dxa" w:w="1661"/>
          </w:tcPr>
          <w:p>
            <w:pPr>
              <w:pStyle w:val="null3"/>
            </w:pPr>
            <w:r>
              <w:rPr/>
              <w:t>报价表</w:t>
            </w:r>
          </w:p>
        </w:tc>
      </w:tr>
      <w:tr>
        <w:tc>
          <w:tcPr>
            <w:tcW w:type="dxa" w:w="831"/>
          </w:tcPr>
          <w:p>
            <w:pPr>
              <w:pStyle w:val="null3"/>
            </w:pPr>
            <w:r>
              <w:rPr/>
              <w:t>7</w:t>
            </w:r>
          </w:p>
        </w:tc>
        <w:tc>
          <w:tcPr>
            <w:tcW w:type="dxa" w:w="2492"/>
          </w:tcPr>
          <w:p>
            <w:pPr>
              <w:pStyle w:val="null3"/>
            </w:pPr>
            <w:r>
              <w:rPr/>
              <w:t>主要商务条款</w:t>
            </w:r>
          </w:p>
        </w:tc>
        <w:tc>
          <w:tcPr>
            <w:tcW w:type="dxa" w:w="3322"/>
          </w:tcPr>
          <w:p>
            <w:pPr>
              <w:pStyle w:val="null3"/>
            </w:pPr>
            <w:r>
              <w:rPr/>
              <w:t>1.质保期：自学校验收合格之日起3年。 2.售后服务标准要求：①质保期内，因产品质量而导致的缺陷，供应商应当提供包修、包换、包退服务，因此导致的损失采购人有权向供应商追偿。超出质保期后，供应商应当提供上门维修服务，仅收取成本费。 ②质保期内，产品出现非人为因素损坏而造成短期停用时，则质保期相应顺延，如停用时间累计超过60天，则质保期自产品修复值日起重新计算。 ③供应商应需提供产品相关技术培训包括交装培训、安装服务、试运行指导、使用操作、技术支持、维修巡检及疑难解答等服务。供应商须承诺在2个工作日内针对采购人提出的具体问题予以回复。 3.售后服务效率要求：即时响应（包括电话响应）；电话响应无法解决时， 24 小时内到达现场。修复时间 48 小时内；如 48 小时内无法修复，应提供相应解决方案。 4.支付方式：合同生效后，中标供应商开具合同金额等额银行保函，采购人收到银行保函正本后预付合同货款，待货物到达指定地点、安装调试验收合格后，采购人退还银行保函正本。</w:t>
            </w:r>
          </w:p>
        </w:tc>
        <w:tc>
          <w:tcPr>
            <w:tcW w:type="dxa" w:w="1661"/>
          </w:tcPr>
          <w:p>
            <w:pPr>
              <w:pStyle w:val="null3"/>
            </w:pPr>
            <w:r>
              <w:rPr/>
              <w:t>主要商务条款响应偏离表</w:t>
            </w:r>
          </w:p>
        </w:tc>
      </w:tr>
      <w:tr>
        <w:tc>
          <w:tcPr>
            <w:tcW w:type="dxa" w:w="831"/>
          </w:tcPr>
          <w:p>
            <w:pPr>
              <w:pStyle w:val="null3"/>
            </w:pPr>
            <w:r>
              <w:rPr/>
              <w:t>8</w:t>
            </w:r>
          </w:p>
        </w:tc>
        <w:tc>
          <w:tcPr>
            <w:tcW w:type="dxa" w:w="2492"/>
          </w:tcPr>
          <w:p>
            <w:pPr>
              <w:pStyle w:val="null3"/>
            </w:pPr>
            <w:r>
              <w:rPr/>
              <w:t>投标内容</w:t>
            </w:r>
          </w:p>
        </w:tc>
        <w:tc>
          <w:tcPr>
            <w:tcW w:type="dxa" w:w="3322"/>
          </w:tcPr>
          <w:p>
            <w:pPr>
              <w:pStyle w:val="null3"/>
            </w:pPr>
            <w:r>
              <w:rPr/>
              <w:t>投标产品品目、数量、技术参数符合谈判文件要求，不接受负偏离，出现负偏离为无效投标。 注：技术参数以《投标产品技术指标偏离表》中响应为准。</w:t>
            </w:r>
          </w:p>
        </w:tc>
        <w:tc>
          <w:tcPr>
            <w:tcW w:type="dxa" w:w="1661"/>
          </w:tcPr>
          <w:p>
            <w:pPr>
              <w:pStyle w:val="null3"/>
            </w:pPr>
            <w:r>
              <w:rPr/>
              <w:t>分项报价表 标的清单 投标产品技术指标偏离表</w:t>
            </w:r>
          </w:p>
        </w:tc>
      </w:tr>
    </w:tbl>
    <w:p>
      <w:pPr>
        <w:pStyle w:val="null3"/>
        <w:outlineLvl w:val="3"/>
      </w:pPr>
      <w:r>
        <w:rPr>
          <w:sz w:val="24"/>
          <w:b/>
        </w:rPr>
        <w:t>6.3.3谈判</w:t>
      </w:r>
    </w:p>
    <w:p>
      <w:pPr>
        <w:pStyle w:val="null3"/>
        <w:ind w:firstLine="480"/>
      </w:pPr>
      <w:r>
        <w:rPr/>
        <w:t>一、谈判小组按照谈判文件的规定与邀请参加谈判的供应商分别进行谈判，谈判顺序由谈判小组确定。</w:t>
      </w:r>
    </w:p>
    <w:p>
      <w:pPr>
        <w:pStyle w:val="null3"/>
        <w:ind w:firstLine="480"/>
      </w:pPr>
      <w:r>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t>六、经最终谈判后，响应文件仍有下列情况之一的，应按照无效响应处理：</w:t>
      </w:r>
    </w:p>
    <w:p>
      <w:pPr>
        <w:pStyle w:val="null3"/>
        <w:ind w:firstLine="480"/>
      </w:pPr>
      <w:r>
        <w:rPr/>
        <w:t>（一）响应文件仍不能实质响应谈判文件可实质性变动的实质性要求的；</w:t>
      </w:r>
    </w:p>
    <w:p>
      <w:pPr>
        <w:pStyle w:val="null3"/>
        <w:ind w:firstLine="480"/>
      </w:pPr>
      <w:r>
        <w:rPr/>
        <w:t>（二）响应文件中仍有谈判文件规定的其他无效响应情形的。</w:t>
      </w:r>
    </w:p>
    <w:p>
      <w:pPr>
        <w:pStyle w:val="null3"/>
        <w:ind w:firstLine="480"/>
      </w:pPr>
      <w:r>
        <w:rPr/>
        <w:t xml:space="preserve"> 七、谈判小组对供应商在谈判、评审过程中的书面交换材料，未按要求加盖电子印章或签字的，视同未提交书面交换材料。</w:t>
      </w:r>
    </w:p>
    <w:p>
      <w:pPr>
        <w:pStyle w:val="null3"/>
        <w:ind w:firstLine="480"/>
      </w:pPr>
      <w:r>
        <w:rPr/>
        <w:t xml:space="preserve"> 八、谈判小组在最终谈判后，对所有响应文件的有效性、完整性和响应程度进行审查后，确定最后报价的供应商名单。</w:t>
      </w:r>
    </w:p>
    <w:p>
      <w:pPr>
        <w:pStyle w:val="null3"/>
        <w:ind w:firstLine="480"/>
      </w:pPr>
      <w:r>
        <w:rPr/>
        <w:t xml:space="preserve"> 九、谈判过程中，谈判的任何一方不得透露与谈判有关的其他供应商的技术资料、价格和其他信息。</w:t>
      </w:r>
    </w:p>
    <w:p>
      <w:pPr>
        <w:pStyle w:val="null3"/>
        <w:ind w:firstLine="480"/>
      </w:pPr>
      <w:r>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t xml:space="preserve"> 二、谈判小组开启报价后，供应商应随时关注项目电子化交易系统信息提醒，登录项目电子化交易系统，通过“等候大厅”进行报价并签章后提交。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t>四、供应商最后报价属于明显低价不正当竞争的，谈判小组应按照“供应商须知前附表”第8项规定处理。</w:t>
      </w:r>
    </w:p>
    <w:p>
      <w:pPr>
        <w:pStyle w:val="null3"/>
        <w:ind w:firstLine="480"/>
      </w:pPr>
      <w:r>
        <w:rPr/>
        <w:t xml:space="preserve"> 五、供应商未在响应文件提交截止时间内提交报价或未按要求进行报价的，视为无效响应，由供应商自行承担不利后果。</w:t>
      </w:r>
    </w:p>
    <w:p>
      <w:pPr>
        <w:pStyle w:val="null3"/>
        <w:ind w:firstLine="480"/>
      </w:pPr>
      <w:r>
        <w:rPr/>
        <w:t>六、供应商未按谈判小组要求在规定时间内提交最后报价的，视为其退出谈判。</w:t>
      </w:r>
    </w:p>
    <w:p>
      <w:pPr>
        <w:pStyle w:val="null3"/>
        <w:ind w:firstLine="480"/>
      </w:pPr>
      <w:r>
        <w:rPr/>
        <w:t>七、最后报价一旦提交后，供应商不得以任何理由撤回。</w:t>
      </w:r>
    </w:p>
    <w:p>
      <w:pPr>
        <w:pStyle w:val="null3"/>
        <w:ind w:firstLine="480"/>
        <w:jc w:val="left"/>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（三）供应商的最后报价应符合谈判文件的要求。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6.3.5价格扣除</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中小企业声明函 残疾人福利性单位声明函 监狱企业的证明文件</w:t>
            </w:r>
          </w:p>
        </w:tc>
      </w:tr>
    </w:tbl>
    <w:p>
      <w:pPr>
        <w:pStyle w:val="null3"/>
        <w:outlineLvl w:val="3"/>
      </w:pPr>
      <w:r>
        <w:rPr>
          <w:sz w:val="24"/>
          <w:b/>
        </w:rPr>
        <w:t>6.3.6解释、澄清、说明的有关问题</w:t>
      </w:r>
    </w:p>
    <w:p>
      <w:pPr>
        <w:pStyle w:val="null3"/>
        <w:ind w:firstLine="480"/>
      </w:pPr>
      <w:r>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t>四、谈判小组应当积极履行澄清、说明或者更正的职责，不得滥用权力。</w:t>
      </w:r>
    </w:p>
    <w:p>
      <w:pPr>
        <w:pStyle w:val="null3"/>
        <w:outlineLvl w:val="3"/>
      </w:pPr>
      <w:r>
        <w:rPr>
          <w:sz w:val="24"/>
          <w:b/>
        </w:rPr>
        <w:t>6.3.7复核</w:t>
      </w:r>
    </w:p>
    <w:p>
      <w:pPr>
        <w:pStyle w:val="null3"/>
        <w:ind w:firstLine="480"/>
      </w:pPr>
      <w:r>
        <w:rPr/>
        <w:t xml:space="preserve"> 一、评审结束后，谈判小组应当进行复核，特别要对拟推荐为成交供应商的、报价最低的、响应文件被认定为无效的进行重点复核。</w:t>
      </w:r>
    </w:p>
    <w:p>
      <w:pPr>
        <w:pStyle w:val="null3"/>
        <w:ind w:firstLine="480"/>
      </w:pPr>
      <w:r>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sz w:val="24"/>
          <w:b/>
        </w:rPr>
        <w:t>6.3.8推荐成交候选供应商</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t xml:space="preserve"> 响应文件满足谈判文件全部实质性要求且最终报价最低的供应商为排名第一的成交候选供应商。</w:t>
      </w:r>
    </w:p>
    <w:p>
      <w:pPr>
        <w:pStyle w:val="null3"/>
        <w:ind w:firstLine="480"/>
        <w:jc w:val="left"/>
      </w:pPr>
      <w:r>
        <w:rPr/>
        <w:t xml:space="preserve"> 经评审的最终报价是指对供应商最后报价完成价格修正和落实政府采购政策进行的价格扣除后的报价。</w:t>
      </w:r>
    </w:p>
    <w:p>
      <w:pPr>
        <w:pStyle w:val="null3"/>
        <w:outlineLvl w:val="3"/>
      </w:pPr>
      <w:r>
        <w:rPr>
          <w:sz w:val="24"/>
          <w:b/>
        </w:rPr>
        <w:t>6.3.9编写谈判报告</w:t>
      </w:r>
    </w:p>
    <w:p>
      <w:pPr>
        <w:pStyle w:val="null3"/>
        <w:ind w:firstLine="480"/>
      </w:pPr>
      <w:r>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t>一、邀请供应商参加采购活动的具体方式和相关情况，以及参加采购活动的供应商名单；</w:t>
      </w:r>
    </w:p>
    <w:p>
      <w:pPr>
        <w:pStyle w:val="null3"/>
        <w:ind w:firstLine="480"/>
      </w:pPr>
      <w:r>
        <w:rPr/>
        <w:t>二、谈判日期和地点，评审委员会成员名单；</w:t>
      </w:r>
    </w:p>
    <w:p>
      <w:pPr>
        <w:pStyle w:val="null3"/>
        <w:ind w:firstLine="480"/>
      </w:pPr>
      <w:r>
        <w:rPr/>
        <w:t>三、参加报价的供应商名单及报价情况和未参加报价的供应商名单及原因；</w:t>
      </w:r>
    </w:p>
    <w:p>
      <w:pPr>
        <w:pStyle w:val="null3"/>
        <w:ind w:firstLine="480"/>
      </w:pPr>
      <w:r>
        <w:rPr/>
        <w:t>四、变动谈判文件实质性内容的有关资料及记录；</w:t>
      </w:r>
    </w:p>
    <w:p>
      <w:pPr>
        <w:pStyle w:val="null3"/>
        <w:ind w:firstLine="480"/>
      </w:pPr>
      <w:r>
        <w:rPr/>
        <w:t>五、供应商响应文件响应谈判文件实质性要求情况及供应商变动响应文件有关资料及记录；</w:t>
      </w:r>
    </w:p>
    <w:p>
      <w:pPr>
        <w:pStyle w:val="null3"/>
        <w:ind w:firstLine="480"/>
      </w:pPr>
      <w:r>
        <w:rPr/>
        <w:t>六、谈判情况记录和说明，包括对供应商的资格审查情况、供应商响应文件谈判情况等；</w:t>
      </w:r>
    </w:p>
    <w:p>
      <w:pPr>
        <w:pStyle w:val="null3"/>
        <w:ind w:firstLine="480"/>
      </w:pPr>
      <w:r>
        <w:rPr/>
        <w:t>七、推荐的成交候选供应商名单及理由。</w:t>
      </w:r>
    </w:p>
    <w:p>
      <w:pPr>
        <w:pStyle w:val="null3"/>
        <w:ind w:firstLine="480"/>
      </w:pPr>
      <w:r>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sz w:val="24"/>
          <w:b/>
        </w:rPr>
        <w:t>6.3.10谈判争议处理规则</w:t>
      </w:r>
    </w:p>
    <w:p>
      <w:pPr>
        <w:pStyle w:val="null3"/>
        <w:ind w:firstLine="480"/>
      </w:pPr>
      <w:r>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sz w:val="28"/>
          <w:b/>
        </w:rPr>
        <w:t>6.4终止采购活动情形</w:t>
      </w:r>
    </w:p>
    <w:p>
      <w:pPr>
        <w:pStyle w:val="null3"/>
        <w:ind w:firstLine="480"/>
      </w:pPr>
      <w:r>
        <w:rPr/>
        <w:t>有下列情形之一的，本项目终止采购活动：</w:t>
      </w:r>
    </w:p>
    <w:p>
      <w:pPr>
        <w:pStyle w:val="null3"/>
        <w:ind w:firstLine="480"/>
      </w:pPr>
      <w:r>
        <w:rPr/>
        <w:t>（一）因情况变化，不再符合规定的竞争性谈判采购方式适用情形的；</w:t>
      </w:r>
    </w:p>
    <w:p>
      <w:pPr>
        <w:pStyle w:val="null3"/>
        <w:ind w:firstLine="480"/>
      </w:pPr>
      <w:r>
        <w:rPr/>
        <w:t>（二）出现影响采购公正的违法、违规行为的；</w:t>
      </w:r>
    </w:p>
    <w:p>
      <w:pPr>
        <w:pStyle w:val="null3"/>
        <w:ind w:firstLine="480"/>
      </w:pPr>
      <w:r>
        <w:rPr/>
        <w:t>（三）提交首次响应文件的供应商不足三家的；</w:t>
      </w:r>
    </w:p>
    <w:p>
      <w:pPr>
        <w:pStyle w:val="null3"/>
        <w:ind w:firstLine="480"/>
      </w:pPr>
      <w:r>
        <w:rPr/>
        <w:t>（四）通过资格审查的供应商不足三家的；</w:t>
      </w:r>
    </w:p>
    <w:p>
      <w:pPr>
        <w:pStyle w:val="null3"/>
        <w:ind w:firstLine="480"/>
      </w:pPr>
      <w:r>
        <w:rPr/>
        <w:t>（五）通过符合性审查的供应商不足三家的；</w:t>
      </w:r>
    </w:p>
    <w:p>
      <w:pPr>
        <w:pStyle w:val="null3"/>
        <w:ind w:firstLine="480"/>
      </w:pPr>
      <w:r>
        <w:rPr/>
        <w:t>（六）提交最后报价的供应商不足三家的；</w:t>
      </w:r>
    </w:p>
    <w:p>
      <w:pPr>
        <w:pStyle w:val="null3"/>
        <w:ind w:firstLine="480"/>
      </w:pPr>
      <w:r>
        <w:rPr/>
        <w:t>（七）通过最后报价审查的供应商不足三家的。</w:t>
      </w:r>
    </w:p>
    <w:p>
      <w:pPr>
        <w:pStyle w:val="null3"/>
        <w:ind w:firstLine="480"/>
      </w:pPr>
      <w:r>
        <w:rPr/>
        <w:t>注：公开招标转竞争性谈判只有两家供应商参与的情形除外。</w:t>
      </w:r>
    </w:p>
    <w:p>
      <w:pPr>
        <w:pStyle w:val="null3"/>
        <w:outlineLvl w:val="2"/>
      </w:pPr>
      <w:r>
        <w:rPr>
          <w:sz w:val="28"/>
          <w:b/>
        </w:rPr>
        <w:t>6.5确定成交供应商</w:t>
      </w:r>
    </w:p>
    <w:p>
      <w:pPr>
        <w:pStyle w:val="null3"/>
      </w:pPr>
      <w:r>
        <w:rPr/>
        <w:t>一、评审结束后，代理机构在评审结束之日起2个工作日内将谈判报告及有关资料送交采购人确定成交供应商。</w:t>
      </w:r>
    </w:p>
    <w:p>
      <w:pPr>
        <w:pStyle w:val="null3"/>
      </w:pPr>
      <w:r>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t>三、采购人逾期未确定成交供应商且不提出异议的，视为确定谈判报告提出的排序第一的供应商为成交供应商。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6.6谈判小组成员义务</w:t>
      </w:r>
    </w:p>
    <w:p>
      <w:pPr>
        <w:pStyle w:val="null3"/>
        <w:ind w:firstLine="480"/>
      </w:pPr>
      <w:r>
        <w:rPr/>
        <w:t>（一）遵守评审工作纪律；</w:t>
      </w:r>
    </w:p>
    <w:p>
      <w:pPr>
        <w:pStyle w:val="null3"/>
        <w:ind w:firstLine="480"/>
      </w:pPr>
      <w:r>
        <w:rPr/>
        <w:t>（二）按照客观、公正、审慎的原则，根据竞争性谈判文件规定的评审程序、评审方法和评审标准进行独立评审；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6.7谈判纪律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（六）服从评审现场采购组织单位的现场秩序管理，接受评审现场监督人员的合法监督。</w:t>
      </w:r>
    </w:p>
    <w:p>
      <w:pPr>
        <w:pStyle w:val="null3"/>
        <w:ind w:firstLine="480"/>
      </w:pPr>
      <w:r>
        <w:rPr/>
        <w:t>（七）遵守有关廉洁自律规定，不得私下接触供应商，不得收受供应商及有关业务单位和个人的财物或好处，不得接受采购组织单位的请托。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ind w:firstLine="480"/>
      </w:pPr>
      <w:r>
        <w:rPr/>
        <w:t>一、本章所制响应文件格式，除格式中明确将该格式作为实质性要求的，不具有强制性。</w:t>
      </w:r>
    </w:p>
    <w:p>
      <w:pPr>
        <w:pStyle w:val="null3"/>
        <w:ind w:firstLine="480"/>
      </w:pPr>
      <w:r>
        <w:rPr/>
        <w:t>二、本章所制响应文件格式有关表格中的备注栏，由供应商根据自身响应情况作解释性说明，不作为必填项。</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详见附件：报价表</w:t>
      </w:r>
    </w:p>
    <w:p>
      <w:pPr>
        <w:pStyle w:val="null3"/>
        <w:ind w:firstLine="960"/>
      </w:pPr>
      <w:r>
        <w:rPr/>
        <w:t>详见附件：标的清单</w:t>
      </w:r>
    </w:p>
    <w:p>
      <w:pPr>
        <w:pStyle w:val="null3"/>
        <w:ind w:firstLine="960"/>
      </w:pPr>
      <w:r>
        <w:rPr/>
        <w:t>详见附件：财务状况证明</w:t>
      </w:r>
    </w:p>
    <w:p>
      <w:pPr>
        <w:pStyle w:val="null3"/>
        <w:ind w:firstLine="960"/>
      </w:pPr>
      <w:r>
        <w:rPr/>
        <w:t>详见附件：法定代表人授权委托书</w:t>
      </w:r>
    </w:p>
    <w:p>
      <w:pPr>
        <w:pStyle w:val="null3"/>
        <w:ind w:firstLine="960"/>
      </w:pPr>
      <w:r>
        <w:rPr/>
        <w:t>详见附件：法定代表人证明书</w:t>
      </w:r>
    </w:p>
    <w:p>
      <w:pPr>
        <w:pStyle w:val="null3"/>
        <w:ind w:firstLine="960"/>
      </w:pPr>
      <w:r>
        <w:rPr/>
        <w:t>详见附件：非联合体声明</w:t>
      </w:r>
    </w:p>
    <w:p>
      <w:pPr>
        <w:pStyle w:val="null3"/>
        <w:ind w:firstLine="960"/>
      </w:pPr>
      <w:r>
        <w:rPr/>
        <w:t>详见附件：履约能力声明</w:t>
      </w:r>
    </w:p>
    <w:p>
      <w:pPr>
        <w:pStyle w:val="null3"/>
        <w:ind w:firstLine="960"/>
      </w:pPr>
      <w:r>
        <w:rPr/>
        <w:t>详见附件：纳税证明</w:t>
      </w:r>
    </w:p>
    <w:p>
      <w:pPr>
        <w:pStyle w:val="null3"/>
        <w:ind w:firstLine="960"/>
      </w:pPr>
      <w:r>
        <w:rPr/>
        <w:t>详见附件：社会保障资金缴纳证明</w:t>
      </w:r>
    </w:p>
    <w:p>
      <w:pPr>
        <w:pStyle w:val="null3"/>
        <w:ind w:firstLine="960"/>
      </w:pPr>
      <w:r>
        <w:rPr/>
        <w:t>详见附件：信用声明</w:t>
      </w:r>
    </w:p>
    <w:p>
      <w:pPr>
        <w:pStyle w:val="null3"/>
        <w:ind w:firstLine="960"/>
      </w:pPr>
      <w:r>
        <w:rPr/>
        <w:t>详见附件：注册证照</w:t>
      </w:r>
    </w:p>
    <w:p>
      <w:pPr>
        <w:pStyle w:val="null3"/>
        <w:ind w:firstLine="960"/>
      </w:pPr>
      <w:r>
        <w:rPr/>
        <w:t>详见附件：投标产品技术指标偏离表</w:t>
      </w:r>
    </w:p>
    <w:p>
      <w:pPr>
        <w:pStyle w:val="null3"/>
        <w:ind w:firstLine="960"/>
      </w:pPr>
      <w:r>
        <w:rPr/>
        <w:t>详见附件：分项报价表</w:t>
      </w:r>
    </w:p>
    <w:p>
      <w:pPr>
        <w:pStyle w:val="null3"/>
        <w:ind w:firstLine="960"/>
      </w:pPr>
      <w:r>
        <w:rPr/>
        <w:t>详见附件：主要商务条款响应偏离表</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详见附件：合同模版（国产）.docx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