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国防电磁装备用Nb3Al超导线材制备关键技术实验室设备采购项目</w:t>
      </w:r>
    </w:p>
    <w:p>
      <w:pPr>
        <w:pStyle w:val="null3"/>
        <w:jc w:val="center"/>
        <w:outlineLvl w:val="2"/>
      </w:pPr>
      <w:r>
        <w:rPr>
          <w:sz w:val="28"/>
          <w:b/>
        </w:rPr>
        <w:t>采购项目编号：</w:t>
      </w:r>
      <w:r>
        <w:rPr>
          <w:sz w:val="28"/>
          <w:b/>
        </w:rPr>
        <w:t>DQA-2024084-ZB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2024年11月29日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国防电磁装备用Nb3Al超导线材制备关键技术实验室设备采购项目</w:t>
      </w:r>
      <w:r>
        <w:rPr/>
        <w:t>进行国内公开招标，兹邀请符合本次招标要求的供应商参加投标。</w:t>
      </w:r>
    </w:p>
    <w:p>
      <w:pPr>
        <w:pStyle w:val="null3"/>
        <w:outlineLvl w:val="2"/>
      </w:pPr>
      <w:r>
        <w:rPr>
          <w:sz w:val="28"/>
          <w:b/>
        </w:rPr>
        <w:t>一、采购项目编号：</w:t>
      </w:r>
      <w:r>
        <w:rPr>
          <w:sz w:val="28"/>
          <w:b/>
        </w:rPr>
        <w:t>DQA-2024084-ZB</w:t>
      </w:r>
    </w:p>
    <w:p>
      <w:pPr>
        <w:pStyle w:val="null3"/>
        <w:outlineLvl w:val="2"/>
      </w:pPr>
      <w:r>
        <w:rPr>
          <w:sz w:val="28"/>
          <w:b/>
        </w:rPr>
        <w:t>二、采购项目名称：</w:t>
      </w:r>
      <w:r>
        <w:rPr>
          <w:sz w:val="28"/>
          <w:b/>
        </w:rPr>
        <w:t>国防电磁装备用Nb3Al超导线材制备关键技术实验室设备采购项目</w:t>
      </w:r>
    </w:p>
    <w:p>
      <w:pPr>
        <w:pStyle w:val="null3"/>
        <w:outlineLvl w:val="2"/>
      </w:pPr>
      <w:r>
        <w:rPr>
          <w:sz w:val="28"/>
          <w:b/>
        </w:rPr>
        <w:t>三、招标项目简介</w:t>
      </w:r>
    </w:p>
    <w:p>
      <w:pPr>
        <w:pStyle w:val="null3"/>
        <w:ind w:firstLine="480"/>
      </w:pPr>
      <w:r>
        <w:rPr/>
        <w:t>项目拟采购急热急冷热处理设备、拉床和超导临界电流测试系统。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项目拟采购急热急冷热处理设备、拉床和超导临界电流测试系统</w:t>
      </w:r>
    </w:p>
    <w:p>
      <w:pPr>
        <w:pStyle w:val="null3"/>
        <w:outlineLvl w:val="2"/>
      </w:pPr>
      <w:r>
        <w:rPr>
          <w:sz w:val="28"/>
          <w:b/>
        </w:rPr>
        <w:t>3.2采购内容</w:t>
      </w:r>
    </w:p>
    <w:p>
      <w:pPr>
        <w:pStyle w:val="null3"/>
      </w:pPr>
      <w:r>
        <w:rPr/>
        <w:t>采购包1：</w:t>
      </w:r>
    </w:p>
    <w:p>
      <w:pPr>
        <w:pStyle w:val="null3"/>
      </w:pPr>
      <w:r>
        <w:rPr/>
        <w:t>采购包预算金额（元）: 8,000,000.00</w:t>
      </w:r>
    </w:p>
    <w:p>
      <w:pPr>
        <w:pStyle w:val="null3"/>
      </w:pPr>
      <w:r>
        <w:rPr/>
        <w:t>采购包最高限价（元）: 8,000,000.00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国防电磁装备用Nb3Al超导线材制备关键技术实验室设备</w:t>
            </w:r>
          </w:p>
        </w:tc>
        <w:tc>
          <w:tcPr>
            <w:tcW w:type="dxa" w:w="831"/>
          </w:tcPr>
          <w:p>
            <w:pPr>
              <w:pStyle w:val="null3"/>
              <w:jc w:val="right"/>
            </w:pPr>
            <w:r>
              <w:rPr/>
              <w:t>1.00</w:t>
            </w:r>
          </w:p>
        </w:tc>
        <w:tc>
          <w:tcPr>
            <w:tcW w:type="dxa" w:w="831"/>
          </w:tcPr>
          <w:p>
            <w:pPr>
              <w:pStyle w:val="null3"/>
              <w:jc w:val="right"/>
            </w:pPr>
            <w:r>
              <w:rPr/>
              <w:t>8,000,000.00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标的名称：国防电磁装备用Nb3Al超导线材制备关键技术实验室设备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6"/>
              <w:gridCol w:w="359"/>
              <w:gridCol w:w="1466"/>
              <w:gridCol w:w="271"/>
              <w:gridCol w:w="280"/>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设备名称</w:t>
                  </w:r>
                </w:p>
              </w:tc>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技术指标要求</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数量</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单位</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拉床</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r>
                    <w:rPr>
                      <w:rFonts w:ascii="宋体" w:hAnsi="宋体" w:cs="宋体" w:eastAsia="宋体"/>
                      <w:sz w:val="19"/>
                    </w:rPr>
                    <w:t>棒材直线拉伸设备结构：双链结构；</w:t>
                  </w:r>
                </w:p>
                <w:p>
                  <w:pPr>
                    <w:pStyle w:val="null3"/>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拉伸力满足直径范围</w:t>
                  </w:r>
                  <w:r>
                    <w:rPr>
                      <w:rFonts w:ascii="宋体" w:hAnsi="宋体" w:cs="宋体" w:eastAsia="宋体"/>
                      <w:sz w:val="19"/>
                    </w:rPr>
                    <w:t>φ</w:t>
                  </w:r>
                  <w:r>
                    <w:rPr>
                      <w:rFonts w:ascii="calibri" w:hAnsi="calibri" w:cs="calibri" w:eastAsia="calibri"/>
                      <w:sz w:val="19"/>
                    </w:rPr>
                    <w:t>30-</w:t>
                  </w:r>
                  <w:r>
                    <w:rPr>
                      <w:rFonts w:ascii="宋体" w:hAnsi="宋体" w:cs="宋体" w:eastAsia="宋体"/>
                      <w:sz w:val="19"/>
                    </w:rPr>
                    <w:t>φ</w:t>
                  </w:r>
                  <w:r>
                    <w:rPr>
                      <w:rFonts w:ascii="calibri" w:hAnsi="calibri" w:cs="calibri" w:eastAsia="calibri"/>
                      <w:sz w:val="19"/>
                    </w:rPr>
                    <w:t>5mm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道次加工率</w:t>
                  </w:r>
                  <w:r>
                    <w:rPr>
                      <w:rFonts w:ascii="calibri" w:hAnsi="calibri" w:cs="calibri" w:eastAsia="calibri"/>
                      <w:sz w:val="19"/>
                    </w:rPr>
                    <w:t>5%-25%</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模具角度为</w:t>
                  </w:r>
                  <w:r>
                    <w:rPr>
                      <w:rFonts w:ascii="calibri" w:hAnsi="calibri" w:cs="calibri" w:eastAsia="calibri"/>
                      <w:sz w:val="19"/>
                    </w:rPr>
                    <w:t>6</w:t>
                  </w:r>
                  <w:r>
                    <w:rPr>
                      <w:rFonts w:ascii="宋体" w:hAnsi="宋体" w:cs="宋体" w:eastAsia="宋体"/>
                      <w:sz w:val="19"/>
                    </w:rPr>
                    <w:t>°和</w:t>
                  </w:r>
                  <w:r>
                    <w:rPr>
                      <w:rFonts w:ascii="calibri" w:hAnsi="calibri" w:cs="calibri" w:eastAsia="calibri"/>
                      <w:sz w:val="19"/>
                    </w:rPr>
                    <w:t>14</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拉伸尺寸精度</w:t>
                  </w:r>
                  <w:r>
                    <w:rPr>
                      <w:rFonts w:ascii="宋体" w:hAnsi="宋体" w:cs="宋体" w:eastAsia="宋体"/>
                      <w:sz w:val="19"/>
                    </w:rPr>
                    <w:t>≤</w:t>
                  </w:r>
                  <w:r>
                    <w:rPr>
                      <w:rFonts w:ascii="calibri" w:hAnsi="calibri" w:cs="calibri" w:eastAsia="calibri"/>
                      <w:sz w:val="19"/>
                    </w:rPr>
                    <w:t>0.1mm</w:t>
                  </w:r>
                  <w:r>
                    <w:rPr>
                      <w:rFonts w:ascii="宋体" w:hAnsi="宋体" w:cs="宋体" w:eastAsia="宋体"/>
                      <w:sz w:val="19"/>
                    </w:rPr>
                    <w:t>；</w:t>
                  </w:r>
                </w:p>
                <w:p>
                  <w:pPr>
                    <w:pStyle w:val="null3"/>
                  </w:pPr>
                  <w:r>
                    <w:rPr>
                      <w:rFonts w:ascii="calibri" w:hAnsi="calibri" w:cs="calibri" w:eastAsia="calibri"/>
                      <w:sz w:val="19"/>
                    </w:rPr>
                    <w:t>6.</w:t>
                  </w:r>
                  <w:r>
                    <w:rPr>
                      <w:rFonts w:ascii="宋体" w:hAnsi="宋体" w:cs="宋体" w:eastAsia="宋体"/>
                      <w:sz w:val="19"/>
                    </w:rPr>
                    <w:t>根据场地保证有效拉伸长度</w:t>
                  </w:r>
                  <w:r>
                    <w:rPr>
                      <w:rFonts w:ascii="宋体" w:hAnsi="宋体" w:cs="宋体" w:eastAsia="宋体"/>
                      <w:sz w:val="19"/>
                    </w:rPr>
                    <w:t>≥</w:t>
                  </w:r>
                  <w:r>
                    <w:rPr>
                      <w:rFonts w:ascii="calibri" w:hAnsi="calibri" w:cs="calibri" w:eastAsia="calibri"/>
                      <w:sz w:val="19"/>
                    </w:rPr>
                    <w:t>18m</w:t>
                  </w:r>
                  <w:r>
                    <w:rPr>
                      <w:rFonts w:ascii="宋体" w:hAnsi="宋体" w:cs="宋体" w:eastAsia="宋体"/>
                      <w:sz w:val="19"/>
                    </w:rPr>
                    <w:t>。</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急热急冷热处理设备</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升温速率≥</w:t>
                  </w:r>
                  <w:r>
                    <w:rPr>
                      <w:rFonts w:ascii="calibri" w:hAnsi="calibri" w:cs="calibri" w:eastAsia="calibri"/>
                      <w:sz w:val="19"/>
                    </w:rPr>
                    <w:t>3000</w:t>
                  </w:r>
                  <w:r>
                    <w:rPr>
                      <w:rFonts w:ascii="宋体" w:hAnsi="宋体" w:cs="宋体" w:eastAsia="宋体"/>
                      <w:sz w:val="19"/>
                    </w:rPr>
                    <w:t>℃</w:t>
                  </w:r>
                  <w:r>
                    <w:rPr>
                      <w:rFonts w:ascii="calibri" w:hAnsi="calibri" w:cs="calibri" w:eastAsia="calibri"/>
                      <w:sz w:val="19"/>
                    </w:rPr>
                    <w:t>/s</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2</w:t>
                  </w:r>
                  <w:r>
                    <w:rPr>
                      <w:rFonts w:ascii="calibri" w:hAnsi="calibri" w:cs="calibri" w:eastAsia="calibri"/>
                      <w:sz w:val="19"/>
                    </w:rPr>
                    <w:t>.</w:t>
                  </w:r>
                  <w:r>
                    <w:rPr>
                      <w:rFonts w:ascii="宋体" w:hAnsi="宋体" w:cs="宋体" w:eastAsia="宋体"/>
                      <w:sz w:val="19"/>
                    </w:rPr>
                    <w:t>电流、电压采集频率</w:t>
                  </w:r>
                  <w:r>
                    <w:rPr>
                      <w:rFonts w:ascii="宋体" w:hAnsi="宋体" w:cs="宋体" w:eastAsia="宋体"/>
                      <w:sz w:val="19"/>
                    </w:rPr>
                    <w:t>≥</w:t>
                  </w:r>
                  <w:r>
                    <w:rPr>
                      <w:rFonts w:ascii="calibri" w:hAnsi="calibri" w:cs="calibri" w:eastAsia="calibri"/>
                      <w:sz w:val="19"/>
                    </w:rPr>
                    <w:t>200</w:t>
                  </w:r>
                  <w:r>
                    <w:rPr>
                      <w:rFonts w:ascii="宋体" w:hAnsi="宋体" w:cs="宋体" w:eastAsia="宋体"/>
                      <w:sz w:val="19"/>
                    </w:rPr>
                    <w:t>次</w:t>
                  </w:r>
                  <w:r>
                    <w:rPr>
                      <w:rFonts w:ascii="calibri" w:hAnsi="calibri" w:cs="calibri" w:eastAsia="calibri"/>
                      <w:sz w:val="19"/>
                    </w:rPr>
                    <w:t>/s</w:t>
                  </w:r>
                  <w:r>
                    <w:rPr>
                      <w:rFonts w:ascii="calibri" w:hAnsi="calibri" w:cs="calibri" w:eastAsia="calibri"/>
                      <w:sz w:val="19"/>
                    </w:rPr>
                    <w:t>;</w:t>
                  </w:r>
                </w:p>
                <w:p>
                  <w:pPr>
                    <w:pStyle w:val="null3"/>
                  </w:pPr>
                  <w:r>
                    <w:rPr>
                      <w:rFonts w:ascii="calibri" w:hAnsi="calibri" w:cs="calibri" w:eastAsia="calibri"/>
                      <w:sz w:val="19"/>
                    </w:rPr>
                    <w:t>3</w:t>
                  </w:r>
                  <w:r>
                    <w:rPr>
                      <w:rFonts w:ascii="calibri" w:hAnsi="calibri" w:cs="calibri" w:eastAsia="calibri"/>
                      <w:sz w:val="19"/>
                    </w:rPr>
                    <w:t>.</w:t>
                  </w:r>
                  <w:r>
                    <w:rPr>
                      <w:rFonts w:ascii="宋体" w:hAnsi="宋体" w:cs="宋体" w:eastAsia="宋体"/>
                      <w:sz w:val="19"/>
                    </w:rPr>
                    <w:t>单根长度：≤</w:t>
                  </w:r>
                  <w:r>
                    <w:rPr>
                      <w:rFonts w:ascii="calibri" w:hAnsi="calibri" w:cs="calibri" w:eastAsia="calibri"/>
                      <w:sz w:val="19"/>
                    </w:rPr>
                    <w:t>500m</w:t>
                  </w:r>
                  <w:r>
                    <w:rPr>
                      <w:rFonts w:ascii="宋体" w:hAnsi="宋体" w:cs="宋体" w:eastAsia="宋体"/>
                      <w:sz w:val="19"/>
                    </w:rPr>
                    <w:t>，线材收线密排；</w:t>
                  </w:r>
                </w:p>
                <w:p>
                  <w:pPr>
                    <w:pStyle w:val="null3"/>
                  </w:pPr>
                  <w:r>
                    <w:rPr>
                      <w:rFonts w:ascii="calibri" w:hAnsi="calibri" w:cs="calibri" w:eastAsia="calibri"/>
                      <w:sz w:val="19"/>
                    </w:rPr>
                    <w:t>4</w:t>
                  </w:r>
                  <w:r>
                    <w:rPr>
                      <w:rFonts w:ascii="calibri" w:hAnsi="calibri" w:cs="calibri" w:eastAsia="calibri"/>
                      <w:sz w:val="19"/>
                    </w:rPr>
                    <w:t>.</w:t>
                  </w:r>
                  <w:r>
                    <w:rPr>
                      <w:rFonts w:ascii="宋体" w:hAnsi="宋体" w:cs="宋体" w:eastAsia="宋体"/>
                      <w:sz w:val="19"/>
                    </w:rPr>
                    <w:t>工作真空度≤</w:t>
                  </w:r>
                  <w:r>
                    <w:rPr>
                      <w:rFonts w:ascii="calibri" w:hAnsi="calibri" w:cs="calibri" w:eastAsia="calibri"/>
                      <w:sz w:val="19"/>
                    </w:rPr>
                    <w:t>1Pa</w:t>
                  </w:r>
                  <w:r>
                    <w:rPr>
                      <w:rFonts w:ascii="宋体" w:hAnsi="宋体" w:cs="宋体" w:eastAsia="宋体"/>
                      <w:sz w:val="19"/>
                    </w:rPr>
                    <w:t>；</w:t>
                  </w:r>
                  <w:r>
                    <w:rPr>
                      <w:rFonts w:ascii="&quot;times new roman&quot;" w:hAnsi="&quot;times new roman&quot;" w:cs="&quot;times new roman&quot;" w:eastAsia="&quot;times new roman&quot;"/>
                      <w:sz w:val="19"/>
                    </w:rPr>
                    <w:t xml:space="preserve"> </w:t>
                  </w:r>
                </w:p>
                <w:p>
                  <w:pPr>
                    <w:pStyle w:val="null3"/>
                  </w:pPr>
                  <w:r>
                    <w:rPr>
                      <w:rFonts w:ascii="calibri" w:hAnsi="calibri" w:cs="calibri" w:eastAsia="calibri"/>
                      <w:sz w:val="19"/>
                    </w:rPr>
                    <w:t>5</w:t>
                  </w:r>
                  <w:r>
                    <w:rPr>
                      <w:rFonts w:ascii="calibri" w:hAnsi="calibri" w:cs="calibri" w:eastAsia="calibri"/>
                      <w:sz w:val="19"/>
                    </w:rPr>
                    <w:t>.</w:t>
                  </w:r>
                  <w:r>
                    <w:rPr>
                      <w:rFonts w:ascii="宋体" w:hAnsi="宋体" w:cs="宋体" w:eastAsia="宋体"/>
                      <w:sz w:val="19"/>
                    </w:rPr>
                    <w:t>压升率：≤</w:t>
                  </w:r>
                  <w:r>
                    <w:rPr>
                      <w:rFonts w:ascii="calibri" w:hAnsi="calibri" w:cs="calibri" w:eastAsia="calibri"/>
                      <w:sz w:val="19"/>
                    </w:rPr>
                    <w:t>1Pa/min</w:t>
                  </w:r>
                  <w:r>
                    <w:rPr>
                      <w:rFonts w:ascii="宋体" w:hAnsi="宋体" w:cs="宋体" w:eastAsia="宋体"/>
                      <w:sz w:val="19"/>
                    </w:rPr>
                    <w:t>（干燥洁净空炉状态）</w:t>
                  </w:r>
                  <w:r>
                    <w:rPr>
                      <w:rFonts w:ascii="calibri" w:hAnsi="calibri" w:cs="calibri" w:eastAsia="calibri"/>
                      <w:sz w:val="19"/>
                    </w:rPr>
                    <w:t>;</w:t>
                  </w:r>
                </w:p>
                <w:p>
                  <w:pPr>
                    <w:pStyle w:val="null3"/>
                  </w:pPr>
                  <w:r>
                    <w:rPr>
                      <w:rFonts w:ascii="calibri" w:hAnsi="calibri" w:cs="calibri" w:eastAsia="calibri"/>
                      <w:sz w:val="19"/>
                    </w:rPr>
                    <w:t>6</w:t>
                  </w:r>
                  <w:r>
                    <w:rPr>
                      <w:rFonts w:ascii="calibri" w:hAnsi="calibri" w:cs="calibri" w:eastAsia="calibri"/>
                      <w:sz w:val="19"/>
                    </w:rPr>
                    <w:t>.</w:t>
                  </w:r>
                  <w:r>
                    <w:rPr>
                      <w:rFonts w:ascii="宋体" w:hAnsi="宋体" w:cs="宋体" w:eastAsia="宋体"/>
                      <w:sz w:val="19"/>
                    </w:rPr>
                    <w:t>实现百米级长线的稳定热处理。</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超导临界电流测试系统</w:t>
                  </w:r>
                  <w:r>
                    <w:rPr>
                      <w:rFonts w:ascii="宋体" w:hAnsi="宋体" w:cs="宋体" w:eastAsia="宋体"/>
                      <w:sz w:val="19"/>
                    </w:rPr>
                    <w:t>（核心产品）</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中心磁场</w:t>
                  </w:r>
                  <w:r>
                    <w:rPr>
                      <w:rFonts w:ascii="calibri" w:hAnsi="calibri" w:cs="calibri" w:eastAsia="calibri"/>
                      <w:sz w:val="19"/>
                    </w:rPr>
                    <w:t>:1</w:t>
                  </w:r>
                  <w:r>
                    <w:rPr>
                      <w:rFonts w:ascii="calibri" w:hAnsi="calibri" w:cs="calibri" w:eastAsia="calibri"/>
                      <w:sz w:val="19"/>
                    </w:rPr>
                    <w:t>2</w:t>
                  </w:r>
                  <w:r>
                    <w:rPr>
                      <w:rFonts w:ascii="calibri" w:hAnsi="calibri" w:cs="calibri" w:eastAsia="calibri"/>
                      <w:sz w:val="19"/>
                    </w:rPr>
                    <w:t>T</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2.</w:t>
                  </w:r>
                  <w:r>
                    <w:rPr>
                      <w:rFonts w:ascii="&quot;times new roman&quot;" w:hAnsi="&quot;times new roman&quot;" w:cs="&quot;times new roman&quot;" w:eastAsia="&quot;times new roman&quot;"/>
                      <w:sz w:val="19"/>
                    </w:rPr>
                    <w:t xml:space="preserve"> </w:t>
                  </w:r>
                  <w:r>
                    <w:rPr>
                      <w:rFonts w:ascii="宋体" w:hAnsi="宋体" w:cs="宋体" w:eastAsia="宋体"/>
                      <w:sz w:val="19"/>
                    </w:rPr>
                    <w:t>磁场均匀度：</w:t>
                  </w:r>
                  <w:r>
                    <w:rPr>
                      <w:rFonts w:ascii="宋体" w:hAnsi="宋体" w:cs="宋体" w:eastAsia="宋体"/>
                      <w:sz w:val="19"/>
                    </w:rPr>
                    <w:t>≤</w:t>
                  </w:r>
                  <w:r>
                    <w:rPr>
                      <w:rFonts w:ascii="calibri" w:hAnsi="calibri" w:cs="calibri" w:eastAsia="calibri"/>
                      <w:sz w:val="19"/>
                    </w:rPr>
                    <w:t>0.1%</w:t>
                  </w:r>
                  <w:r>
                    <w:rPr>
                      <w:rFonts w:ascii="&quot;times new roman&quot;" w:hAnsi="&quot;times new roman&quot;" w:cs="&quot;times new roman&quot;" w:eastAsia="&quot;times new roman&quot;"/>
                      <w:sz w:val="19"/>
                    </w:rPr>
                    <w:t xml:space="preserve"> </w:t>
                  </w:r>
                  <w:r>
                    <w:rPr>
                      <w:rFonts w:ascii="calibri" w:hAnsi="calibri" w:cs="calibri" w:eastAsia="calibri"/>
                      <w:sz w:val="19"/>
                    </w:rPr>
                    <w:t>@</w:t>
                  </w:r>
                  <w:r>
                    <w:rPr>
                      <w:rFonts w:ascii="宋体" w:hAnsi="宋体" w:cs="宋体" w:eastAsia="宋体"/>
                      <w:sz w:val="19"/>
                    </w:rPr>
                    <w:t>φ</w:t>
                  </w:r>
                  <w:r>
                    <w:rPr>
                      <w:rFonts w:ascii="calibri" w:hAnsi="calibri" w:cs="calibri" w:eastAsia="calibri"/>
                      <w:sz w:val="19"/>
                    </w:rPr>
                    <w:t>10</w:t>
                  </w:r>
                  <w:r>
                    <w:rPr>
                      <w:rFonts w:ascii="calibri" w:hAnsi="calibri" w:cs="calibri" w:eastAsia="calibri"/>
                      <w:sz w:val="19"/>
                    </w:rPr>
                    <w:t>mm</w:t>
                  </w:r>
                  <w:r>
                    <w:rPr>
                      <w:rFonts w:ascii="宋体" w:hAnsi="宋体" w:cs="宋体" w:eastAsia="宋体"/>
                      <w:sz w:val="19"/>
                    </w:rPr>
                    <w:t>´</w:t>
                  </w:r>
                  <w:r>
                    <w:rPr>
                      <w:rFonts w:ascii="calibri" w:hAnsi="calibri" w:cs="calibri" w:eastAsia="calibri"/>
                      <w:sz w:val="19"/>
                    </w:rPr>
                    <w:t>1</w:t>
                  </w:r>
                  <w:r>
                    <w:rPr>
                      <w:rFonts w:ascii="calibri" w:hAnsi="calibri" w:cs="calibri" w:eastAsia="calibri"/>
                      <w:sz w:val="19"/>
                    </w:rPr>
                    <w:t>0</w:t>
                  </w:r>
                  <w:r>
                    <w:rPr>
                      <w:rFonts w:ascii="calibri" w:hAnsi="calibri" w:cs="calibri" w:eastAsia="calibri"/>
                      <w:sz w:val="19"/>
                    </w:rPr>
                    <w:t xml:space="preserve">mm </w:t>
                  </w:r>
                  <w:r>
                    <w:rPr>
                      <w:rFonts w:ascii="宋体" w:hAnsi="宋体" w:cs="宋体" w:eastAsia="宋体"/>
                      <w:sz w:val="19"/>
                    </w:rPr>
                    <w:t>区域内；</w:t>
                  </w:r>
                  <w:r>
                    <w:rPr>
                      <w:rFonts w:ascii="&quot;times new roman&quot;" w:hAnsi="&quot;times new roman&quot;" w:cs="&quot;times new roman&quot;" w:eastAsia="&quot;times new roman&quot;"/>
                      <w:sz w:val="19"/>
                    </w:rPr>
                    <w:t xml:space="preserve"> </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内插杜瓦内径：≥φ</w:t>
                  </w:r>
                  <w:r>
                    <w:rPr>
                      <w:rFonts w:ascii="calibri" w:hAnsi="calibri" w:cs="calibri" w:eastAsia="calibri"/>
                      <w:sz w:val="19"/>
                    </w:rPr>
                    <w:t>6</w:t>
                  </w:r>
                  <w:r>
                    <w:rPr>
                      <w:rFonts w:ascii="calibri" w:hAnsi="calibri" w:cs="calibri" w:eastAsia="calibri"/>
                      <w:sz w:val="19"/>
                    </w:rPr>
                    <w:t>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临界电流应变依赖性测试轴向应变范围：优于</w:t>
                  </w:r>
                  <w:r>
                    <w:rPr>
                      <w:rFonts w:ascii="calibri" w:hAnsi="calibri" w:cs="calibri" w:eastAsia="calibri"/>
                      <w:sz w:val="19"/>
                    </w:rPr>
                    <w:t>-0.7%</w:t>
                  </w:r>
                  <w:r>
                    <w:rPr>
                      <w:rFonts w:ascii="宋体" w:hAnsi="宋体" w:cs="宋体" w:eastAsia="宋体"/>
                      <w:sz w:val="19"/>
                    </w:rPr>
                    <w:t>至</w:t>
                  </w:r>
                  <w:r>
                    <w:rPr>
                      <w:rFonts w:ascii="calibri" w:hAnsi="calibri" w:cs="calibri" w:eastAsia="calibri"/>
                      <w:sz w:val="19"/>
                    </w:rPr>
                    <w:t>0.7%</w:t>
                  </w:r>
                  <w:r>
                    <w:rPr>
                      <w:rFonts w:ascii="calibri" w:hAnsi="calibri" w:cs="calibri" w:eastAsia="calibri"/>
                      <w:sz w:val="19"/>
                    </w:rPr>
                    <w:t>;</w:t>
                  </w:r>
                </w:p>
                <w:p>
                  <w:pPr>
                    <w:pStyle w:val="null3"/>
                  </w:pPr>
                  <w:r>
                    <w:rPr>
                      <w:rFonts w:ascii="calibri" w:hAnsi="calibri" w:cs="calibri" w:eastAsia="calibri"/>
                      <w:sz w:val="19"/>
                    </w:rPr>
                    <w:t>5.</w:t>
                  </w:r>
                  <w:r>
                    <w:rPr>
                      <w:rFonts w:ascii="宋体" w:hAnsi="宋体" w:cs="宋体" w:eastAsia="宋体"/>
                      <w:sz w:val="19"/>
                    </w:rPr>
                    <w:t>样品杆载流能力</w:t>
                  </w:r>
                  <w:r>
                    <w:rPr>
                      <w:rFonts w:ascii="calibri" w:hAnsi="calibri" w:cs="calibri" w:eastAsia="calibri"/>
                      <w:sz w:val="19"/>
                    </w:rPr>
                    <w:t>:</w:t>
                  </w:r>
                  <w:r>
                    <w:rPr>
                      <w:rFonts w:ascii="宋体" w:hAnsi="宋体" w:cs="宋体" w:eastAsia="宋体"/>
                      <w:sz w:val="19"/>
                    </w:rPr>
                    <w:t>≥</w:t>
                  </w:r>
                  <w:r>
                    <w:rPr>
                      <w:rFonts w:ascii="calibri" w:hAnsi="calibri" w:cs="calibri" w:eastAsia="calibri"/>
                      <w:sz w:val="19"/>
                    </w:rPr>
                    <w:t>5</w:t>
                  </w:r>
                  <w:r>
                    <w:rPr>
                      <w:rFonts w:ascii="calibri" w:hAnsi="calibri" w:cs="calibri" w:eastAsia="calibri"/>
                      <w:sz w:val="19"/>
                    </w:rPr>
                    <w:t>00 A</w:t>
                  </w:r>
                  <w:r>
                    <w:rPr>
                      <w:rFonts w:ascii="宋体" w:hAnsi="宋体" w:cs="宋体" w:eastAsia="宋体"/>
                      <w:sz w:val="19"/>
                    </w:rPr>
                    <w:t>；</w:t>
                  </w:r>
                </w:p>
                <w:p>
                  <w:pPr>
                    <w:pStyle w:val="null3"/>
                  </w:pPr>
                  <w:r>
                    <w:rPr>
                      <w:rFonts w:ascii="calibri" w:hAnsi="calibri" w:cs="calibri" w:eastAsia="calibri"/>
                      <w:sz w:val="19"/>
                    </w:rPr>
                    <w:t>6.</w:t>
                  </w:r>
                  <w:r>
                    <w:rPr>
                      <w:rFonts w:ascii="宋体" w:hAnsi="宋体" w:cs="宋体" w:eastAsia="宋体"/>
                      <w:sz w:val="19"/>
                    </w:rPr>
                    <w:t>样品杆升流速度</w:t>
                  </w:r>
                  <w:r>
                    <w:rPr>
                      <w:rFonts w:ascii="calibri" w:hAnsi="calibri" w:cs="calibri" w:eastAsia="calibri"/>
                      <w:sz w:val="19"/>
                    </w:rPr>
                    <w:t>:</w:t>
                  </w:r>
                  <w:r>
                    <w:rPr>
                      <w:rFonts w:ascii="宋体" w:hAnsi="宋体" w:cs="宋体" w:eastAsia="宋体"/>
                      <w:sz w:val="19"/>
                    </w:rPr>
                    <w:t>≥</w:t>
                  </w:r>
                  <w:r>
                    <w:rPr>
                      <w:rFonts w:ascii="calibri" w:hAnsi="calibri" w:cs="calibri" w:eastAsia="calibri"/>
                      <w:sz w:val="19"/>
                    </w:rPr>
                    <w:t>1</w:t>
                  </w:r>
                  <w:r>
                    <w:rPr>
                      <w:rFonts w:ascii="calibri" w:hAnsi="calibri" w:cs="calibri" w:eastAsia="calibri"/>
                      <w:sz w:val="19"/>
                    </w:rPr>
                    <w:t>0A/</w:t>
                  </w:r>
                  <w:r>
                    <w:rPr>
                      <w:rFonts w:ascii="calibri" w:hAnsi="calibri" w:cs="calibri" w:eastAsia="calibri"/>
                      <w:sz w:val="19"/>
                    </w:rPr>
                    <w:t>s</w:t>
                  </w:r>
                  <w:r>
                    <w:rPr>
                      <w:rFonts w:ascii="calibri" w:hAnsi="calibri" w:cs="calibri" w:eastAsia="calibri"/>
                      <w:sz w:val="19"/>
                    </w:rPr>
                    <w:t>;</w:t>
                  </w:r>
                </w:p>
                <w:p>
                  <w:pPr>
                    <w:pStyle w:val="null3"/>
                  </w:pPr>
                  <w:r>
                    <w:rPr>
                      <w:rFonts w:ascii="calibri" w:hAnsi="calibri" w:cs="calibri" w:eastAsia="calibri"/>
                      <w:sz w:val="19"/>
                    </w:rPr>
                    <w:t>7.</w:t>
                  </w:r>
                  <w:r>
                    <w:rPr>
                      <w:rFonts w:ascii="宋体" w:hAnsi="宋体" w:cs="宋体" w:eastAsia="宋体"/>
                      <w:sz w:val="19"/>
                    </w:rPr>
                    <w:t>具备标准</w:t>
                  </w:r>
                  <w:r>
                    <w:rPr>
                      <w:rFonts w:ascii="calibri" w:hAnsi="calibri" w:cs="calibri" w:eastAsia="calibri"/>
                      <w:sz w:val="19"/>
                    </w:rPr>
                    <w:t>Barrel</w:t>
                  </w:r>
                  <w:r>
                    <w:rPr>
                      <w:rFonts w:ascii="宋体" w:hAnsi="宋体" w:cs="宋体" w:eastAsia="宋体"/>
                      <w:sz w:val="19"/>
                    </w:rPr>
                    <w:t>骨架超导线样品临界电流测试功能；</w:t>
                  </w:r>
                </w:p>
                <w:p>
                  <w:pPr>
                    <w:pStyle w:val="null3"/>
                  </w:pPr>
                  <w:r>
                    <w:rPr>
                      <w:rFonts w:ascii="calibri" w:hAnsi="calibri" w:cs="calibri" w:eastAsia="calibri"/>
                      <w:sz w:val="19"/>
                    </w:rPr>
                    <w:t>8.</w:t>
                  </w:r>
                  <w:r>
                    <w:rPr>
                      <w:rFonts w:ascii="宋体" w:hAnsi="宋体" w:cs="宋体" w:eastAsia="宋体"/>
                      <w:sz w:val="19"/>
                    </w:rPr>
                    <w:t>具备样品临界电流轴向应变依赖性测试功能；</w:t>
                  </w:r>
                </w:p>
                <w:p>
                  <w:pPr>
                    <w:pStyle w:val="null3"/>
                  </w:pPr>
                  <w:r>
                    <w:rPr>
                      <w:rFonts w:ascii="calibri" w:hAnsi="calibri" w:cs="calibri" w:eastAsia="calibri"/>
                      <w:sz w:val="19"/>
                    </w:rPr>
                    <w:t>9.</w:t>
                  </w:r>
                  <w:r>
                    <w:rPr>
                      <w:rFonts w:ascii="宋体" w:hAnsi="宋体" w:cs="宋体" w:eastAsia="宋体"/>
                      <w:sz w:val="19"/>
                    </w:rPr>
                    <w:t>具备内插线圈电磁性能测试功能。</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合同签订后180日历日交货安装验收完毕</w:t>
      </w:r>
    </w:p>
    <w:p>
      <w:pPr>
        <w:pStyle w:val="null3"/>
        <w:outlineLvl w:val="3"/>
      </w:pPr>
      <w:r>
        <w:rPr>
          <w:sz w:val="24"/>
          <w:b/>
        </w:rPr>
        <w:t>3.4.2交货地点</w:t>
      </w:r>
    </w:p>
    <w:p>
      <w:pPr>
        <w:pStyle w:val="null3"/>
      </w:pPr>
      <w:r>
        <w:rPr/>
        <w:t>采购包1：</w:t>
      </w:r>
    </w:p>
    <w:p>
      <w:pPr>
        <w:pStyle w:val="null3"/>
      </w:pPr>
      <w:r>
        <w:rPr/>
        <w:t>西安工业大学交叉创新研究院实验室、材料与化工学院中试基地</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货到安装调试经采购人验收合格后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安装调试要求:中标人送货安装前需征得采购人同意，相应的安装调试所需工具和材料等由中标人提供。中标人每推迟供货一天，按合同总金额的0.1%扣款，逾期交货超过15天，采购人有权利解除本合同，中标人需向采购人支付合同金额30%的违约金。违约金不足弥补采购人损失的，由中标人负责赔偿。 验收标准及方法:(1)初验:设备安装调试合格后，进行试运行测试，通过试运行测试后进入试运行，试运行不少于 30 工作日。由中标人向采购人提供详细的试运行报告，报告中至少应详细记录各种实测、运行数据。项目试运行且通过中标人自测后提交采购人进行初验。验收内容按试运行报告，现场查看设备运行情况。初验完成后，中标人填写初验验收报告并经采购人确认。(2)整体验收即终验:该项目初验完成后，采购人根据初验验收报告,组织相关人员和专家组成验收小组对系统设备进行最终验收。验收依据为最终合同文本招投标文件和国内相应的标准、规范，最终合同内所列功能参数逐条验收，并符合采购人稳定安全正常使用的需求。验收合格后，填写终验验收单，并由中标人向采购人移交设备所包含的所有资料，以便校方研究院日后管理和维护。 验收不合格的，限期整改，整改过程中产生的费用和设备发生的一切损失由中标人承担;整改超过二次的，采购人有权单方解除合同，中标人应无条件退还已收取的全部合同价款,并按合同总价20%向采购人支付违约金，违约金不足弥补采购人损失的，由中标人负责赔偿。</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本项目整体质保期：验收合格后5 年。 质保期内免费提供正常使用的易损件和备件；软件系统提供终身免费升级服务。 设备经过双方检验认可后，签署验收报告，产品保修期自验收合格之日起计算，由中标人提供产品保修文件。 质保期内所有维修服务均由中标人免费上门取、送、修。安装调试1个月内，如有质量问题，设备整机无条件退换货并提供备件以保证实验正常开展。在保修期内，任何质量问题，中标人负责免费维修。 质保期过后需换件时，应提供原装器件，并按成本价收费。 服务响应时间：中标人接到维修电话后2小时内给予明确答复，4小时内到达现场维修。维修人员到现场后若问题特殊无法现场修复的，中标人需在24小时内给出合理解决方案。</w:t>
      </w:r>
    </w:p>
    <w:p>
      <w:pPr>
        <w:pStyle w:val="null3"/>
        <w:outlineLvl w:val="3"/>
      </w:pPr>
      <w:r>
        <w:rPr>
          <w:sz w:val="24"/>
          <w:b/>
        </w:rPr>
        <w:t>3.4.8违约责任与解决争议的方法</w:t>
      </w:r>
    </w:p>
    <w:p>
      <w:pPr>
        <w:pStyle w:val="null3"/>
      </w:pPr>
      <w:r>
        <w:rPr/>
        <w:t>采购包1：</w:t>
      </w:r>
    </w:p>
    <w:p>
      <w:pPr>
        <w:pStyle w:val="null3"/>
      </w:pPr>
      <w:r>
        <w:rPr/>
        <w:t>详见采购文件及合同条款</w:t>
      </w:r>
    </w:p>
    <w:p>
      <w:pPr>
        <w:pStyle w:val="null3"/>
        <w:jc w:val="left"/>
        <w:outlineLvl w:val="2"/>
      </w:pPr>
      <w:r>
        <w:rPr>
          <w:sz w:val="28"/>
          <w:b/>
        </w:rPr>
        <w:t>3.5其他要求</w:t>
      </w:r>
    </w:p>
    <w:p>
      <w:pPr>
        <w:pStyle w:val="null3"/>
      </w:pPr>
      <w:r>
        <w:rPr/>
        <w:t>1、（1）供应商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7</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25分。结合规格、技术参数偏离表的响应证明材料，按招标文件内配置最低要求，带“▲”号指标项每出现1个负偏离扣2分，其他指标每出现一个负偏离扣1分。扣完为止。投标人须按招标文件要求提供带“▲”号指标项的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提供投标人2021年1月1日至今同类项目业绩（以合同签订时间为准），提供中标通知书和完整合同复印件（扫描件）加盖投标人公章，每份计2分，最高得10分。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1、整体配置具有合理性、一致性、兼容性；2、产品品牌、型号、产地明确，备品配件供应有保障；3、有具体可行的质量保证承诺；4、保证使用单位能熟练操作维护和正常使用。选型方案先进可靠，质量保证承诺详尽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5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