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29E163">
      <w:pPr>
        <w:pStyle w:val="9"/>
        <w:spacing w:line="360" w:lineRule="auto"/>
        <w:ind w:left="0" w:leftChars="0" w:firstLine="0" w:firstLineChars="0"/>
        <w:jc w:val="center"/>
        <w:rPr>
          <w:rFonts w:ascii="宋体"/>
          <w:b/>
          <w:bCs/>
          <w:sz w:val="30"/>
          <w:szCs w:val="30"/>
        </w:rPr>
      </w:pPr>
      <w:r>
        <w:rPr>
          <w:rFonts w:hint="eastAsia" w:ascii="宋体" w:hAnsi="宋体"/>
          <w:b/>
          <w:bCs/>
          <w:sz w:val="30"/>
          <w:szCs w:val="30"/>
        </w:rPr>
        <w:t>陕西科技大学202</w:t>
      </w:r>
      <w:r>
        <w:rPr>
          <w:rFonts w:hint="eastAsia" w:ascii="宋体" w:hAnsi="宋体"/>
          <w:b/>
          <w:bCs/>
          <w:sz w:val="30"/>
          <w:szCs w:val="30"/>
          <w:lang w:val="en-US" w:eastAsia="zh-CN"/>
        </w:rPr>
        <w:t>4</w:t>
      </w:r>
      <w:r>
        <w:rPr>
          <w:rFonts w:hint="eastAsia" w:ascii="宋体" w:hAnsi="宋体"/>
          <w:b/>
          <w:bCs/>
          <w:sz w:val="30"/>
          <w:szCs w:val="30"/>
        </w:rPr>
        <w:t>年一批中文数据库</w:t>
      </w:r>
      <w:r>
        <w:rPr>
          <w:rFonts w:hint="eastAsia" w:ascii="宋体" w:hAnsi="宋体"/>
          <w:b/>
          <w:bCs/>
          <w:sz w:val="30"/>
          <w:szCs w:val="30"/>
          <w:lang w:val="en-US" w:eastAsia="zh-CN"/>
        </w:rPr>
        <w:t>续订</w:t>
      </w:r>
      <w:r>
        <w:rPr>
          <w:rFonts w:hint="eastAsia" w:ascii="宋体" w:hAnsi="宋体"/>
          <w:b/>
          <w:bCs/>
          <w:sz w:val="30"/>
          <w:szCs w:val="30"/>
        </w:rPr>
        <w:t>采购项目订购合同</w:t>
      </w:r>
    </w:p>
    <w:p w14:paraId="42B62A1E">
      <w:pPr>
        <w:pStyle w:val="9"/>
        <w:pageBreakBefore w:val="0"/>
        <w:widowControl w:val="0"/>
        <w:kinsoku/>
        <w:wordWrap/>
        <w:overflowPunct/>
        <w:topLinePunct w:val="0"/>
        <w:bidi w:val="0"/>
        <w:spacing w:line="440" w:lineRule="exact"/>
        <w:ind w:firstLine="480"/>
        <w:jc w:val="left"/>
        <w:rPr>
          <w:rFonts w:ascii="宋体"/>
        </w:rPr>
      </w:pPr>
      <w:r>
        <w:rPr>
          <w:rFonts w:hint="eastAsia" w:ascii="宋体" w:hAnsi="宋体"/>
        </w:rPr>
        <w:t>采购人（甲方）：</w:t>
      </w:r>
      <w:r>
        <w:rPr>
          <w:rFonts w:hint="eastAsia" w:ascii="宋体" w:hAnsi="宋体"/>
          <w:u w:val="single"/>
        </w:rPr>
        <w:t>陕西科技大学</w:t>
      </w:r>
    </w:p>
    <w:p w14:paraId="5B364BFF">
      <w:pPr>
        <w:pStyle w:val="9"/>
        <w:pageBreakBefore w:val="0"/>
        <w:widowControl w:val="0"/>
        <w:kinsoku/>
        <w:wordWrap/>
        <w:overflowPunct/>
        <w:topLinePunct w:val="0"/>
        <w:bidi w:val="0"/>
        <w:spacing w:line="440" w:lineRule="exact"/>
        <w:ind w:firstLine="480"/>
        <w:rPr>
          <w:rFonts w:ascii="宋体"/>
        </w:rPr>
      </w:pPr>
      <w:r>
        <w:rPr>
          <w:rFonts w:hint="eastAsia" w:ascii="宋体" w:hAnsi="宋体"/>
        </w:rPr>
        <w:t>供应商（乙方）：</w:t>
      </w:r>
    </w:p>
    <w:p w14:paraId="1DB20519">
      <w:pPr>
        <w:pageBreakBefore w:val="0"/>
        <w:widowControl w:val="0"/>
        <w:kinsoku/>
        <w:wordWrap/>
        <w:overflowPunct/>
        <w:topLinePunct w:val="0"/>
        <w:bidi w:val="0"/>
        <w:spacing w:line="440" w:lineRule="exact"/>
        <w:ind w:firstLine="480" w:firstLineChars="200"/>
        <w:rPr>
          <w:rFonts w:ascii="宋体"/>
          <w:sz w:val="24"/>
        </w:rPr>
      </w:pPr>
      <w:r>
        <w:rPr>
          <w:rFonts w:hint="eastAsia" w:ascii="宋体" w:hAnsi="宋体"/>
          <w:sz w:val="24"/>
        </w:rPr>
        <w:t>根据《中华人民共和国政府采购法》、《中华人民共和国民法典》就</w:t>
      </w:r>
      <w:r>
        <w:rPr>
          <w:rFonts w:hint="eastAsia" w:ascii="宋体" w:hAnsi="宋体"/>
          <w:sz w:val="24"/>
          <w:u w:val="single"/>
        </w:rPr>
        <w:t>陕西科技大学20</w:t>
      </w:r>
      <w:r>
        <w:rPr>
          <w:rFonts w:hint="eastAsia" w:ascii="宋体" w:hAnsi="宋体"/>
          <w:sz w:val="24"/>
          <w:u w:val="single"/>
          <w:lang w:val="en-US" w:eastAsia="zh-CN"/>
        </w:rPr>
        <w:t>24</w:t>
      </w:r>
      <w:r>
        <w:rPr>
          <w:rFonts w:hint="eastAsia" w:ascii="宋体" w:hAnsi="宋体"/>
          <w:sz w:val="24"/>
          <w:u w:val="single"/>
        </w:rPr>
        <w:t>年一批中文数据库</w:t>
      </w:r>
      <w:r>
        <w:rPr>
          <w:rFonts w:hint="eastAsia" w:ascii="宋体" w:hAnsi="宋体"/>
          <w:sz w:val="24"/>
          <w:u w:val="single"/>
          <w:lang w:val="en-US" w:eastAsia="zh-CN"/>
        </w:rPr>
        <w:t>续订</w:t>
      </w:r>
      <w:r>
        <w:rPr>
          <w:rFonts w:hint="eastAsia" w:ascii="宋体" w:hAnsi="宋体"/>
          <w:sz w:val="24"/>
          <w:u w:val="single"/>
        </w:rPr>
        <w:t>采购项目</w:t>
      </w:r>
      <w:r>
        <w:rPr>
          <w:rFonts w:hint="eastAsia" w:ascii="宋体" w:hAnsi="宋体"/>
          <w:sz w:val="24"/>
        </w:rPr>
        <w:t>（项目编号：</w:t>
      </w:r>
      <w:r>
        <w:rPr>
          <w:rFonts w:hint="eastAsia"/>
          <w:sz w:val="24"/>
          <w:szCs w:val="32"/>
          <w:lang w:val="en-US" w:eastAsia="zh-CN"/>
        </w:rPr>
        <w:t xml:space="preserve">      </w:t>
      </w:r>
      <w:r>
        <w:rPr>
          <w:rFonts w:hint="eastAsia" w:ascii="宋体" w:hAnsi="宋体"/>
          <w:sz w:val="24"/>
        </w:rPr>
        <w:t>）的《单一来源谈判文件》、乙方的《投标文件》及《成交通知书》，甲、乙双方同意签订本</w:t>
      </w:r>
      <w:bookmarkStart w:id="0" w:name="_GoBack"/>
      <w:bookmarkEnd w:id="0"/>
      <w:r>
        <w:rPr>
          <w:rFonts w:hint="eastAsia" w:ascii="宋体" w:hAnsi="宋体"/>
          <w:sz w:val="24"/>
        </w:rPr>
        <w:t>合同。详细技术说明及其他有关合同项目的特定信息由合同附件予以说明，合同附件及本项目的单一来源谈判文件、投标文件、《成交通知书》等均为本合同不可分割的部分。双方同意共同遵守如下条款：</w:t>
      </w:r>
    </w:p>
    <w:p w14:paraId="3F13F045">
      <w:pPr>
        <w:pStyle w:val="3"/>
        <w:pageBreakBefore w:val="0"/>
        <w:widowControl w:val="0"/>
        <w:numPr>
          <w:ilvl w:val="1"/>
          <w:numId w:val="0"/>
        </w:numPr>
        <w:kinsoku/>
        <w:wordWrap/>
        <w:overflowPunct/>
        <w:topLinePunct w:val="0"/>
        <w:bidi w:val="0"/>
        <w:spacing w:line="440" w:lineRule="exact"/>
        <w:jc w:val="left"/>
        <w:rPr>
          <w:rFonts w:ascii="黑体" w:hAnsi="宋体"/>
          <w:sz w:val="24"/>
          <w:szCs w:val="24"/>
        </w:rPr>
      </w:pPr>
      <w:r>
        <w:rPr>
          <w:rFonts w:hint="eastAsia" w:ascii="黑体" w:hAnsi="宋体"/>
          <w:sz w:val="24"/>
          <w:szCs w:val="24"/>
        </w:rPr>
        <w:t xml:space="preserve">一、合同名称 </w:t>
      </w:r>
      <w:r>
        <w:rPr>
          <w:rFonts w:hint="eastAsia" w:ascii="黑体" w:hAnsi="宋体"/>
          <w:sz w:val="24"/>
          <w:szCs w:val="24"/>
          <w:lang w:val="en-US" w:eastAsia="zh-CN"/>
        </w:rPr>
        <w:t xml:space="preserve">           </w:t>
      </w:r>
      <w:r>
        <w:rPr>
          <w:rFonts w:hint="eastAsia" w:ascii="黑体" w:hAnsi="宋体"/>
          <w:sz w:val="24"/>
          <w:szCs w:val="24"/>
        </w:rPr>
        <w:t>包号</w:t>
      </w:r>
      <w:r>
        <w:rPr>
          <w:rFonts w:hint="eastAsia" w:ascii="黑体" w:hAnsi="宋体"/>
          <w:sz w:val="24"/>
          <w:szCs w:val="24"/>
          <w:highlight w:val="green"/>
        </w:rPr>
        <w:t>：</w:t>
      </w:r>
      <w:r>
        <w:rPr>
          <w:rFonts w:hint="eastAsia" w:ascii="黑体" w:hAnsi="宋体"/>
          <w:sz w:val="24"/>
          <w:szCs w:val="24"/>
          <w:highlight w:val="green"/>
          <w:lang w:val="en-US" w:eastAsia="zh-CN"/>
        </w:rPr>
        <w:t xml:space="preserve">   </w:t>
      </w:r>
      <w:r>
        <w:rPr>
          <w:rFonts w:hint="eastAsia" w:ascii="黑体" w:hAnsi="宋体"/>
          <w:sz w:val="24"/>
          <w:szCs w:val="24"/>
          <w:highlight w:val="green"/>
        </w:rPr>
        <w:t xml:space="preserve">包  </w:t>
      </w:r>
      <w:r>
        <w:rPr>
          <w:rFonts w:hint="eastAsia" w:ascii="黑体" w:hAnsi="宋体"/>
          <w:sz w:val="24"/>
          <w:szCs w:val="24"/>
          <w:lang w:val="en-US" w:eastAsia="zh-CN"/>
        </w:rPr>
        <w:t xml:space="preserve">           </w:t>
      </w:r>
      <w:r>
        <w:rPr>
          <w:rFonts w:hint="eastAsia" w:ascii="黑体" w:hAnsi="宋体"/>
          <w:sz w:val="24"/>
          <w:szCs w:val="24"/>
        </w:rPr>
        <w:t>单位：元</w:t>
      </w:r>
    </w:p>
    <w:tbl>
      <w:tblPr>
        <w:tblStyle w:val="7"/>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3213"/>
        <w:gridCol w:w="2457"/>
        <w:gridCol w:w="2679"/>
        <w:gridCol w:w="732"/>
      </w:tblGrid>
      <w:tr w14:paraId="1027C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75" w:type="dxa"/>
            <w:noWrap/>
            <w:vAlign w:val="center"/>
          </w:tcPr>
          <w:p w14:paraId="71DDF5BD">
            <w:pPr>
              <w:pStyle w:val="9"/>
              <w:pageBreakBefore w:val="0"/>
              <w:widowControl w:val="0"/>
              <w:kinsoku/>
              <w:wordWrap/>
              <w:overflowPunct/>
              <w:topLinePunct w:val="0"/>
              <w:bidi w:val="0"/>
              <w:spacing w:line="440" w:lineRule="exact"/>
              <w:ind w:firstLine="0" w:firstLineChars="0"/>
              <w:jc w:val="center"/>
              <w:rPr>
                <w:rFonts w:ascii="宋体"/>
              </w:rPr>
            </w:pPr>
            <w:r>
              <w:rPr>
                <w:rFonts w:hint="eastAsia" w:ascii="宋体" w:hAnsi="宋体"/>
              </w:rPr>
              <w:t>序号</w:t>
            </w:r>
          </w:p>
        </w:tc>
        <w:tc>
          <w:tcPr>
            <w:tcW w:w="3213" w:type="dxa"/>
            <w:noWrap/>
            <w:vAlign w:val="center"/>
          </w:tcPr>
          <w:p w14:paraId="05102A74">
            <w:pPr>
              <w:pStyle w:val="9"/>
              <w:pageBreakBefore w:val="0"/>
              <w:widowControl w:val="0"/>
              <w:kinsoku/>
              <w:wordWrap/>
              <w:overflowPunct/>
              <w:topLinePunct w:val="0"/>
              <w:bidi w:val="0"/>
              <w:spacing w:line="440" w:lineRule="exact"/>
              <w:ind w:firstLine="0" w:firstLineChars="0"/>
              <w:jc w:val="center"/>
              <w:rPr>
                <w:rFonts w:ascii="宋体"/>
              </w:rPr>
            </w:pPr>
            <w:r>
              <w:rPr>
                <w:rFonts w:hint="eastAsia" w:ascii="宋体" w:hAnsi="宋体"/>
              </w:rPr>
              <w:t>数据库名称</w:t>
            </w:r>
          </w:p>
        </w:tc>
        <w:tc>
          <w:tcPr>
            <w:tcW w:w="2457" w:type="dxa"/>
            <w:noWrap/>
            <w:vAlign w:val="center"/>
          </w:tcPr>
          <w:p w14:paraId="46AD6433">
            <w:pPr>
              <w:pStyle w:val="9"/>
              <w:pageBreakBefore w:val="0"/>
              <w:widowControl w:val="0"/>
              <w:kinsoku/>
              <w:wordWrap/>
              <w:overflowPunct/>
              <w:topLinePunct w:val="0"/>
              <w:bidi w:val="0"/>
              <w:spacing w:line="440" w:lineRule="exact"/>
              <w:ind w:firstLine="0" w:firstLineChars="0"/>
              <w:jc w:val="center"/>
              <w:rPr>
                <w:rFonts w:ascii="宋体"/>
              </w:rPr>
            </w:pPr>
            <w:r>
              <w:rPr>
                <w:rFonts w:hint="eastAsia" w:ascii="宋体" w:hAnsi="宋体"/>
              </w:rPr>
              <w:t>价格（元）</w:t>
            </w:r>
          </w:p>
        </w:tc>
        <w:tc>
          <w:tcPr>
            <w:tcW w:w="2679" w:type="dxa"/>
            <w:noWrap/>
            <w:vAlign w:val="center"/>
          </w:tcPr>
          <w:p w14:paraId="6CE2FFE0">
            <w:pPr>
              <w:pStyle w:val="9"/>
              <w:pageBreakBefore w:val="0"/>
              <w:widowControl w:val="0"/>
              <w:kinsoku/>
              <w:wordWrap/>
              <w:overflowPunct/>
              <w:topLinePunct w:val="0"/>
              <w:bidi w:val="0"/>
              <w:spacing w:line="440" w:lineRule="exact"/>
              <w:ind w:firstLine="480"/>
              <w:jc w:val="center"/>
              <w:rPr>
                <w:rFonts w:ascii="宋体"/>
              </w:rPr>
            </w:pPr>
            <w:r>
              <w:rPr>
                <w:rFonts w:hint="eastAsia" w:ascii="宋体" w:hAnsi="宋体"/>
              </w:rPr>
              <w:t>服务日期</w:t>
            </w:r>
          </w:p>
        </w:tc>
        <w:tc>
          <w:tcPr>
            <w:tcW w:w="732" w:type="dxa"/>
            <w:noWrap/>
            <w:vAlign w:val="center"/>
          </w:tcPr>
          <w:p w14:paraId="5E320CD9">
            <w:pPr>
              <w:pStyle w:val="9"/>
              <w:pageBreakBefore w:val="0"/>
              <w:widowControl w:val="0"/>
              <w:kinsoku/>
              <w:wordWrap/>
              <w:overflowPunct/>
              <w:topLinePunct w:val="0"/>
              <w:bidi w:val="0"/>
              <w:spacing w:line="440" w:lineRule="exact"/>
              <w:ind w:firstLine="0" w:firstLineChars="0"/>
              <w:rPr>
                <w:rFonts w:ascii="宋体"/>
              </w:rPr>
            </w:pPr>
            <w:r>
              <w:rPr>
                <w:rFonts w:hint="eastAsia" w:ascii="宋体" w:hAnsi="宋体"/>
              </w:rPr>
              <w:t>备注</w:t>
            </w:r>
          </w:p>
        </w:tc>
      </w:tr>
      <w:tr w14:paraId="30461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75" w:type="dxa"/>
            <w:noWrap/>
            <w:vAlign w:val="center"/>
          </w:tcPr>
          <w:p w14:paraId="768C3147">
            <w:pPr>
              <w:pStyle w:val="9"/>
              <w:pageBreakBefore w:val="0"/>
              <w:widowControl w:val="0"/>
              <w:kinsoku/>
              <w:wordWrap/>
              <w:overflowPunct/>
              <w:topLinePunct w:val="0"/>
              <w:bidi w:val="0"/>
              <w:spacing w:line="440" w:lineRule="exact"/>
              <w:ind w:firstLine="0" w:firstLineChars="0"/>
              <w:jc w:val="center"/>
              <w:rPr>
                <w:rFonts w:ascii="宋体" w:hAnsi="宋体"/>
              </w:rPr>
            </w:pPr>
            <w:r>
              <w:rPr>
                <w:rFonts w:hint="eastAsia" w:ascii="宋体" w:hAnsi="宋体"/>
              </w:rPr>
              <w:t>1</w:t>
            </w:r>
          </w:p>
        </w:tc>
        <w:tc>
          <w:tcPr>
            <w:tcW w:w="3213" w:type="dxa"/>
            <w:noWrap/>
            <w:vAlign w:val="center"/>
          </w:tcPr>
          <w:p w14:paraId="1420EB27">
            <w:pPr>
              <w:pageBreakBefore w:val="0"/>
              <w:widowControl w:val="0"/>
              <w:kinsoku/>
              <w:wordWrap/>
              <w:overflowPunct/>
              <w:topLinePunct w:val="0"/>
              <w:autoSpaceDE w:val="0"/>
              <w:bidi w:val="0"/>
              <w:spacing w:line="440" w:lineRule="exact"/>
              <w:jc w:val="center"/>
              <w:rPr>
                <w:rFonts w:ascii="宋体" w:hAnsi="宋体" w:cs="宋体"/>
                <w:sz w:val="24"/>
              </w:rPr>
            </w:pPr>
          </w:p>
        </w:tc>
        <w:tc>
          <w:tcPr>
            <w:tcW w:w="2457" w:type="dxa"/>
            <w:noWrap/>
            <w:vAlign w:val="center"/>
          </w:tcPr>
          <w:p w14:paraId="0543FAC8">
            <w:pPr>
              <w:pageBreakBefore w:val="0"/>
              <w:widowControl w:val="0"/>
              <w:kinsoku/>
              <w:wordWrap/>
              <w:overflowPunct/>
              <w:topLinePunct w:val="0"/>
              <w:autoSpaceDN w:val="0"/>
              <w:bidi w:val="0"/>
              <w:spacing w:line="440" w:lineRule="exact"/>
              <w:jc w:val="center"/>
              <w:textAlignment w:val="center"/>
              <w:rPr>
                <w:rFonts w:ascii="宋体" w:hAnsi="宋体"/>
              </w:rPr>
            </w:pPr>
          </w:p>
        </w:tc>
        <w:tc>
          <w:tcPr>
            <w:tcW w:w="2679" w:type="dxa"/>
            <w:noWrap/>
            <w:vAlign w:val="center"/>
          </w:tcPr>
          <w:p w14:paraId="052C4106">
            <w:pPr>
              <w:pStyle w:val="9"/>
              <w:pageBreakBefore w:val="0"/>
              <w:widowControl w:val="0"/>
              <w:kinsoku/>
              <w:wordWrap/>
              <w:overflowPunct/>
              <w:topLinePunct w:val="0"/>
              <w:bidi w:val="0"/>
              <w:spacing w:line="440" w:lineRule="exact"/>
              <w:ind w:firstLine="0" w:firstLineChars="0"/>
              <w:jc w:val="center"/>
              <w:rPr>
                <w:rFonts w:hint="eastAsia" w:ascii="宋体" w:hAnsi="宋体"/>
              </w:rPr>
            </w:pPr>
            <w:r>
              <w:rPr>
                <w:rFonts w:hint="eastAsia" w:ascii="宋体" w:hAnsi="宋体"/>
              </w:rPr>
              <w:t>202</w:t>
            </w:r>
            <w:r>
              <w:rPr>
                <w:rFonts w:hint="eastAsia" w:ascii="宋体" w:hAnsi="宋体"/>
                <w:lang w:val="en-US" w:eastAsia="zh-CN"/>
              </w:rPr>
              <w:t>5</w:t>
            </w:r>
            <w:r>
              <w:rPr>
                <w:rFonts w:hint="eastAsia" w:ascii="宋体" w:hAnsi="宋体"/>
              </w:rPr>
              <w:t>年1月1日</w:t>
            </w:r>
          </w:p>
          <w:p w14:paraId="0DBB5768">
            <w:pPr>
              <w:pStyle w:val="9"/>
              <w:pageBreakBefore w:val="0"/>
              <w:widowControl w:val="0"/>
              <w:kinsoku/>
              <w:wordWrap/>
              <w:overflowPunct/>
              <w:topLinePunct w:val="0"/>
              <w:bidi w:val="0"/>
              <w:spacing w:line="440" w:lineRule="exact"/>
              <w:ind w:firstLine="0" w:firstLineChars="0"/>
              <w:jc w:val="center"/>
              <w:rPr>
                <w:rFonts w:ascii="宋体" w:hAnsi="宋体"/>
              </w:rPr>
            </w:pPr>
            <w:r>
              <w:rPr>
                <w:rFonts w:hint="eastAsia" w:ascii="宋体" w:hAnsi="宋体"/>
              </w:rPr>
              <w:t>-202</w:t>
            </w:r>
            <w:r>
              <w:rPr>
                <w:rFonts w:hint="eastAsia" w:ascii="宋体" w:hAnsi="宋体"/>
                <w:lang w:val="en-US" w:eastAsia="zh-CN"/>
              </w:rPr>
              <w:t>5</w:t>
            </w:r>
            <w:r>
              <w:rPr>
                <w:rFonts w:hint="eastAsia" w:ascii="宋体" w:hAnsi="宋体"/>
              </w:rPr>
              <w:t>年12月31日</w:t>
            </w:r>
          </w:p>
        </w:tc>
        <w:tc>
          <w:tcPr>
            <w:tcW w:w="732" w:type="dxa"/>
            <w:noWrap/>
            <w:vAlign w:val="center"/>
          </w:tcPr>
          <w:p w14:paraId="1DF52E3E">
            <w:pPr>
              <w:pStyle w:val="9"/>
              <w:pageBreakBefore w:val="0"/>
              <w:widowControl w:val="0"/>
              <w:kinsoku/>
              <w:wordWrap/>
              <w:overflowPunct/>
              <w:topLinePunct w:val="0"/>
              <w:bidi w:val="0"/>
              <w:spacing w:line="440" w:lineRule="exact"/>
              <w:ind w:firstLine="480"/>
              <w:rPr>
                <w:rFonts w:ascii="宋体"/>
              </w:rPr>
            </w:pPr>
          </w:p>
        </w:tc>
      </w:tr>
      <w:tr w14:paraId="6D80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75" w:type="dxa"/>
            <w:noWrap/>
            <w:vAlign w:val="center"/>
          </w:tcPr>
          <w:p w14:paraId="257427CC">
            <w:pPr>
              <w:pStyle w:val="9"/>
              <w:pageBreakBefore w:val="0"/>
              <w:widowControl w:val="0"/>
              <w:kinsoku/>
              <w:wordWrap/>
              <w:overflowPunct/>
              <w:topLinePunct w:val="0"/>
              <w:bidi w:val="0"/>
              <w:spacing w:line="440" w:lineRule="exact"/>
              <w:ind w:firstLine="0" w:firstLineChars="0"/>
              <w:jc w:val="center"/>
              <w:rPr>
                <w:rFonts w:ascii="宋体" w:hAnsi="宋体"/>
              </w:rPr>
            </w:pPr>
            <w:r>
              <w:rPr>
                <w:rFonts w:hint="eastAsia" w:ascii="宋体" w:hAnsi="宋体"/>
              </w:rPr>
              <w:t>2</w:t>
            </w:r>
          </w:p>
        </w:tc>
        <w:tc>
          <w:tcPr>
            <w:tcW w:w="3213" w:type="dxa"/>
            <w:noWrap/>
            <w:vAlign w:val="center"/>
          </w:tcPr>
          <w:p w14:paraId="4EBE06FF">
            <w:pPr>
              <w:pageBreakBefore w:val="0"/>
              <w:widowControl w:val="0"/>
              <w:kinsoku/>
              <w:wordWrap/>
              <w:overflowPunct/>
              <w:topLinePunct w:val="0"/>
              <w:bidi w:val="0"/>
              <w:spacing w:beforeLines="50" w:line="440" w:lineRule="exact"/>
              <w:jc w:val="center"/>
              <w:rPr>
                <w:rFonts w:ascii="宋体"/>
              </w:rPr>
            </w:pPr>
          </w:p>
        </w:tc>
        <w:tc>
          <w:tcPr>
            <w:tcW w:w="2457" w:type="dxa"/>
            <w:noWrap/>
            <w:vAlign w:val="center"/>
          </w:tcPr>
          <w:p w14:paraId="308C96DB">
            <w:pPr>
              <w:pageBreakBefore w:val="0"/>
              <w:widowControl w:val="0"/>
              <w:kinsoku/>
              <w:wordWrap/>
              <w:overflowPunct/>
              <w:topLinePunct w:val="0"/>
              <w:autoSpaceDN w:val="0"/>
              <w:bidi w:val="0"/>
              <w:spacing w:line="440" w:lineRule="exact"/>
              <w:jc w:val="center"/>
              <w:textAlignment w:val="center"/>
              <w:rPr>
                <w:rFonts w:ascii="宋体" w:hAnsi="宋体"/>
              </w:rPr>
            </w:pPr>
          </w:p>
        </w:tc>
        <w:tc>
          <w:tcPr>
            <w:tcW w:w="2679" w:type="dxa"/>
            <w:noWrap/>
            <w:vAlign w:val="center"/>
          </w:tcPr>
          <w:p w14:paraId="5347C08D">
            <w:pPr>
              <w:pageBreakBefore w:val="0"/>
              <w:widowControl w:val="0"/>
              <w:kinsoku/>
              <w:wordWrap/>
              <w:overflowPunct/>
              <w:topLinePunct w:val="0"/>
              <w:bidi w:val="0"/>
              <w:spacing w:line="440" w:lineRule="exact"/>
              <w:jc w:val="center"/>
              <w:rPr>
                <w:rFonts w:ascii="宋体" w:hAnsi="宋体" w:cs="宋体"/>
                <w:szCs w:val="21"/>
              </w:rPr>
            </w:pPr>
          </w:p>
        </w:tc>
        <w:tc>
          <w:tcPr>
            <w:tcW w:w="732" w:type="dxa"/>
            <w:noWrap/>
            <w:vAlign w:val="center"/>
          </w:tcPr>
          <w:p w14:paraId="536A29A1">
            <w:pPr>
              <w:pStyle w:val="9"/>
              <w:pageBreakBefore w:val="0"/>
              <w:widowControl w:val="0"/>
              <w:kinsoku/>
              <w:wordWrap/>
              <w:overflowPunct/>
              <w:topLinePunct w:val="0"/>
              <w:bidi w:val="0"/>
              <w:spacing w:line="440" w:lineRule="exact"/>
              <w:ind w:firstLine="420"/>
              <w:rPr>
                <w:rFonts w:ascii="宋体" w:hAnsi="宋体"/>
                <w:sz w:val="21"/>
                <w:szCs w:val="21"/>
              </w:rPr>
            </w:pPr>
          </w:p>
        </w:tc>
      </w:tr>
      <w:tr w14:paraId="4B8E3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75" w:type="dxa"/>
            <w:noWrap/>
            <w:vAlign w:val="center"/>
          </w:tcPr>
          <w:p w14:paraId="60426AFC">
            <w:pPr>
              <w:pStyle w:val="9"/>
              <w:pageBreakBefore w:val="0"/>
              <w:widowControl w:val="0"/>
              <w:kinsoku/>
              <w:wordWrap/>
              <w:overflowPunct/>
              <w:topLinePunct w:val="0"/>
              <w:bidi w:val="0"/>
              <w:spacing w:line="440" w:lineRule="exact"/>
              <w:ind w:firstLine="0" w:firstLineChars="0"/>
              <w:jc w:val="center"/>
              <w:rPr>
                <w:rFonts w:ascii="宋体" w:hAnsi="宋体"/>
              </w:rPr>
            </w:pPr>
            <w:r>
              <w:rPr>
                <w:rFonts w:hint="eastAsia" w:ascii="宋体" w:hAnsi="宋体"/>
              </w:rPr>
              <w:t>3</w:t>
            </w:r>
          </w:p>
        </w:tc>
        <w:tc>
          <w:tcPr>
            <w:tcW w:w="3213" w:type="dxa"/>
            <w:noWrap/>
            <w:vAlign w:val="center"/>
          </w:tcPr>
          <w:p w14:paraId="357764E4">
            <w:pPr>
              <w:pageBreakBefore w:val="0"/>
              <w:widowControl w:val="0"/>
              <w:kinsoku/>
              <w:wordWrap/>
              <w:overflowPunct/>
              <w:topLinePunct w:val="0"/>
              <w:bidi w:val="0"/>
              <w:spacing w:beforeLines="50" w:line="440" w:lineRule="exact"/>
              <w:jc w:val="center"/>
              <w:rPr>
                <w:b/>
                <w:bCs/>
              </w:rPr>
            </w:pPr>
          </w:p>
        </w:tc>
        <w:tc>
          <w:tcPr>
            <w:tcW w:w="2457" w:type="dxa"/>
            <w:noWrap/>
            <w:vAlign w:val="center"/>
          </w:tcPr>
          <w:p w14:paraId="77C30AFD">
            <w:pPr>
              <w:pageBreakBefore w:val="0"/>
              <w:widowControl w:val="0"/>
              <w:kinsoku/>
              <w:wordWrap/>
              <w:overflowPunct/>
              <w:topLinePunct w:val="0"/>
              <w:autoSpaceDN w:val="0"/>
              <w:bidi w:val="0"/>
              <w:spacing w:line="440" w:lineRule="exact"/>
              <w:jc w:val="center"/>
              <w:textAlignment w:val="center"/>
              <w:rPr>
                <w:rFonts w:ascii="宋体" w:hAnsi="宋体"/>
              </w:rPr>
            </w:pPr>
          </w:p>
        </w:tc>
        <w:tc>
          <w:tcPr>
            <w:tcW w:w="2679" w:type="dxa"/>
            <w:noWrap/>
            <w:vAlign w:val="center"/>
          </w:tcPr>
          <w:p w14:paraId="3FAB995C">
            <w:pPr>
              <w:pageBreakBefore w:val="0"/>
              <w:widowControl w:val="0"/>
              <w:kinsoku/>
              <w:wordWrap/>
              <w:overflowPunct/>
              <w:topLinePunct w:val="0"/>
              <w:bidi w:val="0"/>
              <w:spacing w:line="440" w:lineRule="exact"/>
              <w:jc w:val="center"/>
              <w:rPr>
                <w:rFonts w:ascii="宋体" w:hAnsi="宋体" w:cs="宋体"/>
                <w:szCs w:val="21"/>
              </w:rPr>
            </w:pPr>
          </w:p>
        </w:tc>
        <w:tc>
          <w:tcPr>
            <w:tcW w:w="732" w:type="dxa"/>
            <w:noWrap/>
            <w:vAlign w:val="center"/>
          </w:tcPr>
          <w:p w14:paraId="396C2115">
            <w:pPr>
              <w:pageBreakBefore w:val="0"/>
              <w:widowControl w:val="0"/>
              <w:kinsoku/>
              <w:wordWrap/>
              <w:overflowPunct/>
              <w:topLinePunct w:val="0"/>
              <w:bidi w:val="0"/>
              <w:spacing w:line="440" w:lineRule="exact"/>
              <w:jc w:val="center"/>
              <w:rPr>
                <w:rFonts w:ascii="宋体" w:hAnsi="宋体" w:cs="宋体"/>
                <w:szCs w:val="21"/>
              </w:rPr>
            </w:pPr>
          </w:p>
        </w:tc>
      </w:tr>
      <w:tr w14:paraId="7511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75" w:type="dxa"/>
            <w:noWrap/>
          </w:tcPr>
          <w:p w14:paraId="47B9DB32">
            <w:pPr>
              <w:pStyle w:val="9"/>
              <w:pageBreakBefore w:val="0"/>
              <w:widowControl w:val="0"/>
              <w:kinsoku/>
              <w:wordWrap/>
              <w:overflowPunct/>
              <w:topLinePunct w:val="0"/>
              <w:bidi w:val="0"/>
              <w:spacing w:line="440" w:lineRule="exact"/>
              <w:ind w:firstLine="0" w:firstLineChars="0"/>
              <w:rPr>
                <w:rFonts w:ascii="宋体"/>
              </w:rPr>
            </w:pPr>
            <w:r>
              <w:rPr>
                <w:rFonts w:hint="eastAsia" w:ascii="宋体" w:hAnsi="宋体"/>
              </w:rPr>
              <w:t>共计</w:t>
            </w:r>
          </w:p>
        </w:tc>
        <w:tc>
          <w:tcPr>
            <w:tcW w:w="9081" w:type="dxa"/>
            <w:gridSpan w:val="4"/>
            <w:noWrap/>
            <w:vAlign w:val="center"/>
          </w:tcPr>
          <w:p w14:paraId="00E37AC9">
            <w:pPr>
              <w:pStyle w:val="9"/>
              <w:pageBreakBefore w:val="0"/>
              <w:widowControl w:val="0"/>
              <w:kinsoku/>
              <w:wordWrap/>
              <w:overflowPunct/>
              <w:topLinePunct w:val="0"/>
              <w:bidi w:val="0"/>
              <w:spacing w:line="440" w:lineRule="exact"/>
              <w:ind w:firstLine="0" w:firstLineChars="0"/>
              <w:jc w:val="left"/>
              <w:rPr>
                <w:rFonts w:ascii="宋体"/>
              </w:rPr>
            </w:pPr>
            <w:r>
              <w:rPr>
                <w:rFonts w:hint="eastAsia" w:ascii="宋体" w:hAnsi="宋体"/>
              </w:rPr>
              <w:t>人民币（大写）：元整 （</w:t>
            </w:r>
            <w:r>
              <w:rPr>
                <w:rFonts w:hint="eastAsia" w:ascii="宋体" w:hAnsi="宋体"/>
                <w:lang w:val="en-US" w:eastAsia="zh-CN"/>
              </w:rPr>
              <w:t>小</w:t>
            </w:r>
            <w:r>
              <w:rPr>
                <w:rFonts w:hint="eastAsia" w:ascii="宋体" w:hAnsi="宋体"/>
              </w:rPr>
              <w:t>写）</w:t>
            </w:r>
            <w:r>
              <w:rPr>
                <w:rFonts w:hint="eastAsia" w:ascii="宋体" w:hAnsi="宋体"/>
                <w:u w:val="single"/>
              </w:rPr>
              <w:t>￥</w:t>
            </w:r>
            <w:r>
              <w:rPr>
                <w:rFonts w:hint="eastAsia" w:ascii="宋体" w:hAnsi="宋体"/>
                <w:u w:val="single"/>
                <w:lang w:val="en-US" w:eastAsia="zh-CN"/>
              </w:rPr>
              <w:t xml:space="preserve">    .00</w:t>
            </w:r>
            <w:r>
              <w:rPr>
                <w:rFonts w:hint="eastAsia" w:ascii="宋体" w:hAnsi="宋体"/>
                <w:u w:val="single"/>
              </w:rPr>
              <w:t xml:space="preserve">元 </w:t>
            </w:r>
          </w:p>
        </w:tc>
      </w:tr>
    </w:tbl>
    <w:p w14:paraId="3C83AE24">
      <w:pPr>
        <w:pStyle w:val="3"/>
        <w:pageBreakBefore w:val="0"/>
        <w:widowControl w:val="0"/>
        <w:numPr>
          <w:ilvl w:val="1"/>
          <w:numId w:val="0"/>
        </w:numPr>
        <w:kinsoku/>
        <w:wordWrap/>
        <w:overflowPunct/>
        <w:topLinePunct w:val="0"/>
        <w:bidi w:val="0"/>
        <w:spacing w:line="440" w:lineRule="exact"/>
        <w:jc w:val="both"/>
        <w:rPr>
          <w:rFonts w:ascii="黑体" w:hAnsi="宋体"/>
          <w:sz w:val="24"/>
          <w:szCs w:val="24"/>
        </w:rPr>
      </w:pPr>
      <w:r>
        <w:rPr>
          <w:rFonts w:hint="eastAsia" w:ascii="黑体" w:hAnsi="宋体"/>
          <w:sz w:val="24"/>
          <w:szCs w:val="24"/>
        </w:rPr>
        <w:t>二、合同价格</w:t>
      </w:r>
    </w:p>
    <w:p w14:paraId="2BEE949C">
      <w:pPr>
        <w:pStyle w:val="9"/>
        <w:pageBreakBefore w:val="0"/>
        <w:widowControl w:val="0"/>
        <w:kinsoku/>
        <w:wordWrap/>
        <w:overflowPunct/>
        <w:topLinePunct w:val="0"/>
        <w:bidi w:val="0"/>
        <w:spacing w:line="440" w:lineRule="exact"/>
        <w:ind w:firstLine="480"/>
        <w:rPr>
          <w:rFonts w:ascii="宋体"/>
        </w:rPr>
      </w:pPr>
      <w:r>
        <w:rPr>
          <w:rFonts w:hint="eastAsia" w:ascii="宋体" w:hAnsi="宋体"/>
        </w:rPr>
        <w:t>合同价格为人民币大写：</w:t>
      </w:r>
      <w:r>
        <w:rPr>
          <w:rFonts w:hint="eastAsia" w:ascii="宋体" w:hAnsi="宋体"/>
          <w:u w:val="single"/>
        </w:rPr>
        <w:t>元整，即</w:t>
      </w:r>
      <w:r>
        <w:rPr>
          <w:rFonts w:ascii="宋体" w:hAnsi="宋体"/>
          <w:u w:val="single"/>
        </w:rPr>
        <w:t>RMB</w:t>
      </w:r>
      <w:r>
        <w:rPr>
          <w:rFonts w:hint="eastAsia" w:ascii="宋体" w:hAnsi="宋体"/>
          <w:u w:val="single"/>
        </w:rPr>
        <w:t>￥</w:t>
      </w:r>
      <w:r>
        <w:rPr>
          <w:rFonts w:hint="eastAsia" w:ascii="宋体" w:hAnsi="宋体"/>
          <w:u w:val="single"/>
          <w:lang w:val="en-US" w:eastAsia="zh-CN"/>
        </w:rPr>
        <w:t xml:space="preserve">    </w:t>
      </w:r>
      <w:r>
        <w:rPr>
          <w:rFonts w:ascii="宋体" w:hAnsi="宋体"/>
          <w:u w:val="single"/>
        </w:rPr>
        <w:t>.00</w:t>
      </w:r>
      <w:r>
        <w:rPr>
          <w:rFonts w:hint="eastAsia" w:ascii="宋体" w:hAnsi="宋体"/>
          <w:u w:val="single"/>
        </w:rPr>
        <w:t>元</w:t>
      </w:r>
      <w:r>
        <w:rPr>
          <w:rFonts w:hint="eastAsia" w:ascii="宋体" w:hAnsi="宋体"/>
        </w:rPr>
        <w:t>；该合同价格已包括产品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p>
    <w:p w14:paraId="49A337F2">
      <w:pPr>
        <w:pStyle w:val="3"/>
        <w:pageBreakBefore w:val="0"/>
        <w:widowControl w:val="0"/>
        <w:numPr>
          <w:ilvl w:val="1"/>
          <w:numId w:val="0"/>
        </w:numPr>
        <w:kinsoku/>
        <w:wordWrap/>
        <w:overflowPunct/>
        <w:topLinePunct w:val="0"/>
        <w:bidi w:val="0"/>
        <w:spacing w:line="440" w:lineRule="exact"/>
        <w:jc w:val="both"/>
        <w:rPr>
          <w:rFonts w:ascii="黑体" w:hAnsi="宋体"/>
          <w:sz w:val="24"/>
          <w:szCs w:val="24"/>
        </w:rPr>
      </w:pPr>
      <w:r>
        <w:rPr>
          <w:rFonts w:hint="eastAsia" w:ascii="黑体" w:hAnsi="宋体"/>
          <w:sz w:val="24"/>
          <w:szCs w:val="24"/>
        </w:rPr>
        <w:t>三、正式访问开通及交货验收</w:t>
      </w:r>
    </w:p>
    <w:p w14:paraId="1DE75C0C">
      <w:pPr>
        <w:pStyle w:val="9"/>
        <w:pageBreakBefore w:val="0"/>
        <w:widowControl w:val="0"/>
        <w:kinsoku/>
        <w:wordWrap/>
        <w:overflowPunct/>
        <w:topLinePunct w:val="0"/>
        <w:bidi w:val="0"/>
        <w:spacing w:line="440" w:lineRule="exact"/>
        <w:ind w:firstLine="0" w:firstLineChars="0"/>
      </w:pPr>
      <w:r>
        <w:rPr>
          <w:rFonts w:ascii="宋体" w:hAnsi="宋体"/>
          <w:b/>
          <w:bCs/>
        </w:rPr>
        <w:t>3.1</w:t>
      </w:r>
      <w:r>
        <w:rPr>
          <w:rFonts w:hint="eastAsia" w:ascii="宋体" w:hAnsi="宋体"/>
          <w:b/>
          <w:bCs/>
        </w:rPr>
        <w:t>开通时间：</w:t>
      </w:r>
      <w:r>
        <w:rPr>
          <w:rFonts w:hint="eastAsia" w:ascii="宋体" w:hAnsi="宋体"/>
        </w:rPr>
        <w:t>正式访问开通日期为合同签订后5日历日内正式开通并能正常使用。</w:t>
      </w:r>
    </w:p>
    <w:p w14:paraId="43C15AE2">
      <w:pPr>
        <w:pStyle w:val="9"/>
        <w:pageBreakBefore w:val="0"/>
        <w:widowControl w:val="0"/>
        <w:kinsoku/>
        <w:wordWrap/>
        <w:overflowPunct/>
        <w:topLinePunct w:val="0"/>
        <w:bidi w:val="0"/>
        <w:spacing w:line="440" w:lineRule="exact"/>
        <w:ind w:firstLine="0" w:firstLineChars="0"/>
        <w:rPr>
          <w:rFonts w:ascii="宋体"/>
        </w:rPr>
      </w:pPr>
      <w:r>
        <w:rPr>
          <w:rFonts w:ascii="宋体" w:hAnsi="宋体"/>
          <w:b/>
          <w:bCs/>
        </w:rPr>
        <w:t>3.2</w:t>
      </w:r>
      <w:r>
        <w:rPr>
          <w:rFonts w:hint="eastAsia" w:ascii="宋体" w:hAnsi="宋体"/>
          <w:b/>
          <w:bCs/>
        </w:rPr>
        <w:t>开通地点：</w:t>
      </w:r>
      <w:r>
        <w:rPr>
          <w:rFonts w:hint="eastAsia" w:ascii="宋体" w:hAnsi="宋体"/>
        </w:rPr>
        <w:t>陕西科技大学图书馆主页。</w:t>
      </w:r>
    </w:p>
    <w:p w14:paraId="14A3B888">
      <w:pPr>
        <w:pStyle w:val="9"/>
        <w:pageBreakBefore w:val="0"/>
        <w:widowControl w:val="0"/>
        <w:kinsoku/>
        <w:wordWrap/>
        <w:overflowPunct/>
        <w:topLinePunct w:val="0"/>
        <w:bidi w:val="0"/>
        <w:spacing w:line="440" w:lineRule="exact"/>
        <w:ind w:firstLine="0" w:firstLineChars="0"/>
        <w:rPr>
          <w:rFonts w:ascii="宋体"/>
        </w:rPr>
      </w:pPr>
      <w:r>
        <w:rPr>
          <w:rFonts w:ascii="宋体" w:hAnsi="宋体"/>
          <w:b/>
          <w:bCs/>
        </w:rPr>
        <w:t>3.3</w:t>
      </w:r>
      <w:r>
        <w:rPr>
          <w:rFonts w:hint="eastAsia" w:ascii="宋体" w:hAnsi="宋体"/>
          <w:b/>
          <w:bCs/>
        </w:rPr>
        <w:t>验收：</w:t>
      </w:r>
      <w:r>
        <w:rPr>
          <w:rFonts w:hint="eastAsia" w:ascii="宋体" w:hAnsi="宋体"/>
        </w:rPr>
        <w:t>产品正式访问开通后，由甲方进行技术验收（乙方协助），验收以国家相关验收标准或以合同文本中描述的有关技术要求为准。</w:t>
      </w:r>
    </w:p>
    <w:p w14:paraId="32230727">
      <w:pPr>
        <w:pStyle w:val="9"/>
        <w:pageBreakBefore w:val="0"/>
        <w:widowControl w:val="0"/>
        <w:kinsoku/>
        <w:wordWrap/>
        <w:overflowPunct/>
        <w:topLinePunct w:val="0"/>
        <w:bidi w:val="0"/>
        <w:spacing w:line="440" w:lineRule="exact"/>
        <w:ind w:firstLine="0" w:firstLineChars="0"/>
        <w:rPr>
          <w:rFonts w:ascii="宋体" w:hAnsi="宋体"/>
          <w:b/>
          <w:bCs/>
        </w:rPr>
      </w:pPr>
      <w:r>
        <w:rPr>
          <w:rFonts w:ascii="宋体" w:hAnsi="宋体"/>
          <w:b/>
          <w:bCs/>
        </w:rPr>
        <w:t>3.4</w:t>
      </w:r>
      <w:r>
        <w:rPr>
          <w:rFonts w:hint="eastAsia" w:ascii="宋体" w:hAnsi="宋体"/>
          <w:b/>
          <w:bCs/>
        </w:rPr>
        <w:t>质量保证：</w:t>
      </w:r>
    </w:p>
    <w:p w14:paraId="04FB4A64">
      <w:pPr>
        <w:pStyle w:val="9"/>
        <w:pageBreakBefore w:val="0"/>
        <w:widowControl w:val="0"/>
        <w:kinsoku/>
        <w:wordWrap/>
        <w:overflowPunct/>
        <w:topLinePunct w:val="0"/>
        <w:bidi w:val="0"/>
        <w:spacing w:line="440" w:lineRule="exact"/>
        <w:ind w:left="0" w:leftChars="0" w:firstLine="0" w:firstLineChars="0"/>
        <w:jc w:val="left"/>
        <w:rPr>
          <w:rFonts w:ascii="宋体"/>
        </w:rPr>
      </w:pPr>
      <w:r>
        <w:rPr>
          <w:rFonts w:ascii="宋体" w:hAnsi="宋体"/>
        </w:rPr>
        <w:t>3.4.1</w:t>
      </w:r>
      <w:r>
        <w:rPr>
          <w:rFonts w:hint="eastAsia" w:ascii="宋体" w:hAnsi="宋体"/>
        </w:rPr>
        <w:t>质量保证期为</w:t>
      </w:r>
      <w:r>
        <w:rPr>
          <w:rFonts w:ascii="宋体" w:hAnsi="宋体"/>
        </w:rPr>
        <w:t>:</w:t>
      </w:r>
      <w:r>
        <w:rPr>
          <w:rFonts w:hint="eastAsia" w:ascii="宋体" w:hAnsi="宋体"/>
        </w:rPr>
        <w:t>整个合同</w:t>
      </w:r>
      <w:r>
        <w:rPr>
          <w:rFonts w:hint="eastAsia" w:ascii="宋体" w:hAnsi="宋体"/>
          <w:lang w:val="en-US" w:eastAsia="zh-CN"/>
        </w:rPr>
        <w:t>服务</w:t>
      </w:r>
      <w:r>
        <w:rPr>
          <w:rFonts w:hint="eastAsia" w:ascii="宋体" w:hAnsi="宋体"/>
        </w:rPr>
        <w:t>期。</w:t>
      </w:r>
    </w:p>
    <w:p w14:paraId="4754A98A">
      <w:pPr>
        <w:pStyle w:val="9"/>
        <w:pageBreakBefore w:val="0"/>
        <w:widowControl w:val="0"/>
        <w:kinsoku/>
        <w:wordWrap/>
        <w:overflowPunct/>
        <w:topLinePunct w:val="0"/>
        <w:bidi w:val="0"/>
        <w:spacing w:line="440" w:lineRule="exact"/>
        <w:ind w:left="0" w:leftChars="0" w:firstLine="0" w:firstLineChars="0"/>
        <w:rPr>
          <w:rFonts w:ascii="宋体"/>
          <w:highlight w:val="none"/>
        </w:rPr>
      </w:pPr>
      <w:r>
        <w:rPr>
          <w:rFonts w:ascii="宋体" w:hAnsi="宋体"/>
        </w:rPr>
        <w:t>3.4.2</w:t>
      </w:r>
      <w:r>
        <w:rPr>
          <w:rFonts w:hint="eastAsia" w:ascii="宋体" w:hAnsi="宋体"/>
        </w:rPr>
        <w:t>质量保证期内，乙方负责产品的正常访</w:t>
      </w:r>
      <w:r>
        <w:rPr>
          <w:rFonts w:hint="eastAsia" w:ascii="宋体" w:hAnsi="宋体"/>
          <w:highlight w:val="none"/>
        </w:rPr>
        <w:t>问，并对出</w:t>
      </w:r>
      <w:r>
        <w:rPr>
          <w:rFonts w:hint="eastAsia" w:ascii="宋体" w:hAnsi="宋体"/>
          <w:highlight w:val="none"/>
          <w:lang w:val="en-US" w:eastAsia="zh-CN"/>
        </w:rPr>
        <w:t>现</w:t>
      </w:r>
      <w:r>
        <w:rPr>
          <w:rFonts w:hint="eastAsia" w:ascii="宋体" w:hAnsi="宋体"/>
          <w:highlight w:val="none"/>
        </w:rPr>
        <w:t>的问题进行免费维修。</w:t>
      </w:r>
    </w:p>
    <w:p w14:paraId="4BD5BCE8">
      <w:pPr>
        <w:pStyle w:val="9"/>
        <w:pageBreakBefore w:val="0"/>
        <w:widowControl w:val="0"/>
        <w:kinsoku/>
        <w:wordWrap/>
        <w:overflowPunct/>
        <w:topLinePunct w:val="0"/>
        <w:bidi w:val="0"/>
        <w:spacing w:line="440" w:lineRule="exact"/>
        <w:ind w:left="0" w:leftChars="0" w:firstLine="0" w:firstLineChars="0"/>
        <w:rPr>
          <w:rFonts w:ascii="宋体"/>
          <w:highlight w:val="none"/>
        </w:rPr>
      </w:pPr>
      <w:r>
        <w:rPr>
          <w:rFonts w:ascii="宋体" w:hAnsi="宋体"/>
          <w:highlight w:val="none"/>
        </w:rPr>
        <w:t>3.4.3</w:t>
      </w:r>
      <w:r>
        <w:rPr>
          <w:rFonts w:hint="eastAsia" w:ascii="宋体" w:hAnsi="宋体"/>
          <w:highlight w:val="none"/>
        </w:rPr>
        <w:t>质保期内，乙方必须保证产品的免费升级，保证</w:t>
      </w:r>
      <w:r>
        <w:rPr>
          <w:rFonts w:hint="eastAsia" w:ascii="宋体" w:hAnsi="宋体"/>
          <w:highlight w:val="none"/>
          <w:lang w:val="en-US" w:eastAsia="zh-CN"/>
        </w:rPr>
        <w:t>甲</w:t>
      </w:r>
      <w:r>
        <w:rPr>
          <w:rFonts w:hint="eastAsia" w:ascii="宋体" w:hAnsi="宋体"/>
          <w:highlight w:val="none"/>
        </w:rPr>
        <w:t>方的使用需求。</w:t>
      </w:r>
    </w:p>
    <w:p w14:paraId="46F67F88">
      <w:pPr>
        <w:pStyle w:val="9"/>
        <w:pageBreakBefore w:val="0"/>
        <w:widowControl w:val="0"/>
        <w:kinsoku/>
        <w:wordWrap/>
        <w:overflowPunct/>
        <w:topLinePunct w:val="0"/>
        <w:bidi w:val="0"/>
        <w:spacing w:line="440" w:lineRule="exact"/>
        <w:ind w:firstLine="0" w:firstLineChars="0"/>
        <w:rPr>
          <w:rFonts w:ascii="宋体"/>
          <w:b/>
          <w:bCs/>
        </w:rPr>
      </w:pPr>
      <w:r>
        <w:rPr>
          <w:rFonts w:ascii="宋体" w:hAnsi="宋体"/>
          <w:b/>
          <w:bCs/>
        </w:rPr>
        <w:t>3.</w:t>
      </w:r>
      <w:r>
        <w:rPr>
          <w:rFonts w:hint="eastAsia" w:ascii="宋体" w:hAnsi="宋体"/>
          <w:b/>
          <w:bCs/>
        </w:rPr>
        <w:t>5技术培训要求：</w:t>
      </w:r>
    </w:p>
    <w:p w14:paraId="3155F0FB">
      <w:pPr>
        <w:pStyle w:val="9"/>
        <w:pageBreakBefore w:val="0"/>
        <w:widowControl w:val="0"/>
        <w:kinsoku/>
        <w:wordWrap/>
        <w:overflowPunct/>
        <w:topLinePunct w:val="0"/>
        <w:bidi w:val="0"/>
        <w:spacing w:line="440" w:lineRule="exact"/>
        <w:ind w:left="0" w:leftChars="0" w:firstLine="0" w:firstLineChars="0"/>
        <w:rPr>
          <w:rFonts w:ascii="宋体"/>
        </w:rPr>
      </w:pPr>
      <w:r>
        <w:rPr>
          <w:rFonts w:ascii="宋体" w:hAnsi="宋体"/>
        </w:rPr>
        <w:t>3.</w:t>
      </w:r>
      <w:r>
        <w:rPr>
          <w:rFonts w:hint="eastAsia" w:ascii="宋体" w:hAnsi="宋体"/>
        </w:rPr>
        <w:t>5</w:t>
      </w:r>
      <w:r>
        <w:rPr>
          <w:rFonts w:ascii="宋体" w:hAnsi="宋体"/>
        </w:rPr>
        <w:t>.1</w:t>
      </w:r>
      <w:r>
        <w:rPr>
          <w:rFonts w:hint="eastAsia" w:ascii="宋体" w:hAnsi="宋体"/>
        </w:rPr>
        <w:t>产品正式开通使用后，乙方的技术人员必须对</w:t>
      </w:r>
      <w:r>
        <w:rPr>
          <w:rFonts w:hint="eastAsia" w:ascii="宋体" w:hAnsi="宋体"/>
          <w:lang w:val="en-US" w:eastAsia="zh-CN"/>
        </w:rPr>
        <w:t>甲方</w:t>
      </w:r>
      <w:r>
        <w:rPr>
          <w:rFonts w:hint="eastAsia" w:ascii="宋体" w:hAnsi="宋体"/>
        </w:rPr>
        <w:t>的产品的技术使用人员进行操作应用、安全防护及维护保养方面的技能培训。</w:t>
      </w:r>
    </w:p>
    <w:p w14:paraId="2EB9E9D9">
      <w:pPr>
        <w:pStyle w:val="9"/>
        <w:pageBreakBefore w:val="0"/>
        <w:widowControl w:val="0"/>
        <w:kinsoku/>
        <w:wordWrap/>
        <w:overflowPunct/>
        <w:topLinePunct w:val="0"/>
        <w:bidi w:val="0"/>
        <w:spacing w:line="440" w:lineRule="exact"/>
        <w:ind w:left="0" w:leftChars="0" w:firstLine="0" w:firstLineChars="0"/>
        <w:rPr>
          <w:rFonts w:ascii="宋体"/>
        </w:rPr>
      </w:pPr>
      <w:r>
        <w:rPr>
          <w:rFonts w:ascii="宋体" w:hAnsi="宋体"/>
        </w:rPr>
        <w:t>3.</w:t>
      </w:r>
      <w:r>
        <w:rPr>
          <w:rFonts w:hint="eastAsia" w:ascii="宋体" w:hAnsi="宋体"/>
        </w:rPr>
        <w:t>5</w:t>
      </w:r>
      <w:r>
        <w:rPr>
          <w:rFonts w:ascii="宋体" w:hAnsi="宋体"/>
        </w:rPr>
        <w:t xml:space="preserve">.2 </w:t>
      </w:r>
      <w:r>
        <w:rPr>
          <w:rFonts w:hint="eastAsia" w:ascii="宋体" w:hAnsi="宋体"/>
        </w:rPr>
        <w:t>产品正式开通使用后，乙方应根据</w:t>
      </w:r>
      <w:r>
        <w:rPr>
          <w:rFonts w:hint="eastAsia" w:ascii="宋体" w:hAnsi="宋体"/>
          <w:lang w:val="en-US" w:eastAsia="zh-CN"/>
        </w:rPr>
        <w:t>甲方</w:t>
      </w:r>
      <w:r>
        <w:rPr>
          <w:rFonts w:hint="eastAsia" w:ascii="宋体" w:hAnsi="宋体"/>
        </w:rPr>
        <w:t>要求对产品使用人员进行使用培训。</w:t>
      </w:r>
    </w:p>
    <w:p w14:paraId="707BDE01">
      <w:pPr>
        <w:pStyle w:val="9"/>
        <w:pageBreakBefore w:val="0"/>
        <w:widowControl w:val="0"/>
        <w:kinsoku/>
        <w:wordWrap/>
        <w:overflowPunct/>
        <w:topLinePunct w:val="0"/>
        <w:bidi w:val="0"/>
        <w:spacing w:line="440" w:lineRule="exact"/>
        <w:ind w:left="0" w:leftChars="0" w:firstLine="0" w:firstLineChars="0"/>
        <w:rPr>
          <w:rFonts w:ascii="宋体" w:hAnsi="宋体"/>
        </w:rPr>
      </w:pPr>
      <w:r>
        <w:rPr>
          <w:rFonts w:ascii="宋体" w:hAnsi="宋体"/>
        </w:rPr>
        <w:t>3.</w:t>
      </w:r>
      <w:r>
        <w:rPr>
          <w:rFonts w:hint="eastAsia" w:ascii="宋体" w:hAnsi="宋体"/>
        </w:rPr>
        <w:t>5.</w:t>
      </w:r>
      <w:r>
        <w:rPr>
          <w:rFonts w:ascii="宋体" w:hAnsi="宋体"/>
        </w:rPr>
        <w:t>3</w:t>
      </w:r>
      <w:r>
        <w:rPr>
          <w:rFonts w:hint="eastAsia" w:ascii="宋体" w:hAnsi="宋体"/>
        </w:rPr>
        <w:t>乙方必须提供本地化服务支持，售后服务与技术支持至少应包含：电话支持、远程维护、现场服务三种方式。</w:t>
      </w:r>
    </w:p>
    <w:p w14:paraId="36C782A1">
      <w:pPr>
        <w:pStyle w:val="9"/>
        <w:pageBreakBefore w:val="0"/>
        <w:widowControl w:val="0"/>
        <w:kinsoku/>
        <w:wordWrap/>
        <w:overflowPunct/>
        <w:topLinePunct w:val="0"/>
        <w:bidi w:val="0"/>
        <w:spacing w:line="440" w:lineRule="exact"/>
        <w:ind w:firstLine="0" w:firstLineChars="0"/>
        <w:rPr>
          <w:rFonts w:ascii="黑体" w:hAnsi="黑体" w:eastAsia="黑体"/>
          <w:b/>
          <w:sz w:val="28"/>
          <w:szCs w:val="28"/>
        </w:rPr>
      </w:pPr>
      <w:r>
        <w:rPr>
          <w:rFonts w:hint="eastAsia" w:asciiTheme="majorEastAsia" w:hAnsiTheme="majorEastAsia" w:eastAsiaTheme="majorEastAsia" w:cstheme="majorEastAsia"/>
          <w:b/>
        </w:rPr>
        <w:t>四、付款方式</w:t>
      </w:r>
    </w:p>
    <w:p w14:paraId="2B8599B1">
      <w:pPr>
        <w:pStyle w:val="9"/>
        <w:pageBreakBefore w:val="0"/>
        <w:widowControl w:val="0"/>
        <w:kinsoku/>
        <w:wordWrap/>
        <w:overflowPunct/>
        <w:topLinePunct w:val="0"/>
        <w:bidi w:val="0"/>
        <w:spacing w:line="440" w:lineRule="exact"/>
        <w:ind w:left="0" w:leftChars="0" w:firstLine="0" w:firstLineChars="0"/>
        <w:rPr>
          <w:rFonts w:ascii="宋体"/>
        </w:rPr>
      </w:pPr>
      <w:r>
        <w:rPr>
          <w:rFonts w:ascii="宋体" w:hAnsi="宋体"/>
        </w:rPr>
        <w:t>4.1</w:t>
      </w:r>
      <w:r>
        <w:rPr>
          <w:rFonts w:hint="eastAsia" w:ascii="宋体" w:hAnsi="宋体"/>
        </w:rPr>
        <w:t>甲方在本合同签订生效、产品正式开通使用并运行正常后按合同价格及时付款给乙方；</w:t>
      </w:r>
    </w:p>
    <w:p w14:paraId="1D9CC317">
      <w:pPr>
        <w:pStyle w:val="9"/>
        <w:pageBreakBefore w:val="0"/>
        <w:widowControl w:val="0"/>
        <w:kinsoku/>
        <w:wordWrap/>
        <w:overflowPunct/>
        <w:topLinePunct w:val="0"/>
        <w:bidi w:val="0"/>
        <w:spacing w:line="440" w:lineRule="exact"/>
        <w:ind w:left="0" w:leftChars="0" w:firstLine="0" w:firstLineChars="0"/>
        <w:rPr>
          <w:rFonts w:ascii="宋体"/>
        </w:rPr>
      </w:pPr>
      <w:r>
        <w:rPr>
          <w:rFonts w:ascii="宋体" w:hAnsi="宋体"/>
        </w:rPr>
        <w:t>4.2</w:t>
      </w:r>
      <w:r>
        <w:rPr>
          <w:rFonts w:hint="eastAsia" w:ascii="宋体" w:hAnsi="宋体"/>
        </w:rPr>
        <w:t>乙方须向甲方出具合法有效完整的完税发票及凭证资料进行支付结算。</w:t>
      </w:r>
    </w:p>
    <w:p w14:paraId="0482015D">
      <w:pPr>
        <w:pStyle w:val="3"/>
        <w:pageBreakBefore w:val="0"/>
        <w:widowControl w:val="0"/>
        <w:numPr>
          <w:ilvl w:val="1"/>
          <w:numId w:val="0"/>
        </w:numPr>
        <w:kinsoku/>
        <w:wordWrap/>
        <w:overflowPunct/>
        <w:topLinePunct w:val="0"/>
        <w:bidi w:val="0"/>
        <w:spacing w:line="440" w:lineRule="exact"/>
        <w:jc w:val="both"/>
        <w:rPr>
          <w:rFonts w:hint="default" w:eastAsia="宋体"/>
          <w:lang w:val="en-US" w:eastAsia="zh-CN"/>
        </w:rPr>
      </w:pPr>
      <w:r>
        <w:rPr>
          <w:rFonts w:hint="eastAsia" w:ascii="黑体" w:hAnsi="宋体"/>
          <w:sz w:val="24"/>
          <w:szCs w:val="24"/>
        </w:rPr>
        <w:t>五、售后服务</w:t>
      </w:r>
      <w:r>
        <w:rPr>
          <w:rFonts w:hint="eastAsia" w:ascii="黑体" w:hAnsi="宋体"/>
          <w:sz w:val="24"/>
          <w:szCs w:val="24"/>
          <w:lang w:val="en-US" w:eastAsia="zh-CN"/>
        </w:rPr>
        <w:t>要求</w:t>
      </w:r>
    </w:p>
    <w:p w14:paraId="33E006C2">
      <w:pPr>
        <w:pageBreakBefore w:val="0"/>
        <w:widowControl w:val="0"/>
        <w:kinsoku/>
        <w:wordWrap/>
        <w:overflowPunct/>
        <w:topLinePunct w:val="0"/>
        <w:bidi w:val="0"/>
        <w:adjustRightInd w:val="0"/>
        <w:snapToGrid w:val="0"/>
        <w:spacing w:line="440" w:lineRule="exact"/>
        <w:rPr>
          <w:rFonts w:ascii="宋体" w:hAnsi="宋体" w:cs="宋体"/>
          <w:sz w:val="24"/>
        </w:rPr>
      </w:pPr>
      <w:r>
        <w:rPr>
          <w:rFonts w:hint="eastAsia" w:ascii="宋体" w:hAnsi="宋体" w:cs="宋体"/>
          <w:sz w:val="24"/>
        </w:rPr>
        <w:t>5.1乙方必须保证提供的产品是通过正常渠道获得的、全新的、未使用过的合格产品；保证数据库系统运行稳定、可靠、安全；其有关技术、专利、检验、商务等均要符合中华人民共和国</w:t>
      </w:r>
      <w:r>
        <w:rPr>
          <w:rFonts w:hint="eastAsia" w:ascii="宋体" w:hAnsi="宋体" w:cs="宋体"/>
          <w:sz w:val="22"/>
          <w:szCs w:val="22"/>
        </w:rPr>
        <w:t>的</w:t>
      </w:r>
      <w:r>
        <w:rPr>
          <w:rFonts w:hint="eastAsia" w:ascii="宋体" w:hAnsi="宋体" w:cs="宋体"/>
          <w:sz w:val="24"/>
        </w:rPr>
        <w:t>有关法律、法规；乙方必须承担因所供产品和服务而引起的全部法律责任。</w:t>
      </w:r>
    </w:p>
    <w:p w14:paraId="5B3F097F">
      <w:pPr>
        <w:pageBreakBefore w:val="0"/>
        <w:widowControl w:val="0"/>
        <w:kinsoku/>
        <w:wordWrap/>
        <w:overflowPunct/>
        <w:topLinePunct w:val="0"/>
        <w:bidi w:val="0"/>
        <w:adjustRightInd w:val="0"/>
        <w:snapToGrid w:val="0"/>
        <w:spacing w:line="440" w:lineRule="exact"/>
        <w:rPr>
          <w:rFonts w:ascii="宋体" w:hAnsi="宋体" w:cs="宋体"/>
          <w:sz w:val="24"/>
        </w:rPr>
      </w:pPr>
      <w:r>
        <w:rPr>
          <w:rFonts w:hint="eastAsia" w:ascii="宋体" w:hAnsi="宋体" w:cs="宋体"/>
          <w:sz w:val="24"/>
        </w:rPr>
        <w:t>5.2乙方应具备在24小时内对用户的服务要求做出反应。</w:t>
      </w:r>
    </w:p>
    <w:p w14:paraId="077418B7">
      <w:pPr>
        <w:pStyle w:val="9"/>
        <w:pageBreakBefore w:val="0"/>
        <w:widowControl w:val="0"/>
        <w:kinsoku/>
        <w:wordWrap/>
        <w:overflowPunct/>
        <w:topLinePunct w:val="0"/>
        <w:bidi w:val="0"/>
        <w:spacing w:line="440" w:lineRule="exact"/>
        <w:ind w:left="0" w:leftChars="0" w:firstLine="0" w:firstLineChars="0"/>
        <w:rPr>
          <w:rFonts w:ascii="宋体" w:hAnsi="宋体"/>
          <w:color w:val="000000"/>
        </w:rPr>
      </w:pPr>
      <w:r>
        <w:rPr>
          <w:rFonts w:hint="eastAsia" w:ascii="宋体" w:hAnsi="宋体"/>
          <w:color w:val="000000"/>
        </w:rPr>
        <w:t>5.</w:t>
      </w:r>
      <w:r>
        <w:rPr>
          <w:rFonts w:hint="eastAsia" w:ascii="宋体" w:hAnsi="宋体"/>
          <w:color w:val="000000"/>
          <w:lang w:val="en-US" w:eastAsia="zh-CN"/>
        </w:rPr>
        <w:t>3</w:t>
      </w:r>
      <w:r>
        <w:rPr>
          <w:rFonts w:hint="eastAsia" w:ascii="宋体" w:hAnsi="宋体"/>
          <w:color w:val="000000"/>
        </w:rPr>
        <w:t>乙方所提供产品的资源应及时更新，具备良好的使用统计功能；服务响应做到1个工作日之内，无法在规定时间内解决问题的应及时说明原因；</w:t>
      </w:r>
    </w:p>
    <w:p w14:paraId="45E2AD3A">
      <w:pPr>
        <w:pStyle w:val="9"/>
        <w:pageBreakBefore w:val="0"/>
        <w:widowControl w:val="0"/>
        <w:kinsoku/>
        <w:wordWrap/>
        <w:overflowPunct/>
        <w:topLinePunct w:val="0"/>
        <w:bidi w:val="0"/>
        <w:spacing w:line="440" w:lineRule="exact"/>
        <w:ind w:left="0" w:leftChars="0" w:firstLine="0" w:firstLineChars="0"/>
        <w:rPr>
          <w:rFonts w:ascii="宋体" w:hAnsi="宋体"/>
          <w:color w:val="000000"/>
        </w:rPr>
      </w:pPr>
      <w:r>
        <w:rPr>
          <w:rFonts w:hint="eastAsia" w:ascii="宋体" w:hAnsi="宋体"/>
          <w:color w:val="000000"/>
        </w:rPr>
        <w:t>5.</w:t>
      </w:r>
      <w:r>
        <w:rPr>
          <w:rFonts w:hint="eastAsia" w:ascii="宋体" w:hAnsi="宋体"/>
          <w:color w:val="000000"/>
          <w:lang w:val="en-US" w:eastAsia="zh-CN"/>
        </w:rPr>
        <w:t>4</w:t>
      </w:r>
      <w:r>
        <w:rPr>
          <w:rFonts w:hint="eastAsia" w:ascii="宋体" w:hAnsi="宋体"/>
          <w:color w:val="000000"/>
        </w:rPr>
        <w:t>及时提醒</w:t>
      </w:r>
      <w:r>
        <w:rPr>
          <w:rFonts w:hint="eastAsia" w:ascii="宋体" w:hAnsi="宋体"/>
          <w:color w:val="000000"/>
          <w:lang w:val="en-US" w:eastAsia="zh-CN"/>
        </w:rPr>
        <w:t>乙</w:t>
      </w:r>
      <w:r>
        <w:rPr>
          <w:rFonts w:hint="eastAsia" w:ascii="宋体" w:hAnsi="宋体"/>
          <w:color w:val="000000"/>
        </w:rPr>
        <w:t>方办理订购和续订手续；</w:t>
      </w:r>
    </w:p>
    <w:p w14:paraId="4B20C4E4">
      <w:pPr>
        <w:pStyle w:val="9"/>
        <w:pageBreakBefore w:val="0"/>
        <w:widowControl w:val="0"/>
        <w:kinsoku/>
        <w:wordWrap/>
        <w:overflowPunct/>
        <w:topLinePunct w:val="0"/>
        <w:bidi w:val="0"/>
        <w:spacing w:line="440" w:lineRule="exact"/>
        <w:ind w:left="0" w:leftChars="0" w:firstLine="0" w:firstLineChars="0"/>
        <w:rPr>
          <w:rFonts w:ascii="宋体" w:hAnsi="宋体"/>
          <w:color w:val="000000"/>
        </w:rPr>
      </w:pPr>
      <w:r>
        <w:rPr>
          <w:rFonts w:hint="eastAsia" w:ascii="宋体" w:hAnsi="宋体"/>
          <w:color w:val="000000"/>
        </w:rPr>
        <w:t>5.</w:t>
      </w:r>
      <w:r>
        <w:rPr>
          <w:rFonts w:hint="eastAsia" w:ascii="宋体" w:hAnsi="宋体"/>
          <w:color w:val="000000"/>
          <w:lang w:val="en-US" w:eastAsia="zh-CN"/>
        </w:rPr>
        <w:t>5</w:t>
      </w:r>
      <w:r>
        <w:rPr>
          <w:rFonts w:hint="eastAsia" w:ascii="宋体" w:hAnsi="宋体"/>
          <w:color w:val="000000"/>
        </w:rPr>
        <w:t>数据库商的产品定价政策或数据库采购模式发生较大变化的，</w:t>
      </w:r>
      <w:r>
        <w:rPr>
          <w:rFonts w:hint="eastAsia" w:ascii="宋体" w:hAnsi="宋体"/>
          <w:color w:val="000000"/>
          <w:lang w:val="en-US" w:eastAsia="zh-CN"/>
        </w:rPr>
        <w:t>乙</w:t>
      </w:r>
      <w:r>
        <w:rPr>
          <w:rFonts w:hint="eastAsia" w:ascii="宋体" w:hAnsi="宋体"/>
          <w:color w:val="000000"/>
        </w:rPr>
        <w:t>方应保证及时告知</w:t>
      </w:r>
      <w:r>
        <w:rPr>
          <w:rFonts w:hint="eastAsia" w:ascii="宋体" w:hAnsi="宋体"/>
          <w:color w:val="000000"/>
          <w:lang w:val="en-US" w:eastAsia="zh-CN"/>
        </w:rPr>
        <w:t>甲</w:t>
      </w:r>
      <w:r>
        <w:rPr>
          <w:rFonts w:hint="eastAsia" w:ascii="宋体" w:hAnsi="宋体"/>
          <w:color w:val="000000"/>
        </w:rPr>
        <w:t>方，以便于</w:t>
      </w:r>
      <w:r>
        <w:rPr>
          <w:rFonts w:hint="eastAsia" w:ascii="宋体" w:hAnsi="宋体"/>
          <w:color w:val="000000"/>
          <w:lang w:val="en-US" w:eastAsia="zh-CN"/>
        </w:rPr>
        <w:t>甲</w:t>
      </w:r>
      <w:r>
        <w:rPr>
          <w:rFonts w:hint="eastAsia" w:ascii="宋体" w:hAnsi="宋体"/>
          <w:color w:val="000000"/>
        </w:rPr>
        <w:t>方及早确定续订策略；</w:t>
      </w:r>
    </w:p>
    <w:p w14:paraId="1D82A668">
      <w:pPr>
        <w:pStyle w:val="9"/>
        <w:pageBreakBefore w:val="0"/>
        <w:widowControl w:val="0"/>
        <w:kinsoku/>
        <w:wordWrap/>
        <w:overflowPunct/>
        <w:topLinePunct w:val="0"/>
        <w:bidi w:val="0"/>
        <w:spacing w:line="440" w:lineRule="exact"/>
        <w:ind w:left="0" w:leftChars="0" w:firstLine="0" w:firstLineChars="0"/>
        <w:rPr>
          <w:rFonts w:ascii="宋体" w:hAnsi="宋体"/>
          <w:color w:val="000000"/>
        </w:rPr>
      </w:pPr>
      <w:r>
        <w:rPr>
          <w:rFonts w:hint="eastAsia" w:ascii="宋体" w:hAnsi="宋体"/>
          <w:color w:val="000000"/>
        </w:rPr>
        <w:t>5.</w:t>
      </w:r>
      <w:r>
        <w:rPr>
          <w:rFonts w:hint="eastAsia" w:ascii="宋体" w:hAnsi="宋体"/>
          <w:color w:val="000000"/>
          <w:lang w:val="en-US" w:eastAsia="zh-CN"/>
        </w:rPr>
        <w:t>6</w:t>
      </w:r>
      <w:r>
        <w:rPr>
          <w:rFonts w:hint="eastAsia" w:ascii="宋体" w:hAnsi="宋体"/>
          <w:color w:val="000000"/>
        </w:rPr>
        <w:t xml:space="preserve"> 按甲方要求，及时准确提供有关使用统计数据。</w:t>
      </w:r>
    </w:p>
    <w:p w14:paraId="56DE4275">
      <w:pPr>
        <w:pStyle w:val="3"/>
        <w:pageBreakBefore w:val="0"/>
        <w:widowControl w:val="0"/>
        <w:numPr>
          <w:ilvl w:val="1"/>
          <w:numId w:val="0"/>
        </w:numPr>
        <w:kinsoku/>
        <w:wordWrap/>
        <w:overflowPunct/>
        <w:topLinePunct w:val="0"/>
        <w:bidi w:val="0"/>
        <w:spacing w:line="440" w:lineRule="exact"/>
        <w:jc w:val="both"/>
        <w:rPr>
          <w:rFonts w:ascii="黑体" w:hAnsi="宋体"/>
          <w:color w:val="000000"/>
          <w:sz w:val="24"/>
          <w:szCs w:val="24"/>
        </w:rPr>
      </w:pPr>
      <w:r>
        <w:rPr>
          <w:rFonts w:hint="eastAsia" w:ascii="黑体" w:hAnsi="宋体"/>
          <w:color w:val="000000"/>
          <w:sz w:val="24"/>
          <w:szCs w:val="24"/>
        </w:rPr>
        <w:t>六、合同争议的解决</w:t>
      </w:r>
    </w:p>
    <w:p w14:paraId="3854D660">
      <w:pPr>
        <w:pageBreakBefore w:val="0"/>
        <w:widowControl w:val="0"/>
        <w:kinsoku/>
        <w:wordWrap/>
        <w:overflowPunct/>
        <w:topLinePunct w:val="0"/>
        <w:bidi w:val="0"/>
        <w:adjustRightInd w:val="0"/>
        <w:snapToGrid w:val="0"/>
        <w:spacing w:line="440" w:lineRule="exact"/>
        <w:rPr>
          <w:rFonts w:ascii="宋体" w:cs="宋体"/>
          <w:sz w:val="24"/>
        </w:rPr>
      </w:pPr>
      <w:r>
        <w:rPr>
          <w:rFonts w:ascii="宋体" w:hAnsi="宋体" w:cs="宋体"/>
          <w:color w:val="000000"/>
          <w:sz w:val="24"/>
        </w:rPr>
        <w:t>6.1</w:t>
      </w:r>
      <w:r>
        <w:rPr>
          <w:rFonts w:hint="eastAsia" w:ascii="宋体" w:hAnsi="宋体" w:cs="宋体"/>
          <w:color w:val="000000"/>
          <w:sz w:val="24"/>
        </w:rPr>
        <w:t>合同签字生效后，一周内为甲方开通。合同一经签订，不得随意变更、中止或终止。</w:t>
      </w:r>
      <w:r>
        <w:rPr>
          <w:rFonts w:hint="eastAsia" w:ascii="宋体" w:hAnsi="宋体" w:cs="宋体"/>
          <w:sz w:val="24"/>
        </w:rPr>
        <w:t>对确需变更、调整或者中止、终止合同的，应按规定履行相应的手续。</w:t>
      </w:r>
    </w:p>
    <w:p w14:paraId="503F6A3D">
      <w:pPr>
        <w:pageBreakBefore w:val="0"/>
        <w:widowControl w:val="0"/>
        <w:kinsoku/>
        <w:wordWrap/>
        <w:overflowPunct/>
        <w:topLinePunct w:val="0"/>
        <w:bidi w:val="0"/>
        <w:adjustRightInd w:val="0"/>
        <w:snapToGrid w:val="0"/>
        <w:spacing w:line="440" w:lineRule="exact"/>
        <w:rPr>
          <w:rFonts w:ascii="宋体" w:cs="宋体"/>
          <w:sz w:val="24"/>
        </w:rPr>
      </w:pPr>
      <w:r>
        <w:rPr>
          <w:rFonts w:ascii="宋体" w:hAnsi="宋体" w:cs="宋体"/>
          <w:sz w:val="24"/>
        </w:rPr>
        <w:t>6.2</w:t>
      </w:r>
      <w:r>
        <w:rPr>
          <w:rFonts w:hint="eastAsia" w:ascii="宋体" w:hAnsi="宋体" w:cs="宋体"/>
          <w:sz w:val="24"/>
        </w:rPr>
        <w:t>本合同附件与本合同具有同等法律效力。本合同未尽事宜及修订由双方以书面方式加以补充确认。合同执行中发生争议的，甲、乙双方应协商解决，协商达不成一致时，可向甲方所在地人民法院提请诉讼。</w:t>
      </w:r>
    </w:p>
    <w:p w14:paraId="21E93C92">
      <w:pPr>
        <w:pStyle w:val="3"/>
        <w:pageBreakBefore w:val="0"/>
        <w:widowControl w:val="0"/>
        <w:numPr>
          <w:ilvl w:val="1"/>
          <w:numId w:val="0"/>
        </w:numPr>
        <w:kinsoku/>
        <w:wordWrap/>
        <w:overflowPunct/>
        <w:topLinePunct w:val="0"/>
        <w:bidi w:val="0"/>
        <w:spacing w:line="440" w:lineRule="exact"/>
        <w:jc w:val="both"/>
        <w:rPr>
          <w:rFonts w:ascii="黑体" w:hAnsi="宋体"/>
          <w:sz w:val="24"/>
          <w:szCs w:val="24"/>
        </w:rPr>
      </w:pPr>
      <w:r>
        <w:rPr>
          <w:rFonts w:hint="eastAsia" w:ascii="黑体" w:hAnsi="宋体"/>
          <w:sz w:val="24"/>
          <w:szCs w:val="24"/>
        </w:rPr>
        <w:t>七、其它事项</w:t>
      </w:r>
    </w:p>
    <w:p w14:paraId="737CE436">
      <w:pPr>
        <w:pageBreakBefore w:val="0"/>
        <w:widowControl w:val="0"/>
        <w:kinsoku/>
        <w:wordWrap/>
        <w:overflowPunct/>
        <w:topLinePunct w:val="0"/>
        <w:bidi w:val="0"/>
        <w:adjustRightInd w:val="0"/>
        <w:snapToGrid w:val="0"/>
        <w:spacing w:line="440" w:lineRule="exact"/>
        <w:ind w:left="720" w:hanging="720" w:hangingChars="300"/>
        <w:jc w:val="both"/>
        <w:rPr>
          <w:rFonts w:ascii="宋体" w:cs="宋体"/>
          <w:sz w:val="24"/>
        </w:rPr>
      </w:pPr>
      <w:r>
        <w:rPr>
          <w:rFonts w:ascii="宋体" w:hAnsi="宋体" w:cs="宋体"/>
          <w:sz w:val="24"/>
        </w:rPr>
        <w:t>7.1</w:t>
      </w:r>
      <w:r>
        <w:rPr>
          <w:rFonts w:hint="eastAsia" w:ascii="宋体" w:hAnsi="宋体" w:cs="宋体"/>
          <w:sz w:val="24"/>
        </w:rPr>
        <w:t>甲、乙双方做为合同执行的主体，有义务及时完全履行合同。招标代理机构</w:t>
      </w:r>
      <w:r>
        <w:rPr>
          <w:rFonts w:hint="eastAsia" w:ascii="宋体" w:hAnsi="宋体" w:cs="宋体"/>
          <w:sz w:val="24"/>
          <w:lang w:val="en-US" w:eastAsia="zh-CN"/>
        </w:rPr>
        <w:t>XXX招标有限公司</w:t>
      </w:r>
      <w:r>
        <w:rPr>
          <w:rFonts w:hint="eastAsia" w:ascii="宋体" w:hAnsi="宋体" w:cs="宋体"/>
          <w:sz w:val="24"/>
        </w:rPr>
        <w:t>监督履行。</w:t>
      </w:r>
    </w:p>
    <w:p w14:paraId="3A3F3DD6">
      <w:pPr>
        <w:pageBreakBefore w:val="0"/>
        <w:widowControl w:val="0"/>
        <w:kinsoku/>
        <w:wordWrap/>
        <w:overflowPunct/>
        <w:topLinePunct w:val="0"/>
        <w:bidi w:val="0"/>
        <w:adjustRightInd w:val="0"/>
        <w:snapToGrid w:val="0"/>
        <w:spacing w:line="440" w:lineRule="exact"/>
        <w:rPr>
          <w:rFonts w:ascii="宋体" w:cs="宋体"/>
          <w:sz w:val="24"/>
        </w:rPr>
      </w:pPr>
      <w:r>
        <w:rPr>
          <w:rFonts w:ascii="宋体" w:hAnsi="宋体" w:cs="宋体"/>
          <w:sz w:val="24"/>
        </w:rPr>
        <w:t>7.2</w:t>
      </w:r>
      <w:r>
        <w:rPr>
          <w:rFonts w:hint="eastAsia" w:ascii="宋体" w:hAnsi="宋体" w:cs="宋体"/>
          <w:sz w:val="24"/>
        </w:rPr>
        <w:t>甲方使用部门代表学校签署合同，并随时监督合同履行情况。合同执行过程中涉及的招标问题，由使用部门会同招采处与</w:t>
      </w:r>
      <w:r>
        <w:rPr>
          <w:rFonts w:hint="eastAsia" w:ascii="宋体" w:hAnsi="宋体" w:cs="宋体"/>
          <w:sz w:val="24"/>
          <w:lang w:val="en-US" w:eastAsia="zh-CN"/>
        </w:rPr>
        <w:t>乙</w:t>
      </w:r>
      <w:r>
        <w:rPr>
          <w:rFonts w:hint="eastAsia" w:ascii="宋体" w:hAnsi="宋体" w:cs="宋体"/>
          <w:sz w:val="24"/>
        </w:rPr>
        <w:t>方解决。</w:t>
      </w:r>
    </w:p>
    <w:p w14:paraId="741A16FA">
      <w:pPr>
        <w:pageBreakBefore w:val="0"/>
        <w:widowControl w:val="0"/>
        <w:kinsoku/>
        <w:wordWrap/>
        <w:overflowPunct/>
        <w:topLinePunct w:val="0"/>
        <w:bidi w:val="0"/>
        <w:adjustRightInd w:val="0"/>
        <w:snapToGrid w:val="0"/>
        <w:spacing w:line="440" w:lineRule="exact"/>
        <w:rPr>
          <w:rFonts w:ascii="宋体" w:cs="宋体"/>
          <w:sz w:val="24"/>
        </w:rPr>
      </w:pPr>
      <w:r>
        <w:rPr>
          <w:rFonts w:ascii="宋体" w:hAnsi="宋体" w:cs="宋体"/>
          <w:sz w:val="24"/>
        </w:rPr>
        <w:t>7.3</w:t>
      </w:r>
      <w:r>
        <w:rPr>
          <w:rFonts w:hint="eastAsia" w:ascii="宋体" w:hAnsi="宋体" w:cs="宋体"/>
          <w:sz w:val="24"/>
        </w:rPr>
        <w:t>合同未尽事宜，由甲、乙双方协商，协商方案作为本合同不可分割的组成部分，与本合同具有同等法律效力。</w:t>
      </w:r>
    </w:p>
    <w:p w14:paraId="500488B2">
      <w:pPr>
        <w:pageBreakBefore w:val="0"/>
        <w:widowControl w:val="0"/>
        <w:kinsoku/>
        <w:wordWrap/>
        <w:overflowPunct/>
        <w:topLinePunct w:val="0"/>
        <w:bidi w:val="0"/>
        <w:adjustRightInd w:val="0"/>
        <w:snapToGrid w:val="0"/>
        <w:spacing w:line="440" w:lineRule="exact"/>
        <w:rPr>
          <w:rFonts w:ascii="宋体" w:cs="宋体"/>
          <w:sz w:val="24"/>
        </w:rPr>
      </w:pPr>
      <w:r>
        <w:rPr>
          <w:rFonts w:ascii="宋体" w:hAnsi="宋体" w:cs="宋体"/>
          <w:sz w:val="24"/>
        </w:rPr>
        <w:t>7.4</w:t>
      </w:r>
      <w:r>
        <w:rPr>
          <w:rFonts w:hint="eastAsia" w:ascii="宋体" w:hAnsi="宋体" w:cs="宋体"/>
          <w:sz w:val="24"/>
        </w:rPr>
        <w:t>招标文件和乙方的投标文件以及合同附件均为合同不可分割的部分。</w:t>
      </w:r>
    </w:p>
    <w:p w14:paraId="037CE61D">
      <w:pPr>
        <w:pageBreakBefore w:val="0"/>
        <w:widowControl w:val="0"/>
        <w:kinsoku/>
        <w:wordWrap/>
        <w:overflowPunct/>
        <w:topLinePunct w:val="0"/>
        <w:bidi w:val="0"/>
        <w:adjustRightInd w:val="0"/>
        <w:snapToGrid w:val="0"/>
        <w:spacing w:line="440" w:lineRule="exact"/>
        <w:rPr>
          <w:rFonts w:ascii="宋体" w:cs="宋体"/>
          <w:sz w:val="24"/>
        </w:rPr>
      </w:pPr>
      <w:r>
        <w:rPr>
          <w:rFonts w:ascii="宋体" w:hAnsi="宋体" w:cs="宋体"/>
          <w:sz w:val="24"/>
        </w:rPr>
        <w:t>7.5</w:t>
      </w:r>
      <w:r>
        <w:rPr>
          <w:rFonts w:hint="eastAsia" w:ascii="宋体" w:hAnsi="宋体" w:cs="宋体"/>
          <w:sz w:val="24"/>
        </w:rPr>
        <w:t>本合同的执行不因合同双方任何人事变动而失效。</w:t>
      </w:r>
    </w:p>
    <w:p w14:paraId="15FBF185">
      <w:pPr>
        <w:pageBreakBefore w:val="0"/>
        <w:widowControl w:val="0"/>
        <w:kinsoku/>
        <w:wordWrap/>
        <w:overflowPunct/>
        <w:topLinePunct w:val="0"/>
        <w:bidi w:val="0"/>
        <w:adjustRightInd w:val="0"/>
        <w:snapToGrid w:val="0"/>
        <w:spacing w:line="440" w:lineRule="exact"/>
        <w:rPr>
          <w:rFonts w:ascii="宋体" w:cs="宋体"/>
          <w:sz w:val="24"/>
        </w:rPr>
      </w:pPr>
      <w:r>
        <w:rPr>
          <w:rFonts w:ascii="宋体" w:hAnsi="宋体" w:cs="宋体"/>
          <w:sz w:val="24"/>
        </w:rPr>
        <w:t>7.6</w:t>
      </w:r>
      <w:r>
        <w:rPr>
          <w:rFonts w:hint="eastAsia" w:ascii="宋体" w:hAnsi="宋体" w:cs="宋体"/>
          <w:sz w:val="24"/>
        </w:rPr>
        <w:t>甲、乙双方不得将合同内容、用户情况等泄漏给第三方。</w:t>
      </w:r>
    </w:p>
    <w:p w14:paraId="32137BFF">
      <w:pPr>
        <w:pageBreakBefore w:val="0"/>
        <w:widowControl w:val="0"/>
        <w:kinsoku/>
        <w:wordWrap/>
        <w:overflowPunct/>
        <w:topLinePunct w:val="0"/>
        <w:bidi w:val="0"/>
        <w:adjustRightInd w:val="0"/>
        <w:snapToGrid w:val="0"/>
        <w:spacing w:line="440" w:lineRule="exact"/>
        <w:rPr>
          <w:rFonts w:ascii="宋体" w:hAnsi="宋体" w:cs="宋体"/>
          <w:sz w:val="24"/>
        </w:rPr>
      </w:pPr>
      <w:r>
        <w:rPr>
          <w:rFonts w:ascii="宋体" w:hAnsi="宋体" w:cs="宋体"/>
          <w:sz w:val="24"/>
        </w:rPr>
        <w:t>7.7</w:t>
      </w:r>
      <w:r>
        <w:rPr>
          <w:rFonts w:hint="eastAsia" w:ascii="宋体" w:hAnsi="宋体" w:cs="宋体"/>
          <w:sz w:val="24"/>
        </w:rPr>
        <w:t>合同一式</w:t>
      </w:r>
      <w:r>
        <w:rPr>
          <w:rFonts w:hint="eastAsia" w:ascii="宋体" w:hAnsi="宋体" w:cs="宋体"/>
          <w:sz w:val="24"/>
          <w:lang w:val="en-US" w:eastAsia="zh-CN"/>
        </w:rPr>
        <w:t>捌</w:t>
      </w:r>
      <w:r>
        <w:rPr>
          <w:rFonts w:hint="eastAsia" w:ascii="宋体" w:hAnsi="宋体" w:cs="宋体"/>
          <w:sz w:val="24"/>
        </w:rPr>
        <w:t>份，甲方持</w:t>
      </w:r>
      <w:r>
        <w:rPr>
          <w:rFonts w:hint="eastAsia" w:ascii="宋体" w:hAnsi="宋体" w:cs="宋体"/>
          <w:sz w:val="24"/>
          <w:lang w:val="en-US" w:eastAsia="zh-CN"/>
        </w:rPr>
        <w:t>伍</w:t>
      </w:r>
      <w:r>
        <w:rPr>
          <w:rFonts w:hint="eastAsia" w:ascii="宋体" w:hAnsi="宋体" w:cs="宋体"/>
          <w:sz w:val="24"/>
        </w:rPr>
        <w:t>份、乙方执贰份，招标代理机构壹份。双方签字盖章后生效，合同执行完毕自动失效。（合同的服务承诺长期有效）。</w:t>
      </w:r>
    </w:p>
    <w:tbl>
      <w:tblPr>
        <w:tblStyle w:val="7"/>
        <w:tblpPr w:leftFromText="180" w:rightFromText="180" w:vertAnchor="text" w:horzAnchor="page" w:tblpX="1365" w:tblpY="284"/>
        <w:tblOverlap w:val="never"/>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0"/>
        <w:gridCol w:w="4850"/>
      </w:tblGrid>
      <w:tr w14:paraId="77D2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57107E75">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color w:val="000000"/>
                <w:sz w:val="24"/>
              </w:rPr>
              <w:t>甲  方：</w:t>
            </w:r>
            <w:r>
              <w:rPr>
                <w:rFonts w:hint="eastAsia" w:ascii="宋体" w:hAnsi="宋体" w:cs="宋体"/>
                <w:sz w:val="24"/>
              </w:rPr>
              <w:t>陕西科技大学</w:t>
            </w:r>
          </w:p>
        </w:tc>
        <w:tc>
          <w:tcPr>
            <w:tcW w:w="4850" w:type="dxa"/>
            <w:tcBorders>
              <w:top w:val="single" w:color="auto" w:sz="4" w:space="0"/>
              <w:left w:val="single" w:color="auto" w:sz="4" w:space="0"/>
              <w:bottom w:val="single" w:color="auto" w:sz="4" w:space="0"/>
              <w:right w:val="single" w:color="auto" w:sz="4" w:space="0"/>
            </w:tcBorders>
            <w:noWrap/>
            <w:vAlign w:val="center"/>
          </w:tcPr>
          <w:p w14:paraId="0D22C385">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color w:val="000000"/>
                <w:sz w:val="24"/>
              </w:rPr>
              <w:t>乙  方：</w:t>
            </w:r>
          </w:p>
        </w:tc>
      </w:tr>
      <w:tr w14:paraId="5FAB3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25EA0B46">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地　址：陕西省西安市未央大学园区</w:t>
            </w:r>
          </w:p>
        </w:tc>
        <w:tc>
          <w:tcPr>
            <w:tcW w:w="4850" w:type="dxa"/>
            <w:tcBorders>
              <w:top w:val="single" w:color="auto" w:sz="4" w:space="0"/>
              <w:left w:val="single" w:color="auto" w:sz="4" w:space="0"/>
              <w:bottom w:val="single" w:color="auto" w:sz="4" w:space="0"/>
              <w:right w:val="single" w:color="auto" w:sz="4" w:space="0"/>
            </w:tcBorders>
            <w:noWrap/>
            <w:vAlign w:val="center"/>
          </w:tcPr>
          <w:p w14:paraId="32C0CDED">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地　址：</w:t>
            </w:r>
          </w:p>
        </w:tc>
      </w:tr>
      <w:tr w14:paraId="575A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7B4279BD">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代理人：</w:t>
            </w:r>
          </w:p>
        </w:tc>
        <w:tc>
          <w:tcPr>
            <w:tcW w:w="4850" w:type="dxa"/>
            <w:tcBorders>
              <w:top w:val="single" w:color="auto" w:sz="4" w:space="0"/>
              <w:left w:val="single" w:color="auto" w:sz="4" w:space="0"/>
              <w:bottom w:val="single" w:color="auto" w:sz="4" w:space="0"/>
              <w:right w:val="single" w:color="auto" w:sz="4" w:space="0"/>
            </w:tcBorders>
            <w:noWrap/>
            <w:vAlign w:val="center"/>
          </w:tcPr>
          <w:p w14:paraId="48C07CB3">
            <w:pPr>
              <w:pageBreakBefore w:val="0"/>
              <w:widowControl w:val="0"/>
              <w:tabs>
                <w:tab w:val="left" w:pos="5355"/>
              </w:tabs>
              <w:kinsoku/>
              <w:wordWrap/>
              <w:overflowPunct/>
              <w:topLinePunct w:val="0"/>
              <w:bidi w:val="0"/>
              <w:spacing w:line="400" w:lineRule="exact"/>
              <w:rPr>
                <w:rFonts w:ascii="宋体" w:hAnsi="宋体" w:cs="宋体"/>
                <w:sz w:val="24"/>
              </w:rPr>
            </w:pPr>
            <w:r>
              <w:rPr>
                <w:rFonts w:hint="eastAsia" w:ascii="宋体" w:hAnsi="宋体" w:cs="宋体"/>
                <w:sz w:val="24"/>
              </w:rPr>
              <w:t>代理人：</w:t>
            </w:r>
          </w:p>
        </w:tc>
      </w:tr>
      <w:tr w14:paraId="60650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5067CA57">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技术确认：</w:t>
            </w:r>
          </w:p>
        </w:tc>
        <w:tc>
          <w:tcPr>
            <w:tcW w:w="4850" w:type="dxa"/>
            <w:tcBorders>
              <w:top w:val="single" w:color="auto" w:sz="4" w:space="0"/>
              <w:left w:val="single" w:color="auto" w:sz="4" w:space="0"/>
              <w:bottom w:val="single" w:color="auto" w:sz="4" w:space="0"/>
              <w:right w:val="single" w:color="auto" w:sz="4" w:space="0"/>
            </w:tcBorders>
            <w:noWrap/>
            <w:vAlign w:val="center"/>
          </w:tcPr>
          <w:p w14:paraId="5480ADE7">
            <w:pPr>
              <w:pageBreakBefore w:val="0"/>
              <w:widowControl w:val="0"/>
              <w:tabs>
                <w:tab w:val="left" w:pos="5355"/>
              </w:tabs>
              <w:kinsoku/>
              <w:wordWrap/>
              <w:overflowPunct/>
              <w:topLinePunct w:val="0"/>
              <w:bidi w:val="0"/>
              <w:spacing w:line="400" w:lineRule="exact"/>
              <w:rPr>
                <w:rFonts w:ascii="宋体" w:hAnsi="宋体" w:cs="宋体"/>
                <w:sz w:val="24"/>
              </w:rPr>
            </w:pPr>
            <w:r>
              <w:rPr>
                <w:rFonts w:hint="eastAsia" w:ascii="宋体" w:hAnsi="宋体" w:cs="宋体"/>
                <w:sz w:val="24"/>
              </w:rPr>
              <w:t>技术确认：</w:t>
            </w:r>
          </w:p>
        </w:tc>
      </w:tr>
      <w:tr w14:paraId="0A29A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5E923214">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联系电话：</w:t>
            </w:r>
          </w:p>
        </w:tc>
        <w:tc>
          <w:tcPr>
            <w:tcW w:w="4850" w:type="dxa"/>
            <w:tcBorders>
              <w:top w:val="single" w:color="auto" w:sz="4" w:space="0"/>
              <w:left w:val="single" w:color="auto" w:sz="4" w:space="0"/>
              <w:bottom w:val="single" w:color="auto" w:sz="4" w:space="0"/>
              <w:right w:val="single" w:color="auto" w:sz="4" w:space="0"/>
            </w:tcBorders>
            <w:noWrap/>
            <w:vAlign w:val="center"/>
          </w:tcPr>
          <w:p w14:paraId="0CBFF334">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联系电话：</w:t>
            </w:r>
          </w:p>
        </w:tc>
      </w:tr>
      <w:tr w14:paraId="347E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4E1B3D39">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开户行：</w:t>
            </w:r>
            <w:r>
              <w:rPr>
                <w:rFonts w:hint="eastAsia" w:ascii="宋体" w:hAnsi="宋体" w:cs="宋体"/>
                <w:color w:val="000000"/>
                <w:sz w:val="24"/>
              </w:rPr>
              <w:t>中国银行西安浐灞区支行</w:t>
            </w:r>
          </w:p>
        </w:tc>
        <w:tc>
          <w:tcPr>
            <w:tcW w:w="4850" w:type="dxa"/>
            <w:tcBorders>
              <w:top w:val="single" w:color="auto" w:sz="4" w:space="0"/>
              <w:left w:val="single" w:color="auto" w:sz="4" w:space="0"/>
              <w:bottom w:val="single" w:color="auto" w:sz="4" w:space="0"/>
              <w:right w:val="single" w:color="auto" w:sz="4" w:space="0"/>
            </w:tcBorders>
            <w:noWrap/>
            <w:vAlign w:val="center"/>
          </w:tcPr>
          <w:p w14:paraId="7B240682">
            <w:pPr>
              <w:pageBreakBefore w:val="0"/>
              <w:widowControl w:val="0"/>
              <w:tabs>
                <w:tab w:val="left" w:pos="5355"/>
              </w:tabs>
              <w:kinsoku/>
              <w:wordWrap/>
              <w:overflowPunct/>
              <w:topLinePunct w:val="0"/>
              <w:bidi w:val="0"/>
              <w:spacing w:line="400" w:lineRule="exact"/>
              <w:rPr>
                <w:rFonts w:ascii="宋体" w:hAnsi="宋体" w:cs="宋体"/>
                <w:sz w:val="24"/>
              </w:rPr>
            </w:pPr>
            <w:r>
              <w:rPr>
                <w:rFonts w:hint="eastAsia" w:ascii="宋体" w:hAnsi="宋体" w:cs="宋体"/>
                <w:sz w:val="24"/>
              </w:rPr>
              <w:t>开户行：</w:t>
            </w:r>
          </w:p>
        </w:tc>
      </w:tr>
      <w:tr w14:paraId="1D402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148D31E3">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账号：</w:t>
            </w:r>
            <w:r>
              <w:rPr>
                <w:rFonts w:hint="eastAsia" w:ascii="宋体" w:hAnsi="宋体" w:cs="宋体"/>
                <w:color w:val="000000"/>
                <w:sz w:val="24"/>
              </w:rPr>
              <w:t>1028 8745 5445</w:t>
            </w:r>
          </w:p>
        </w:tc>
        <w:tc>
          <w:tcPr>
            <w:tcW w:w="4850" w:type="dxa"/>
            <w:tcBorders>
              <w:top w:val="single" w:color="auto" w:sz="4" w:space="0"/>
              <w:left w:val="single" w:color="auto" w:sz="4" w:space="0"/>
              <w:bottom w:val="single" w:color="auto" w:sz="4" w:space="0"/>
              <w:right w:val="single" w:color="auto" w:sz="4" w:space="0"/>
            </w:tcBorders>
            <w:noWrap/>
            <w:vAlign w:val="center"/>
          </w:tcPr>
          <w:p w14:paraId="65CA377E">
            <w:pPr>
              <w:pageBreakBefore w:val="0"/>
              <w:widowControl w:val="0"/>
              <w:tabs>
                <w:tab w:val="left" w:pos="5355"/>
              </w:tabs>
              <w:kinsoku/>
              <w:wordWrap/>
              <w:overflowPunct/>
              <w:topLinePunct w:val="0"/>
              <w:bidi w:val="0"/>
              <w:spacing w:line="400" w:lineRule="exact"/>
              <w:rPr>
                <w:rFonts w:ascii="宋体" w:hAnsi="宋体" w:cs="宋体"/>
                <w:sz w:val="24"/>
              </w:rPr>
            </w:pPr>
            <w:r>
              <w:rPr>
                <w:rFonts w:hint="eastAsia" w:ascii="宋体" w:hAnsi="宋体" w:cs="宋体"/>
                <w:sz w:val="24"/>
              </w:rPr>
              <w:t>账号：</w:t>
            </w:r>
          </w:p>
        </w:tc>
      </w:tr>
      <w:tr w14:paraId="1E154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20DA6AA5">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税号：12610000435630669J</w:t>
            </w:r>
          </w:p>
        </w:tc>
        <w:tc>
          <w:tcPr>
            <w:tcW w:w="4850" w:type="dxa"/>
            <w:tcBorders>
              <w:top w:val="single" w:color="auto" w:sz="4" w:space="0"/>
              <w:left w:val="single" w:color="auto" w:sz="4" w:space="0"/>
              <w:bottom w:val="single" w:color="auto" w:sz="4" w:space="0"/>
              <w:right w:val="single" w:color="auto" w:sz="4" w:space="0"/>
            </w:tcBorders>
            <w:noWrap/>
            <w:vAlign w:val="center"/>
          </w:tcPr>
          <w:p w14:paraId="0754C97B">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税号：</w:t>
            </w:r>
          </w:p>
        </w:tc>
      </w:tr>
      <w:tr w14:paraId="6ED6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4850" w:type="dxa"/>
            <w:tcBorders>
              <w:top w:val="single" w:color="auto" w:sz="4" w:space="0"/>
              <w:left w:val="single" w:color="auto" w:sz="4" w:space="0"/>
              <w:bottom w:val="single" w:color="auto" w:sz="4" w:space="0"/>
              <w:right w:val="single" w:color="auto" w:sz="4" w:space="0"/>
            </w:tcBorders>
            <w:noWrap/>
            <w:vAlign w:val="center"/>
          </w:tcPr>
          <w:p w14:paraId="377DF701">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日期：202</w:t>
            </w:r>
            <w:r>
              <w:rPr>
                <w:rFonts w:hint="eastAsia" w:ascii="宋体" w:hAnsi="宋体" w:cs="宋体"/>
                <w:sz w:val="24"/>
                <w:lang w:val="en-US" w:eastAsia="zh-CN"/>
              </w:rPr>
              <w:t>4</w:t>
            </w:r>
            <w:r>
              <w:rPr>
                <w:rFonts w:hint="eastAsia" w:ascii="宋体" w:hAnsi="宋体" w:cs="宋体"/>
                <w:sz w:val="24"/>
              </w:rPr>
              <w:t xml:space="preserve">年   月   </w:t>
            </w:r>
            <w:r>
              <w:rPr>
                <w:rFonts w:hint="eastAsia" w:ascii="宋体" w:hAnsi="宋体" w:cs="宋体"/>
                <w:sz w:val="24"/>
                <w:lang w:val="en-US" w:eastAsia="zh-CN"/>
              </w:rPr>
              <w:t xml:space="preserve"> </w:t>
            </w:r>
            <w:r>
              <w:rPr>
                <w:rFonts w:hint="eastAsia" w:ascii="宋体" w:hAnsi="宋体" w:cs="宋体"/>
                <w:sz w:val="24"/>
              </w:rPr>
              <w:t>日</w:t>
            </w:r>
          </w:p>
        </w:tc>
        <w:tc>
          <w:tcPr>
            <w:tcW w:w="4850" w:type="dxa"/>
            <w:tcBorders>
              <w:top w:val="single" w:color="auto" w:sz="4" w:space="0"/>
              <w:left w:val="single" w:color="auto" w:sz="4" w:space="0"/>
              <w:bottom w:val="single" w:color="auto" w:sz="4" w:space="0"/>
              <w:right w:val="single" w:color="auto" w:sz="4" w:space="0"/>
            </w:tcBorders>
            <w:noWrap/>
            <w:vAlign w:val="center"/>
          </w:tcPr>
          <w:p w14:paraId="38CF9BCD">
            <w:pPr>
              <w:pageBreakBefore w:val="0"/>
              <w:widowControl w:val="0"/>
              <w:kinsoku/>
              <w:wordWrap/>
              <w:overflowPunct/>
              <w:topLinePunct w:val="0"/>
              <w:bidi w:val="0"/>
              <w:spacing w:line="400" w:lineRule="exact"/>
              <w:rPr>
                <w:rFonts w:ascii="宋体" w:hAnsi="宋体" w:cs="宋体"/>
                <w:sz w:val="24"/>
              </w:rPr>
            </w:pPr>
            <w:r>
              <w:rPr>
                <w:rFonts w:hint="eastAsia" w:ascii="宋体" w:hAnsi="宋体" w:cs="宋体"/>
                <w:sz w:val="24"/>
              </w:rPr>
              <w:t>日期：202</w:t>
            </w:r>
            <w:r>
              <w:rPr>
                <w:rFonts w:hint="eastAsia" w:ascii="宋体" w:hAnsi="宋体" w:cs="宋体"/>
                <w:sz w:val="24"/>
                <w:lang w:val="en-US" w:eastAsia="zh-CN"/>
              </w:rPr>
              <w:t>4</w:t>
            </w:r>
            <w:r>
              <w:rPr>
                <w:rFonts w:hint="eastAsia" w:ascii="宋体" w:hAnsi="宋体" w:cs="宋体"/>
                <w:sz w:val="24"/>
              </w:rPr>
              <w:t xml:space="preserve">年   </w:t>
            </w:r>
            <w:r>
              <w:rPr>
                <w:rFonts w:hint="eastAsia" w:ascii="宋体" w:hAnsi="宋体" w:cs="宋体"/>
                <w:sz w:val="24"/>
                <w:lang w:val="en-US" w:eastAsia="zh-CN"/>
              </w:rPr>
              <w:t xml:space="preserve">   </w:t>
            </w:r>
            <w:r>
              <w:rPr>
                <w:rFonts w:hint="eastAsia" w:ascii="宋体" w:hAnsi="宋体" w:cs="宋体"/>
                <w:sz w:val="24"/>
              </w:rPr>
              <w:t xml:space="preserve">月  </w:t>
            </w:r>
            <w:r>
              <w:rPr>
                <w:rFonts w:hint="eastAsia" w:ascii="宋体" w:hAnsi="宋体" w:cs="宋体"/>
                <w:sz w:val="24"/>
                <w:lang w:val="en-US" w:eastAsia="zh-CN"/>
              </w:rPr>
              <w:t xml:space="preserve">  </w:t>
            </w:r>
            <w:r>
              <w:rPr>
                <w:rFonts w:hint="eastAsia" w:ascii="宋体" w:hAnsi="宋体" w:cs="宋体"/>
                <w:sz w:val="24"/>
              </w:rPr>
              <w:t>日</w:t>
            </w:r>
          </w:p>
        </w:tc>
      </w:tr>
    </w:tbl>
    <w:p w14:paraId="667AE171">
      <w:pPr>
        <w:pStyle w:val="2"/>
        <w:pageBreakBefore w:val="0"/>
        <w:widowControl w:val="0"/>
        <w:kinsoku/>
        <w:wordWrap/>
        <w:overflowPunct/>
        <w:topLinePunct w:val="0"/>
        <w:bidi w:val="0"/>
        <w:spacing w:line="400" w:lineRule="exact"/>
      </w:pPr>
    </w:p>
    <w:p w14:paraId="0123EF4B"/>
    <w:sectPr>
      <w:footerReference r:id="rId5" w:type="default"/>
      <w:pgSz w:w="11906" w:h="16838"/>
      <w:pgMar w:top="1440" w:right="1576" w:bottom="1440" w:left="157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4969929"/>
      <w:docPartObj>
        <w:docPartGallery w:val="autotext"/>
      </w:docPartObj>
    </w:sdtPr>
    <w:sdtContent>
      <w:sdt>
        <w:sdtPr>
          <w:id w:val="1728636285"/>
          <w:docPartObj>
            <w:docPartGallery w:val="autotext"/>
          </w:docPartObj>
        </w:sdtPr>
        <w:sdtContent>
          <w:p w14:paraId="2555A2C7">
            <w:pPr>
              <w:pStyle w:val="5"/>
              <w:jc w:val="center"/>
            </w:pP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sdtContent>
      </w:sdt>
    </w:sdtContent>
  </w:sdt>
  <w:p w14:paraId="7AA13BC3">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IzODg0NDMzZWJkNmFiYzRhMWRmNDcwZTU3Y2ExYTgifQ=="/>
  </w:docVars>
  <w:rsids>
    <w:rsidRoot w:val="2916719F"/>
    <w:rsid w:val="00061257"/>
    <w:rsid w:val="001E4264"/>
    <w:rsid w:val="004C10B8"/>
    <w:rsid w:val="00506792"/>
    <w:rsid w:val="00527429"/>
    <w:rsid w:val="00686C14"/>
    <w:rsid w:val="006F429F"/>
    <w:rsid w:val="007D43DA"/>
    <w:rsid w:val="00861014"/>
    <w:rsid w:val="008E519E"/>
    <w:rsid w:val="00950208"/>
    <w:rsid w:val="009D02F9"/>
    <w:rsid w:val="009E3F2D"/>
    <w:rsid w:val="00AE0CE4"/>
    <w:rsid w:val="00D05DD1"/>
    <w:rsid w:val="00D37CE1"/>
    <w:rsid w:val="00D80F98"/>
    <w:rsid w:val="00DA6D16"/>
    <w:rsid w:val="00EF1FB0"/>
    <w:rsid w:val="00F47796"/>
    <w:rsid w:val="00F734C7"/>
    <w:rsid w:val="00F831FD"/>
    <w:rsid w:val="0D1C63D4"/>
    <w:rsid w:val="1B9B39AA"/>
    <w:rsid w:val="1EC1344A"/>
    <w:rsid w:val="230E1493"/>
    <w:rsid w:val="259D399D"/>
    <w:rsid w:val="28726543"/>
    <w:rsid w:val="2916719F"/>
    <w:rsid w:val="42C854A2"/>
    <w:rsid w:val="5F4F38EB"/>
    <w:rsid w:val="66654614"/>
    <w:rsid w:val="6EA16C8D"/>
    <w:rsid w:val="77794608"/>
    <w:rsid w:val="7EE66D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jc w:val="center"/>
      <w:outlineLvl w:val="1"/>
    </w:pPr>
    <w:rPr>
      <w:rFonts w:ascii="Arial" w:hAnsi="Arial"/>
      <w:b/>
      <w:bCs/>
      <w:sz w:val="28"/>
      <w:szCs w:val="32"/>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rPr>
      <w:color w:val="993300"/>
      <w:sz w:val="24"/>
    </w:rPr>
  </w:style>
  <w:style w:type="paragraph" w:styleId="5">
    <w:name w:val="footer"/>
    <w:basedOn w:val="1"/>
    <w:link w:val="11"/>
    <w:qFormat/>
    <w:uiPriority w:val="99"/>
    <w:pPr>
      <w:tabs>
        <w:tab w:val="center" w:pos="4153"/>
        <w:tab w:val="right" w:pos="8306"/>
      </w:tabs>
      <w:snapToGrid w:val="0"/>
      <w:spacing w:line="240" w:lineRule="auto"/>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customStyle="1" w:styleId="9">
    <w:name w:val="样式 首行缩进:  2 字符"/>
    <w:basedOn w:val="1"/>
    <w:qFormat/>
    <w:uiPriority w:val="99"/>
    <w:pPr>
      <w:spacing w:line="400" w:lineRule="exact"/>
      <w:ind w:firstLine="200" w:firstLineChars="200"/>
    </w:pPr>
    <w:rPr>
      <w:rFonts w:cs="宋体"/>
      <w:sz w:val="24"/>
    </w:rPr>
  </w:style>
  <w:style w:type="character" w:customStyle="1" w:styleId="10">
    <w:name w:val="页眉 Char"/>
    <w:basedOn w:val="8"/>
    <w:link w:val="6"/>
    <w:qFormat/>
    <w:uiPriority w:val="0"/>
    <w:rPr>
      <w:rFonts w:ascii="Times New Roman" w:hAnsi="Times New Roman" w:eastAsia="宋体" w:cs="Times New Roman"/>
      <w:kern w:val="2"/>
      <w:sz w:val="18"/>
      <w:szCs w:val="18"/>
    </w:rPr>
  </w:style>
  <w:style w:type="character" w:customStyle="1" w:styleId="11">
    <w:name w:val="页脚 Char"/>
    <w:basedOn w:val="8"/>
    <w:link w:val="5"/>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1908</Words>
  <Characters>2041</Characters>
  <Lines>16</Lines>
  <Paragraphs>4</Paragraphs>
  <TotalTime>98</TotalTime>
  <ScaleCrop>false</ScaleCrop>
  <LinksUpToDate>false</LinksUpToDate>
  <CharactersWithSpaces>2112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2022-11-16T01:43:00Z</dcterms:created>
  <dc:creator>树妖与手风琴之吻</dc:creator>
  <cp:lastModifiedBy>彭兰君</cp:lastModifiedBy>
  <dcterms:modified xsi:type="dcterms:W3CDTF">2024-11-14T03:21:22Z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1078C8CFBCA64C76986C49CD362933C7</vt:lpwstr>
  </property>
</Properties>
</file>