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4B7B5">
      <w:pPr>
        <w:pStyle w:val="8"/>
        <w:jc w:val="center"/>
        <w:rPr>
          <w:rFonts w:hint="default"/>
        </w:rPr>
      </w:pPr>
      <w:bookmarkStart w:id="0" w:name="_GoBack"/>
      <w:bookmarkEnd w:id="0"/>
      <w:r>
        <w:rPr>
          <w:b/>
          <w:sz w:val="36"/>
        </w:rPr>
        <w:t xml:space="preserve"> 拟签订合同文本</w:t>
      </w:r>
    </w:p>
    <w:p w14:paraId="299B0F1C">
      <w:pPr>
        <w:tabs>
          <w:tab w:val="left" w:pos="675"/>
        </w:tabs>
        <w:rPr>
          <w:rFonts w:ascii="宋体" w:hAnsi="宋体"/>
          <w:b/>
          <w:color w:val="000000"/>
          <w:sz w:val="32"/>
          <w:szCs w:val="32"/>
        </w:rPr>
      </w:pPr>
    </w:p>
    <w:p w14:paraId="483F3436">
      <w:pPr>
        <w:tabs>
          <w:tab w:val="left" w:pos="9030"/>
        </w:tabs>
        <w:snapToGrid w:val="0"/>
        <w:spacing w:line="360" w:lineRule="auto"/>
        <w:ind w:right="-65" w:firstLine="422" w:firstLineChars="200"/>
        <w:rPr>
          <w:rFonts w:ascii="宋体" w:hAnsi="宋体" w:eastAsia="宋体" w:cs="宋体"/>
          <w:b/>
          <w:bCs/>
          <w:szCs w:val="21"/>
          <w:lang w:val="zh-CN"/>
        </w:rPr>
      </w:pPr>
      <w:r>
        <w:rPr>
          <w:rFonts w:hint="eastAsia" w:ascii="宋体" w:hAnsi="宋体" w:eastAsia="宋体" w:cs="宋体"/>
          <w:b/>
          <w:bCs/>
          <w:szCs w:val="21"/>
          <w:lang w:val="zh-CN"/>
        </w:rPr>
        <w:t>甲方：</w:t>
      </w:r>
      <w:r>
        <w:rPr>
          <w:rFonts w:hint="eastAsia" w:ascii="宋体" w:hAnsi="宋体" w:eastAsia="宋体" w:cs="宋体"/>
          <w:bCs/>
          <w:szCs w:val="21"/>
          <w:lang w:val="zh-CN"/>
        </w:rPr>
        <w:t>（前款所称采购人）</w:t>
      </w:r>
    </w:p>
    <w:p w14:paraId="2C5E0420">
      <w:pPr>
        <w:tabs>
          <w:tab w:val="left" w:pos="9030"/>
        </w:tabs>
        <w:snapToGrid w:val="0"/>
        <w:spacing w:line="360" w:lineRule="auto"/>
        <w:ind w:right="-65" w:firstLine="422" w:firstLineChars="200"/>
        <w:rPr>
          <w:rFonts w:ascii="宋体" w:hAnsi="宋体" w:eastAsia="宋体" w:cs="宋体"/>
          <w:bCs/>
          <w:szCs w:val="21"/>
          <w:lang w:val="zh-CN"/>
        </w:rPr>
      </w:pPr>
      <w:r>
        <w:rPr>
          <w:rFonts w:hint="eastAsia" w:ascii="宋体" w:hAnsi="宋体" w:eastAsia="宋体" w:cs="宋体"/>
          <w:b/>
          <w:bCs/>
          <w:szCs w:val="21"/>
          <w:lang w:val="zh-CN"/>
        </w:rPr>
        <w:t>乙方：</w:t>
      </w:r>
      <w:r>
        <w:rPr>
          <w:rFonts w:hint="eastAsia" w:ascii="宋体" w:hAnsi="宋体" w:eastAsia="宋体" w:cs="宋体"/>
          <w:bCs/>
          <w:szCs w:val="21"/>
          <w:lang w:val="zh-CN"/>
        </w:rPr>
        <w:t>（前款所称中标人）</w:t>
      </w:r>
    </w:p>
    <w:p w14:paraId="116414B7">
      <w:pPr>
        <w:tabs>
          <w:tab w:val="left" w:pos="9030"/>
        </w:tabs>
        <w:snapToGrid w:val="0"/>
        <w:spacing w:line="360" w:lineRule="auto"/>
        <w:ind w:right="-65" w:firstLine="422" w:firstLineChars="200"/>
        <w:rPr>
          <w:rFonts w:ascii="宋体" w:hAnsi="宋体" w:eastAsia="宋体" w:cs="宋体"/>
          <w:b/>
          <w:szCs w:val="21"/>
          <w:lang w:val="zh-CN"/>
        </w:rPr>
      </w:pPr>
      <w:r>
        <w:rPr>
          <w:rFonts w:hint="eastAsia" w:ascii="宋体" w:hAnsi="宋体" w:eastAsia="宋体" w:cs="宋体"/>
          <w:b/>
          <w:szCs w:val="21"/>
          <w:lang w:val="zh-CN"/>
        </w:rPr>
        <w:t>一、合同内容:</w:t>
      </w:r>
    </w:p>
    <w:p w14:paraId="22B9CFC0">
      <w:pPr>
        <w:tabs>
          <w:tab w:val="left" w:pos="9030"/>
        </w:tabs>
        <w:snapToGrid w:val="0"/>
        <w:spacing w:line="360" w:lineRule="auto"/>
        <w:ind w:right="-65" w:firstLine="422" w:firstLineChars="200"/>
        <w:rPr>
          <w:rFonts w:ascii="宋体" w:hAnsi="宋体" w:eastAsia="宋体" w:cs="宋体"/>
          <w:b/>
          <w:szCs w:val="21"/>
          <w:lang w:val="zh-CN"/>
        </w:rPr>
      </w:pPr>
      <w:r>
        <w:rPr>
          <w:rFonts w:hint="eastAsia" w:ascii="宋体" w:hAnsi="宋体" w:eastAsia="宋体" w:cs="宋体"/>
          <w:b/>
          <w:szCs w:val="21"/>
          <w:lang w:val="zh-CN"/>
        </w:rPr>
        <w:t>二、合同价款</w:t>
      </w:r>
    </w:p>
    <w:p w14:paraId="28803754">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1、合同总价：</w:t>
      </w:r>
    </w:p>
    <w:p w14:paraId="69453A6B">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合同总价包括：是完成本项目全部内容所需的全部费用。投标报价包括产品达到指定使用地点，具备正常使用条件所包含的费用，包括产品的供应费、运杂费（含保险）、转运费、施工与安装调试费、培训费及国家按现行税收政策征收的一切税费及其它相关的费用。</w:t>
      </w:r>
    </w:p>
    <w:p w14:paraId="00BB041E">
      <w:pPr>
        <w:adjustRightInd w:val="0"/>
        <w:snapToGrid w:val="0"/>
        <w:spacing w:line="360" w:lineRule="auto"/>
        <w:ind w:firstLine="420" w:firstLineChars="200"/>
        <w:rPr>
          <w:rFonts w:ascii="宋体" w:hAnsi="宋体" w:eastAsia="宋体" w:cs="宋体"/>
          <w:color w:val="FF0000"/>
          <w:szCs w:val="21"/>
        </w:rPr>
      </w:pPr>
      <w:r>
        <w:rPr>
          <w:rFonts w:hint="eastAsia" w:ascii="宋体" w:hAnsi="宋体" w:eastAsia="宋体" w:cs="宋体"/>
          <w:szCs w:val="21"/>
        </w:rPr>
        <w:t>3、合同总价一次包死，不受市场价变化的影响。</w:t>
      </w:r>
    </w:p>
    <w:p w14:paraId="53D47DC7">
      <w:pPr>
        <w:tabs>
          <w:tab w:val="left" w:pos="9030"/>
        </w:tabs>
        <w:snapToGrid w:val="0"/>
        <w:spacing w:line="360" w:lineRule="auto"/>
        <w:ind w:right="-65" w:firstLine="422" w:firstLineChars="200"/>
        <w:rPr>
          <w:rFonts w:ascii="宋体" w:hAnsi="宋体" w:eastAsia="宋体" w:cs="宋体"/>
          <w:b/>
          <w:szCs w:val="21"/>
          <w:lang w:val="zh-CN"/>
        </w:rPr>
      </w:pPr>
      <w:r>
        <w:rPr>
          <w:rFonts w:hint="eastAsia" w:ascii="宋体" w:hAnsi="宋体" w:eastAsia="宋体" w:cs="宋体"/>
          <w:b/>
          <w:szCs w:val="21"/>
          <w:lang w:val="zh-CN"/>
        </w:rPr>
        <w:t>三、合同结算</w:t>
      </w:r>
    </w:p>
    <w:p w14:paraId="381801EE">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 xml:space="preserve">1、付款比例：验收合格一个月后支付100%。 </w:t>
      </w:r>
    </w:p>
    <w:p w14:paraId="0696C1A4">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2、质保金：无质保金</w:t>
      </w:r>
    </w:p>
    <w:p w14:paraId="186A1835">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3、结算方式：银行转账。</w:t>
      </w:r>
    </w:p>
    <w:p w14:paraId="2F42163C">
      <w:pPr>
        <w:tabs>
          <w:tab w:val="left" w:pos="9030"/>
        </w:tabs>
        <w:snapToGrid w:val="0"/>
        <w:spacing w:line="360" w:lineRule="auto"/>
        <w:ind w:right="-65" w:firstLine="420" w:firstLineChars="200"/>
        <w:rPr>
          <w:rFonts w:ascii="宋体" w:hAnsi="宋体" w:eastAsia="宋体" w:cs="宋体"/>
          <w:szCs w:val="21"/>
          <w:highlight w:val="none"/>
        </w:rPr>
      </w:pPr>
      <w:r>
        <w:rPr>
          <w:rFonts w:hint="eastAsia" w:ascii="宋体" w:hAnsi="宋体" w:eastAsia="宋体" w:cs="宋体"/>
          <w:szCs w:val="21"/>
          <w:highlight w:val="none"/>
        </w:rPr>
        <w:t>4、结算单位：学校授权或自主结算，在付款前必须开具等额增值税发票给学校。</w:t>
      </w:r>
    </w:p>
    <w:p w14:paraId="5F3ED9E1">
      <w:pPr>
        <w:tabs>
          <w:tab w:val="left" w:pos="9030"/>
        </w:tabs>
        <w:snapToGrid w:val="0"/>
        <w:spacing w:line="360" w:lineRule="auto"/>
        <w:ind w:right="-65" w:firstLine="422" w:firstLineChars="200"/>
        <w:rPr>
          <w:rFonts w:ascii="宋体" w:hAnsi="宋体" w:eastAsia="宋体" w:cs="宋体"/>
          <w:b/>
          <w:szCs w:val="21"/>
          <w:highlight w:val="none"/>
          <w:lang w:val="zh-CN"/>
        </w:rPr>
      </w:pPr>
      <w:r>
        <w:rPr>
          <w:rFonts w:hint="eastAsia" w:ascii="宋体" w:hAnsi="宋体" w:eastAsia="宋体" w:cs="宋体"/>
          <w:b/>
          <w:szCs w:val="21"/>
          <w:highlight w:val="none"/>
          <w:lang w:val="zh-CN"/>
        </w:rPr>
        <w:t>四、</w:t>
      </w:r>
      <w:r>
        <w:rPr>
          <w:rFonts w:hint="eastAsia" w:ascii="宋体" w:hAnsi="宋体" w:eastAsia="宋体" w:cs="宋体"/>
          <w:b/>
          <w:szCs w:val="21"/>
          <w:highlight w:val="none"/>
        </w:rPr>
        <w:t>实施</w:t>
      </w:r>
      <w:r>
        <w:rPr>
          <w:rFonts w:hint="eastAsia" w:ascii="宋体" w:hAnsi="宋体" w:eastAsia="宋体" w:cs="宋体"/>
          <w:b/>
          <w:szCs w:val="21"/>
          <w:highlight w:val="none"/>
          <w:lang w:val="zh-CN"/>
        </w:rPr>
        <w:t>条件:</w:t>
      </w:r>
    </w:p>
    <w:p w14:paraId="732EB7A0">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1、实施地点：甲方指定地点</w:t>
      </w:r>
    </w:p>
    <w:p w14:paraId="1670E413">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2、交货期：签订合同后30日内</w:t>
      </w:r>
    </w:p>
    <w:p w14:paraId="62A07FB5">
      <w:pPr>
        <w:adjustRightInd w:val="0"/>
        <w:snapToGrid w:val="0"/>
        <w:spacing w:line="360" w:lineRule="auto"/>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五、运输</w:t>
      </w:r>
    </w:p>
    <w:p w14:paraId="51EE309F">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1、乙方负责所有货物的运输。确保货物安全、完整到达使用地点，运杂费用包含在总价内，包括货物从供货地点到使用地点的运输费、保险费、搬运费等。</w:t>
      </w:r>
    </w:p>
    <w:p w14:paraId="78B68A55">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2、所有货物在运输、搬运、安装的过程中，造成甲方损失的，由乙方为甲方修复或更新。</w:t>
      </w:r>
    </w:p>
    <w:p w14:paraId="05C8DFD3">
      <w:pPr>
        <w:adjustRightInd w:val="0"/>
        <w:snapToGrid w:val="0"/>
        <w:spacing w:line="360" w:lineRule="auto"/>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六、质量保证</w:t>
      </w:r>
    </w:p>
    <w:p w14:paraId="57D294F8">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1、乙方提供货物必须是经过办理正常手续的全新产品。</w:t>
      </w:r>
    </w:p>
    <w:p w14:paraId="78F61AAD">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2、所供货物是经过国家法定检验、注册、准许市场销售的合法产品。</w:t>
      </w:r>
    </w:p>
    <w:p w14:paraId="041A42E5">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3、货物性能稳定、具有较好的使用效果，质量保证措施完善，符合国家相关标准。</w:t>
      </w:r>
    </w:p>
    <w:p w14:paraId="78253A14">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4、质保期</w:t>
      </w:r>
    </w:p>
    <w:p w14:paraId="172BC59B">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质保期：三年</w:t>
      </w:r>
    </w:p>
    <w:p w14:paraId="0ED1E73C">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1、供应商需提供三年质保服务，服务期内提供7×24小时电话的技术支持和服务，在2小时以内响应，若电话咨询不能解决，需8小时内到现场解决。</w:t>
      </w:r>
    </w:p>
    <w:p w14:paraId="743EF37C">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2、供应商要负责平台的安全，加强日常运维和安全巡检，如果发现系统平台存在安全风险或漏洞，应及时排除安全风险或修补安全漏洞。</w:t>
      </w:r>
    </w:p>
    <w:p w14:paraId="0CB893D8">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3、供应商应提供对采购人的基本免费培训，使采购人使用人员能够正常操作。</w:t>
      </w:r>
    </w:p>
    <w:p w14:paraId="6FFC8A27">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5、包装要求</w:t>
      </w:r>
    </w:p>
    <w:p w14:paraId="13784219">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5-1、除合同另有规定外，乙方提供的全部货物，均应按标准保护措施进行包装，并确保货物安全无损运抵甲方指定地点。</w:t>
      </w:r>
    </w:p>
    <w:p w14:paraId="0A73FC11">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5-2、每一个包装箱内应附一份详细装箱单和质量合格证。</w:t>
      </w:r>
    </w:p>
    <w:p w14:paraId="398DF15C">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6、乙方应保证甲方在使用该货物或其任何一部分时免受第三方提出侵犯其专利权、商标权或工业设计权的起诉。</w:t>
      </w:r>
    </w:p>
    <w:p w14:paraId="6C99B359">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7、如果发现货物的质量、规格、技术指标存在与合同中任何一项不符，甲方应在最短时间内，以书面形式向乙方提出索赔。</w:t>
      </w:r>
    </w:p>
    <w:p w14:paraId="2D739C81">
      <w:pPr>
        <w:adjustRightInd w:val="0"/>
        <w:snapToGrid w:val="0"/>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七、技术服务</w:t>
      </w:r>
    </w:p>
    <w:p w14:paraId="759E46C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1、对技术服务的要求：乙方应随同货物提供相应的技术文件(包括产品合格证、装箱、清单、操作手册、使用说明。检测报告、维护手册、服务指南等资料)，现场安装、调试、试运行技术保障服务。</w:t>
      </w:r>
    </w:p>
    <w:p w14:paraId="6552B823">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2、技术资料：</w:t>
      </w:r>
    </w:p>
    <w:p w14:paraId="05BC2680">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2-1、产品合格证及检验报告；</w:t>
      </w:r>
    </w:p>
    <w:p w14:paraId="6349B890">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2-2、产品使用说明书；</w:t>
      </w:r>
    </w:p>
    <w:p w14:paraId="4592A54B">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2-3、其它资料。</w:t>
      </w:r>
    </w:p>
    <w:p w14:paraId="3285C300">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3、培训：按招标文件要求执行。</w:t>
      </w:r>
    </w:p>
    <w:p w14:paraId="05BD2BE3">
      <w:pPr>
        <w:adjustRightInd w:val="0"/>
        <w:snapToGrid w:val="0"/>
        <w:spacing w:line="360" w:lineRule="auto"/>
        <w:ind w:firstLine="420" w:firstLineChars="200"/>
        <w:rPr>
          <w:rFonts w:ascii="宋体" w:hAnsi="宋体" w:eastAsia="宋体" w:cs="宋体"/>
          <w:color w:val="FF0000"/>
          <w:szCs w:val="21"/>
        </w:rPr>
      </w:pPr>
      <w:r>
        <w:rPr>
          <w:rFonts w:hint="eastAsia" w:ascii="宋体" w:hAnsi="宋体" w:eastAsia="宋体" w:cs="宋体"/>
          <w:szCs w:val="21"/>
        </w:rPr>
        <w:t>培训费用：已包含在合同总价中，甲方不再另行支付。</w:t>
      </w:r>
    </w:p>
    <w:p w14:paraId="3AF0B523">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4、售后服务</w:t>
      </w:r>
    </w:p>
    <w:p w14:paraId="575B5334">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售后服务机构健全，设备投标人在本地建立有完善的售后服务机构及服务团队，提供至少五年免费7*24小时售后服务，提供售后服务承诺函。服务承诺内容为：设备出现故障1小时响应，2小时内到达现场，4小时内解决故障，如遇设备损坏等硬件故障，需提供备机。</w:t>
      </w:r>
    </w:p>
    <w:p w14:paraId="0F0E8F09">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5、伴随服务</w:t>
      </w:r>
    </w:p>
    <w:p w14:paraId="4F2D82D9">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5-1、乙方应随同每套货物提供相应的中文的技术文件。</w:t>
      </w:r>
    </w:p>
    <w:p w14:paraId="051BEA64">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5-1-1、完整的操作使用手册和维护、修理技术文件，图纸、保修卡等。</w:t>
      </w:r>
    </w:p>
    <w:p w14:paraId="08F2C7A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5-1-2、制造厂的检验、测试报告、设备检验合格证书，计量合格等级证书，质量保证书等文件须随设备装箱提供。</w:t>
      </w:r>
    </w:p>
    <w:p w14:paraId="7AD4EA06">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5-1-3、必须的其它技术资料。</w:t>
      </w:r>
    </w:p>
    <w:p w14:paraId="57766BD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5-2、伴随服务的费用已含在合同价中，不单独进行支付。</w:t>
      </w:r>
    </w:p>
    <w:p w14:paraId="7B8878AB">
      <w:pPr>
        <w:adjustRightInd w:val="0"/>
        <w:snapToGrid w:val="0"/>
        <w:spacing w:line="360" w:lineRule="auto"/>
        <w:ind w:firstLine="422" w:firstLineChars="200"/>
        <w:rPr>
          <w:rFonts w:ascii="宋体" w:hAnsi="宋体" w:eastAsia="宋体" w:cs="宋体"/>
          <w:b/>
          <w:bCs/>
          <w:szCs w:val="21"/>
        </w:rPr>
      </w:pPr>
      <w:r>
        <w:rPr>
          <w:rFonts w:hint="eastAsia" w:ascii="宋体" w:hAnsi="宋体" w:eastAsia="宋体" w:cs="宋体"/>
          <w:b/>
          <w:bCs/>
          <w:szCs w:val="21"/>
        </w:rPr>
        <w:t>八、验收</w:t>
      </w:r>
    </w:p>
    <w:p w14:paraId="51E62B35">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1、所有产品验收内容包括确认产品的产地、规格、型号、参数和数量，对其技术指标、性能参数进行逐项检查。</w:t>
      </w:r>
    </w:p>
    <w:p w14:paraId="21A4614C">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2、所供产品的技术指标、性能参数未达到招标文件的要求，中标公司应免费更换，所造成的损失由中标公司承担。</w:t>
      </w:r>
    </w:p>
    <w:p w14:paraId="29494794">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3、验收合格后。中标人、采购人共同填写项目验收证明，并签字盖章确认产品合格。</w:t>
      </w:r>
    </w:p>
    <w:p w14:paraId="62D15FEB">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4、验收依据：</w:t>
      </w:r>
    </w:p>
    <w:p w14:paraId="0DAC4383">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4-1、合同文本、合同附件、招标文件、投标文件。</w:t>
      </w:r>
    </w:p>
    <w:p w14:paraId="2918339D">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4-2、国内相应的标准、规范。</w:t>
      </w:r>
    </w:p>
    <w:p w14:paraId="7B69CED7">
      <w:pPr>
        <w:adjustRightInd w:val="0"/>
        <w:snapToGrid w:val="0"/>
        <w:spacing w:line="360" w:lineRule="auto"/>
        <w:ind w:firstLine="422" w:firstLineChars="200"/>
        <w:rPr>
          <w:rFonts w:ascii="宋体" w:hAnsi="宋体" w:eastAsia="宋体" w:cs="宋体"/>
          <w:b/>
          <w:bCs/>
          <w:szCs w:val="21"/>
        </w:rPr>
      </w:pPr>
      <w:r>
        <w:rPr>
          <w:rFonts w:hint="eastAsia" w:ascii="宋体" w:hAnsi="宋体" w:eastAsia="宋体" w:cs="宋体"/>
          <w:b/>
          <w:bCs/>
          <w:szCs w:val="21"/>
        </w:rPr>
        <w:t>九、违约责任</w:t>
      </w:r>
    </w:p>
    <w:p w14:paraId="0C19F385">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1、按《民法典》中的相关条款执行。</w:t>
      </w:r>
    </w:p>
    <w:p w14:paraId="55666B9A">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2、乙方履约延误</w:t>
      </w:r>
    </w:p>
    <w:p w14:paraId="753B614A">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2-1、如乙方事先未征得甲方同意并得到甲方的谅解而单方面延迟交货，将按违约终止合同。</w:t>
      </w:r>
    </w:p>
    <w:p w14:paraId="59C21223">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2BD6F491">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3、违约终止合同：未按合同要求提供货物或质量不能满足技术要求，甲方会同监督机构有权终止合同，对乙方违约行为进行追究，同时按政府采购法的有关规定进行相应的处罚。</w:t>
      </w:r>
    </w:p>
    <w:p w14:paraId="7004DAA3">
      <w:pPr>
        <w:adjustRightInd w:val="0"/>
        <w:snapToGrid w:val="0"/>
        <w:spacing w:line="360" w:lineRule="auto"/>
        <w:ind w:firstLine="422" w:firstLineChars="200"/>
        <w:rPr>
          <w:rFonts w:ascii="宋体" w:hAnsi="宋体" w:eastAsia="宋体" w:cs="宋体"/>
          <w:b/>
          <w:bCs/>
          <w:szCs w:val="21"/>
        </w:rPr>
      </w:pPr>
      <w:r>
        <w:rPr>
          <w:rFonts w:hint="eastAsia" w:ascii="宋体" w:hAnsi="宋体" w:eastAsia="宋体" w:cs="宋体"/>
          <w:b/>
          <w:bCs/>
          <w:szCs w:val="21"/>
        </w:rPr>
        <w:t>十、不可抵抗力的应对措施和解决办法：</w:t>
      </w:r>
    </w:p>
    <w:p w14:paraId="6D813761">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3979BD7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2、遭受不可抗力一方应在不可抗力事故发生后尽快以书面形式通知对方，并于事故发生后14天内将有关部门出具的证明文件、详细情况报告以及不可抗力对履行合同影响程度的说明通知对方。</w:t>
      </w:r>
    </w:p>
    <w:p w14:paraId="320CFEFF">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3、发生不可抗力时，任何一方均不对因不可抗力无法履行或延迟履行本合同义务而使另一方蒙受损失承担责任，但遭受不可抗力一方有责任尽可能采取适当或必要措施减少或消除不可抗力的影响。遭受不可抗力的一方对因未尽本项义务而造成的损失承担赔偿责任。</w:t>
      </w:r>
    </w:p>
    <w:p w14:paraId="08EA86B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4、一旦不可抗力事故的影响持续120天以上，甲乙双方通过友好协商，在合理的时间内达成进一步履行合同或者终止合同协议。</w:t>
      </w:r>
    </w:p>
    <w:p w14:paraId="645E2044">
      <w:pPr>
        <w:adjustRightInd w:val="0"/>
        <w:snapToGrid w:val="0"/>
        <w:spacing w:line="360" w:lineRule="auto"/>
        <w:ind w:firstLine="422" w:firstLineChars="200"/>
        <w:rPr>
          <w:rFonts w:ascii="宋体" w:hAnsi="宋体" w:eastAsia="宋体" w:cs="宋体"/>
          <w:b/>
          <w:bCs/>
          <w:szCs w:val="21"/>
        </w:rPr>
      </w:pPr>
      <w:r>
        <w:rPr>
          <w:rFonts w:hint="eastAsia" w:ascii="宋体" w:hAnsi="宋体" w:eastAsia="宋体" w:cs="宋体"/>
          <w:b/>
          <w:bCs/>
          <w:szCs w:val="21"/>
        </w:rPr>
        <w:t>十一、合同组成</w:t>
      </w:r>
    </w:p>
    <w:p w14:paraId="5C001134">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1、中标通知书</w:t>
      </w:r>
    </w:p>
    <w:p w14:paraId="313FAE81">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2、合同文件</w:t>
      </w:r>
    </w:p>
    <w:p w14:paraId="6D1AE7DB">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3、国家相关规范及标准</w:t>
      </w:r>
    </w:p>
    <w:p w14:paraId="7AD3EBB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4、供货设备技术规格及参数表</w:t>
      </w:r>
    </w:p>
    <w:p w14:paraId="51C853F4">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5、招标文件</w:t>
      </w:r>
    </w:p>
    <w:p w14:paraId="3521CD31">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6、投标文件</w:t>
      </w:r>
    </w:p>
    <w:p w14:paraId="68773129">
      <w:pPr>
        <w:adjustRightInd w:val="0"/>
        <w:snapToGrid w:val="0"/>
        <w:spacing w:line="360" w:lineRule="auto"/>
        <w:ind w:firstLine="422" w:firstLineChars="200"/>
        <w:rPr>
          <w:rFonts w:ascii="宋体" w:hAnsi="宋体" w:eastAsia="宋体" w:cs="宋体"/>
          <w:b/>
          <w:bCs/>
          <w:szCs w:val="21"/>
        </w:rPr>
      </w:pPr>
      <w:r>
        <w:rPr>
          <w:rFonts w:hint="eastAsia" w:ascii="宋体" w:hAnsi="宋体" w:eastAsia="宋体" w:cs="宋体"/>
          <w:b/>
          <w:bCs/>
          <w:szCs w:val="21"/>
        </w:rPr>
        <w:t>十二、合同生效及其它</w:t>
      </w:r>
    </w:p>
    <w:p w14:paraId="03F5595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1、合同未尽事宜、由甲、乙双方协商，作为合同补充，与原合同具有同等法律效力。</w:t>
      </w:r>
    </w:p>
    <w:p w14:paraId="3033939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 本合同正本一式</w:t>
      </w:r>
      <w:r>
        <w:rPr>
          <w:rFonts w:hint="eastAsia" w:ascii="宋体" w:hAnsi="宋体" w:eastAsia="宋体" w:cs="宋体"/>
          <w:szCs w:val="21"/>
          <w:u w:val="single"/>
        </w:rPr>
        <w:t xml:space="preserve">  </w:t>
      </w:r>
      <w:r>
        <w:rPr>
          <w:rFonts w:hint="eastAsia" w:ascii="宋体" w:hAnsi="宋体" w:eastAsia="宋体" w:cs="宋体"/>
          <w:szCs w:val="21"/>
        </w:rPr>
        <w:t>份，甲方、乙方双方分别执</w:t>
      </w:r>
      <w:r>
        <w:rPr>
          <w:rFonts w:hint="eastAsia" w:ascii="宋体" w:hAnsi="宋体" w:eastAsia="宋体" w:cs="宋体"/>
          <w:szCs w:val="21"/>
          <w:u w:val="single"/>
        </w:rPr>
        <w:t xml:space="preserve">  </w:t>
      </w:r>
      <w:r>
        <w:rPr>
          <w:rFonts w:hint="eastAsia" w:ascii="宋体" w:hAnsi="宋体" w:eastAsia="宋体" w:cs="宋体"/>
          <w:szCs w:val="21"/>
        </w:rPr>
        <w:t>份，备案</w:t>
      </w:r>
      <w:r>
        <w:rPr>
          <w:rFonts w:hint="eastAsia" w:ascii="宋体" w:hAnsi="宋体" w:eastAsia="宋体" w:cs="宋体"/>
          <w:szCs w:val="21"/>
          <w:u w:val="single"/>
        </w:rPr>
        <w:t xml:space="preserve">  </w:t>
      </w:r>
      <w:r>
        <w:rPr>
          <w:rFonts w:hint="eastAsia" w:ascii="宋体" w:hAnsi="宋体" w:eastAsia="宋体" w:cs="宋体"/>
          <w:szCs w:val="21"/>
        </w:rPr>
        <w:t>份。</w:t>
      </w:r>
    </w:p>
    <w:p w14:paraId="5830C7F3">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3、合同经甲乙双方盖章、签字后生效，合同签订地点为</w:t>
      </w:r>
      <w:r>
        <w:rPr>
          <w:rFonts w:hint="eastAsia" w:ascii="宋体" w:hAnsi="宋体" w:eastAsia="宋体" w:cs="宋体"/>
          <w:szCs w:val="21"/>
          <w:u w:val="single"/>
        </w:rPr>
        <w:t xml:space="preserve">   </w:t>
      </w:r>
      <w:r>
        <w:rPr>
          <w:rFonts w:hint="eastAsia" w:ascii="宋体" w:hAnsi="宋体" w:eastAsia="宋体" w:cs="宋体"/>
          <w:szCs w:val="21"/>
        </w:rPr>
        <w:t>。</w:t>
      </w:r>
    </w:p>
    <w:p w14:paraId="5C48F3D1">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4、生效时间：   年  月  日</w:t>
      </w:r>
    </w:p>
    <w:tbl>
      <w:tblPr>
        <w:tblStyle w:val="6"/>
        <w:tblW w:w="0" w:type="auto"/>
        <w:jc w:val="center"/>
        <w:tblLayout w:type="fixed"/>
        <w:tblCellMar>
          <w:top w:w="0" w:type="dxa"/>
          <w:left w:w="108" w:type="dxa"/>
          <w:bottom w:w="0" w:type="dxa"/>
          <w:right w:w="108" w:type="dxa"/>
        </w:tblCellMar>
      </w:tblPr>
      <w:tblGrid>
        <w:gridCol w:w="4643"/>
        <w:gridCol w:w="4643"/>
      </w:tblGrid>
      <w:tr w14:paraId="51B991BC">
        <w:tblPrEx>
          <w:tblCellMar>
            <w:top w:w="0" w:type="dxa"/>
            <w:left w:w="108" w:type="dxa"/>
            <w:bottom w:w="0" w:type="dxa"/>
            <w:right w:w="108" w:type="dxa"/>
          </w:tblCellMar>
        </w:tblPrEx>
        <w:trPr>
          <w:jc w:val="center"/>
        </w:trPr>
        <w:tc>
          <w:tcPr>
            <w:tcW w:w="4643" w:type="dxa"/>
            <w:noWrap w:val="0"/>
            <w:vAlign w:val="top"/>
          </w:tcPr>
          <w:p w14:paraId="41D6AE4D">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甲方名称（盖章）:</w:t>
            </w:r>
          </w:p>
          <w:p w14:paraId="512E68E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地址：</w:t>
            </w:r>
          </w:p>
          <w:p w14:paraId="67B510DB">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代表人（签字）：</w:t>
            </w:r>
          </w:p>
          <w:p w14:paraId="2BBB9E74">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电话：</w:t>
            </w:r>
          </w:p>
          <w:p w14:paraId="2F4C0E7D">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开户银行：</w:t>
            </w:r>
          </w:p>
          <w:p w14:paraId="6EA69FAC">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帐号：</w:t>
            </w:r>
          </w:p>
        </w:tc>
        <w:tc>
          <w:tcPr>
            <w:tcW w:w="4643" w:type="dxa"/>
            <w:noWrap w:val="0"/>
            <w:vAlign w:val="top"/>
          </w:tcPr>
          <w:p w14:paraId="0C2E8121">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乙方名称（盖章）:</w:t>
            </w:r>
          </w:p>
          <w:p w14:paraId="29321500">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地址：</w:t>
            </w:r>
          </w:p>
          <w:p w14:paraId="2E844AE6">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代表人（签字）：</w:t>
            </w:r>
          </w:p>
          <w:p w14:paraId="21DE05A6">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电话：</w:t>
            </w:r>
          </w:p>
          <w:p w14:paraId="269C8542">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开户银行：</w:t>
            </w:r>
          </w:p>
          <w:p w14:paraId="0DF5315C">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帐号：</w:t>
            </w:r>
          </w:p>
        </w:tc>
      </w:tr>
    </w:tbl>
    <w:p w14:paraId="532DE7F6">
      <w:pPr>
        <w:autoSpaceDE w:val="0"/>
        <w:autoSpaceDN w:val="0"/>
        <w:adjustRightInd w:val="0"/>
        <w:rPr>
          <w:rFonts w:ascii="仿宋" w:hAnsi="仿宋" w:eastAsia="仿宋"/>
          <w:b/>
          <w:bCs/>
          <w:szCs w:val="21"/>
          <w:lang w:val="zh-CN"/>
        </w:rPr>
        <w:sectPr>
          <w:pgSz w:w="11906" w:h="16838"/>
          <w:pgMar w:top="1418" w:right="1417" w:bottom="1418" w:left="1417" w:header="851" w:footer="992" w:gutter="0"/>
          <w:cols w:space="720" w:num="1"/>
          <w:rtlGutter w:val="1"/>
          <w:docGrid w:linePitch="312" w:charSpace="0"/>
        </w:sectPr>
      </w:pPr>
    </w:p>
    <w:p w14:paraId="4330796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A763F"/>
    <w:rsid w:val="093F3C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toc 5"/>
    <w:basedOn w:val="1"/>
    <w:next w:val="1"/>
    <w:qFormat/>
    <w:uiPriority w:val="0"/>
    <w:pPr>
      <w:ind w:left="1680" w:leftChars="800"/>
    </w:pPr>
  </w:style>
  <w:style w:type="paragraph" w:styleId="4">
    <w:name w:val="footer"/>
    <w:basedOn w:val="1"/>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2498</Words>
  <Characters>2547</Characters>
  <Lines>0</Lines>
  <Paragraphs>0</Paragraphs>
  <TotalTime>0</TotalTime>
  <ScaleCrop>false</ScaleCrop>
  <LinksUpToDate>false</LinksUpToDate>
  <CharactersWithSpaces>2566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2024-11-18T03:37:23Z</dcterms:created>
  <dc:creator>0</dc:creator>
  <cp:lastModifiedBy>梦雨</cp:lastModifiedBy>
  <dcterms:modified xsi:type="dcterms:W3CDTF">2024-11-18T03:42:50Z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C6AB59D1A2694F97B50AF74FF4FDC7BF_13</vt:lpwstr>
  </property>
</Properties>
</file>