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版本号：241106001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飞行时间电感耦合等离子质谱仪采购项目</w:t>
      </w:r>
    </w:p>
    <w:p>
      <w:pPr>
        <w:pStyle w:val="null3"/>
        <w:jc w:val="center"/>
        <w:outlineLvl w:val="2"/>
      </w:pPr>
      <w:r>
        <w:rPr>
          <w:sz w:val="28"/>
          <w:b/>
        </w:rPr>
        <w:t>采购项目编号：</w:t>
      </w:r>
      <w:r>
        <w:rPr>
          <w:sz w:val="28"/>
          <w:b/>
        </w:rPr>
        <w:t>JXRC-241024</w:t>
      </w:r>
      <w:r>
        <w:br/>
      </w:r>
      <w:r>
        <w:br/>
      </w:r>
      <w:r>
        <w:br/>
      </w:r>
    </w:p>
    <w:p>
      <w:pPr>
        <w:pStyle w:val="null3"/>
        <w:jc w:val="center"/>
        <w:outlineLvl w:val="2"/>
      </w:pPr>
      <w:r>
        <w:rPr>
          <w:sz w:val="28"/>
          <w:b/>
        </w:rPr>
        <w:t>西北大学</w:t>
      </w:r>
    </w:p>
    <w:p>
      <w:pPr>
        <w:pStyle w:val="null3"/>
        <w:jc w:val="center"/>
        <w:outlineLvl w:val="2"/>
      </w:pPr>
      <w:r>
        <w:rPr>
          <w:sz w:val="28"/>
          <w:b/>
        </w:rPr>
        <w:t>陕西嘉信瑞诚招标有限公司</w:t>
      </w:r>
      <w:r>
        <w:rPr>
          <w:sz w:val="28"/>
          <w:b/>
        </w:rPr>
        <w:t>共同编制</w:t>
      </w:r>
    </w:p>
    <w:p>
      <w:pPr>
        <w:pStyle w:val="null3"/>
        <w:jc w:val="center"/>
        <w:outlineLvl w:val="2"/>
      </w:pPr>
      <w:r>
        <w:rPr>
          <w:sz w:val="28"/>
          <w:b/>
        </w:rPr>
        <w:t>2024年11月06日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陕西嘉信瑞诚招标有限公司</w:t>
      </w:r>
      <w:r>
        <w:rPr/>
        <w:t>（以下简称“代理机构”）受</w:t>
      </w:r>
      <w:r>
        <w:rPr/>
        <w:t>西北大学</w:t>
      </w:r>
      <w:r>
        <w:rPr/>
        <w:t>委托，拟对</w:t>
      </w:r>
      <w:r>
        <w:rPr/>
        <w:t>飞行时间电感耦合等离子质谱仪采购项目</w:t>
      </w:r>
      <w:r>
        <w:rPr/>
        <w:t>进行国内公开招标，兹邀请符合本次招标要求的供应商参加投标。</w:t>
      </w:r>
    </w:p>
    <w:p>
      <w:pPr>
        <w:pStyle w:val="null3"/>
        <w:outlineLvl w:val="2"/>
      </w:pPr>
      <w:r>
        <w:rPr>
          <w:sz w:val="28"/>
          <w:b/>
        </w:rPr>
        <w:t>一、采购项目编号：</w:t>
      </w:r>
      <w:r>
        <w:rPr>
          <w:sz w:val="28"/>
          <w:b/>
        </w:rPr>
        <w:t>JXRC-241024</w:t>
      </w:r>
    </w:p>
    <w:p>
      <w:pPr>
        <w:pStyle w:val="null3"/>
        <w:outlineLvl w:val="2"/>
      </w:pPr>
      <w:r>
        <w:rPr>
          <w:sz w:val="28"/>
          <w:b/>
        </w:rPr>
        <w:t>二、采购项目名称：</w:t>
      </w:r>
      <w:r>
        <w:rPr>
          <w:sz w:val="28"/>
          <w:b/>
        </w:rPr>
        <w:t>飞行时间电感耦合等离子质谱仪采购项目</w:t>
      </w:r>
    </w:p>
    <w:p>
      <w:pPr>
        <w:pStyle w:val="null3"/>
        <w:outlineLvl w:val="2"/>
      </w:pPr>
      <w:r>
        <w:rPr>
          <w:sz w:val="28"/>
          <w:b/>
        </w:rPr>
        <w:t>三、招标项目简介</w:t>
      </w:r>
    </w:p>
    <w:p>
      <w:pPr>
        <w:pStyle w:val="null3"/>
        <w:ind w:firstLine="480"/>
      </w:pPr>
      <w:r>
        <w:rPr/>
        <w:t>飞行时间电感耦合等离子质谱仪，1套。</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投标人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t>2、投标人应有良好的财务状况：法人提供会计师事务所出具的完整的2023年度审计报告（成立时间至提交投标文件截止时间不足一年的可提供成立后任意时段的资产负债表)，或开标前6个月内（2024年5月1日后）其开户银行出具的资信证明，或信用担保机构出具的投标担保函（以上三种形式的资料提供任何一种即可)；其他组织和自然人提供银行出具的资信证明或财务报表；并进行电子签章。</w:t>
      </w:r>
    </w:p>
    <w:p>
      <w:pPr>
        <w:pStyle w:val="null3"/>
      </w:pPr>
      <w:r>
        <w:rPr/>
        <w:t>3、投标人应有依法缴纳税收的良好记录：法人提供自2024年5月1日以来至少一个月的纳税证明或完税证明(增值税、企业所得税至少一种)，纳税证明或完税证明上应有代收机构或税务机关的公章或业务专用章；其他组织和自然人提供自2024年5月1日以来至少一个月缴纳税收的凭据；依法免税的投标人应提供相关文件证明。并进行电子签章。</w:t>
      </w:r>
    </w:p>
    <w:p>
      <w:pPr>
        <w:pStyle w:val="null3"/>
      </w:pPr>
      <w:r>
        <w:rPr/>
        <w:t>4、投标人应有依法缴纳社会保障资金的良好记录：提供自2024年5月1日以来至少一个月已缴纳的社会保障资金的证明（社会保障资金缴存单据或社保机构开具的社会保险参保缴费情况证明等)；依法不需要缴纳社会保障资金的投标人应提供相关证明文件。并进行电子签章。</w:t>
      </w:r>
    </w:p>
    <w:p>
      <w:pPr>
        <w:pStyle w:val="null3"/>
      </w:pPr>
      <w:r>
        <w:rPr/>
        <w:t>5、法定代表授权书：法定代表人/负责人直接参加的，只须递交《法定代表人/负责人身份证明》；法定代表人/负责人授权代表参加的，须递交《法定代表人/负责人授权书》,并进行电子签章。</w:t>
      </w:r>
    </w:p>
    <w:p>
      <w:pPr>
        <w:pStyle w:val="null3"/>
      </w:pPr>
      <w:r>
        <w:rPr/>
        <w:t>6、参加本次政府采购活动前三年内，在经营活动中没有重大违法记录：投标人需提供《无重大违法记录声明》完成承诺并进行电子签章。</w:t>
      </w:r>
    </w:p>
    <w:p>
      <w:pPr>
        <w:pStyle w:val="null3"/>
      </w:pPr>
      <w:r>
        <w:rPr/>
        <w:t>7、投标人应具有履行合同所必需的设备和专业技术能力：投标人需提供《具有履行合同所必需的设备和专业技术能力的承诺书》完成承诺并进行电子签章。</w:t>
      </w:r>
    </w:p>
    <w:p>
      <w:pPr>
        <w:pStyle w:val="null3"/>
      </w:pPr>
      <w:r>
        <w:rPr/>
        <w:t>8、本项目允许进口产品投标：所投产品为进口产品的，供应商为非所投产品制造厂家的，需提供产品制造厂家对所投进口产品的授权书，或具有授权权限的代理商对所投进口产品的授权书（且需提供该代理商具有有效授权权限的相关证明文件，证明文件需能显示产品制造厂家对所投产品授权链条的完整性），产品制造厂家直投不需要提供。</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西北大学</w:t>
      </w:r>
    </w:p>
    <w:p>
      <w:pPr>
        <w:pStyle w:val="null3"/>
      </w:pPr>
      <w:r>
        <w:rPr/>
        <w:t xml:space="preserve"> 地址： </w:t>
      </w:r>
      <w:r>
        <w:rPr/>
        <w:t>西安市长安区郭杜教育科技产业园学府大道1号</w:t>
      </w:r>
    </w:p>
    <w:p>
      <w:pPr>
        <w:pStyle w:val="null3"/>
      </w:pPr>
      <w:r>
        <w:rPr/>
        <w:t xml:space="preserve"> 邮编： </w:t>
      </w:r>
      <w:r>
        <w:rPr/>
        <w:t>710000</w:t>
      </w:r>
    </w:p>
    <w:p>
      <w:pPr>
        <w:pStyle w:val="null3"/>
      </w:pPr>
      <w:r>
        <w:rPr/>
        <w:t xml:space="preserve"> 联系人： </w:t>
      </w:r>
      <w:r>
        <w:rPr/>
        <w:t>薛老师</w:t>
      </w:r>
    </w:p>
    <w:p>
      <w:pPr>
        <w:pStyle w:val="null3"/>
      </w:pPr>
      <w:r>
        <w:rPr/>
        <w:t xml:space="preserve"> 联系电话： </w:t>
      </w:r>
      <w:r>
        <w:rPr/>
        <w:t>029-88302974</w:t>
      </w:r>
    </w:p>
    <w:p>
      <w:pPr>
        <w:pStyle w:val="null3"/>
        <w:outlineLvl w:val="2"/>
      </w:pPr>
      <w:r>
        <w:rPr>
          <w:sz w:val="28"/>
          <w:b/>
        </w:rPr>
        <w:t>代理机构：</w:t>
      </w:r>
      <w:r>
        <w:rPr>
          <w:sz w:val="28"/>
          <w:b/>
        </w:rPr>
        <w:t>陕西嘉信瑞诚招标有限公司</w:t>
      </w:r>
    </w:p>
    <w:p>
      <w:pPr>
        <w:pStyle w:val="null3"/>
      </w:pPr>
      <w:r>
        <w:rPr/>
        <w:t xml:space="preserve"> 地址： </w:t>
      </w:r>
      <w:r>
        <w:rPr/>
        <w:t>西安市南稍门十字东南角大话南门壹中心18层1806室</w:t>
      </w:r>
    </w:p>
    <w:p>
      <w:pPr>
        <w:pStyle w:val="null3"/>
      </w:pPr>
      <w:r>
        <w:rPr/>
        <w:t xml:space="preserve"> 邮编： </w:t>
      </w:r>
      <w:r>
        <w:rPr/>
        <w:t>710061</w:t>
      </w:r>
    </w:p>
    <w:p>
      <w:pPr>
        <w:pStyle w:val="null3"/>
      </w:pPr>
      <w:r>
        <w:rPr/>
        <w:t xml:space="preserve"> 联系人： </w:t>
      </w:r>
      <w:r>
        <w:rPr/>
        <w:t>曲慧、张海</w:t>
      </w:r>
    </w:p>
    <w:p>
      <w:pPr>
        <w:pStyle w:val="null3"/>
      </w:pPr>
      <w:r>
        <w:rPr/>
        <w:t xml:space="preserve"> 联系电话： </w:t>
      </w:r>
      <w:r>
        <w:rPr/>
        <w:t>029-81541692</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采购包1：4,400,000.00元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采购包1保证金金额：60,000.00元</w:t>
            </w:r>
          </w:p>
          <w:p>
            <w:pPr>
              <w:pStyle w:val="null3"/>
            </w:pPr>
            <w:r>
              <w:rPr/>
              <w:t>缴交渠道：电子保函,转账、支票、汇票等（需通过实体账户、户名及开户行信息）</w:t>
            </w:r>
          </w:p>
          <w:p>
            <w:pPr>
              <w:pStyle w:val="null3"/>
            </w:pPr>
            <w:r>
              <w:rPr/>
              <w:t>开户名称：陕西嘉信瑞诚招标有限公司</w:t>
            </w:r>
          </w:p>
          <w:p>
            <w:pPr>
              <w:pStyle w:val="null3"/>
            </w:pPr>
            <w:r>
              <w:rPr/>
              <w:t>开户银行：民生银行西安分行营业部</w:t>
            </w:r>
          </w:p>
          <w:p>
            <w:pPr>
              <w:pStyle w:val="null3"/>
            </w:pPr>
            <w:r>
              <w:rPr/>
              <w:t>银行账号：632043869</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说明：履约保证金金额为成交金额的5%（货物类），待验收合格后凭验收单和缴款收据，履约保证金予以无息退还。 转账账号：西北大学 611301015018001145006 交通银行太白路支行 转账金额到账后，可持银行回执到西北大学换取收据。 待合同执行完毕、设备验收合格后凭验收单和缴款收据，合同履约保证金予以退还。如遇下列情况之一者，合同履约保证金不予退还，作为对采购人的赔偿： （1）合同签订后不能按合同时限要求供货或安装调试的； （2）所供设备与合同不符或验收不合格的； （3）不能按合同履约的。</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依照国家计委关于印发《采购代理服务收费管理暂行办法的通知》（计价格[2002]1980号）及《国家发展改革委办公厅关于招标代理服务收费有关问题的通知》（发改办价格[2003]857号）规定的收费标准下浮20％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允许。本项目允许采购进口产品，进口产品的清单详见第3章。</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西北大学</w:t>
      </w:r>
      <w:r>
        <w:rPr/>
        <w:t>和</w:t>
      </w:r>
      <w:r>
        <w:rPr/>
        <w:t>陕西嘉信瑞诚招标有限公司</w:t>
      </w:r>
      <w:r>
        <w:rPr/>
        <w:t>享有。对招标文件中供应商参加本次政府采购活动应当具备的条件，招标项目技术、服务、商务及其他要求，评标细则及标准由</w:t>
      </w:r>
      <w:r>
        <w:rPr/>
        <w:t>西北大学</w:t>
      </w:r>
      <w:r>
        <w:rPr/>
        <w:t>负责解释。除上述招标文件内容，其他内容由</w:t>
      </w:r>
      <w:r>
        <w:rPr/>
        <w:t>陕西嘉信瑞诚招标有限公司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西北大学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陕西嘉信瑞诚招标有限公司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35</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详见采购文件及合同文本。</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陕西嘉信瑞诚招标有限公司</w:t>
      </w:r>
      <w:r>
        <w:rPr/>
        <w:t xml:space="preserve"> 负责答复；供应商对除采购需求外的采购文件的询问、质疑由</w:t>
      </w:r>
      <w:r>
        <w:rPr/>
        <w:t>陕西嘉信瑞诚招标有限公司</w:t>
      </w:r>
      <w:r>
        <w:rPr/>
        <w:t xml:space="preserve"> 负责答复；供应商对采购过程、采购结果的询问、质疑由 </w:t>
      </w:r>
      <w:r>
        <w:rPr/>
        <w:t>陕西嘉信瑞诚招标有限公司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联系人：曲慧、张海</w:t>
      </w:r>
    </w:p>
    <w:p>
      <w:pPr>
        <w:pStyle w:val="null3"/>
      </w:pPr>
      <w:r>
        <w:rPr/>
        <w:t>联系电话：029-81541692</w:t>
      </w:r>
    </w:p>
    <w:p>
      <w:pPr>
        <w:pStyle w:val="null3"/>
      </w:pPr>
      <w:r>
        <w:rPr/>
        <w:t>地址：西安市南稍门十字东南角大话南门壹中心18层1806室</w:t>
      </w:r>
    </w:p>
    <w:p>
      <w:pPr>
        <w:pStyle w:val="null3"/>
      </w:pPr>
      <w:r>
        <w:rPr/>
        <w:t>邮编：710061</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飞行时间电感耦合等离子质谱仪，1套。</w:t>
      </w:r>
    </w:p>
    <w:p>
      <w:pPr>
        <w:pStyle w:val="null3"/>
        <w:outlineLvl w:val="2"/>
      </w:pPr>
      <w:r>
        <w:rPr>
          <w:sz w:val="28"/>
          <w:b/>
        </w:rPr>
        <w:t>3.2采购内容</w:t>
      </w:r>
    </w:p>
    <w:p>
      <w:pPr>
        <w:pStyle w:val="null3"/>
      </w:pPr>
      <w:r>
        <w:rPr/>
        <w:t>采购包1：</w:t>
      </w:r>
    </w:p>
    <w:p>
      <w:pPr>
        <w:pStyle w:val="null3"/>
      </w:pPr>
      <w:r>
        <w:rPr/>
        <w:t>采购包预算金额（元）: 4,400,000.00</w:t>
      </w:r>
    </w:p>
    <w:p>
      <w:pPr>
        <w:pStyle w:val="null3"/>
      </w:pPr>
      <w:r>
        <w:rPr/>
        <w:t>采购包最高限价（元）: 4,400,000.00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飞行时间电感耦合等离子质谱仪</w:t>
            </w:r>
          </w:p>
        </w:tc>
        <w:tc>
          <w:tcPr>
            <w:tcW w:type="dxa" w:w="831"/>
          </w:tcPr>
          <w:p>
            <w:pPr>
              <w:pStyle w:val="null3"/>
              <w:jc w:val="right"/>
            </w:pPr>
            <w:r>
              <w:rPr/>
              <w:t>1.00</w:t>
            </w:r>
          </w:p>
        </w:tc>
        <w:tc>
          <w:tcPr>
            <w:tcW w:type="dxa" w:w="831"/>
          </w:tcPr>
          <w:p>
            <w:pPr>
              <w:pStyle w:val="null3"/>
              <w:jc w:val="right"/>
            </w:pPr>
            <w:r>
              <w:rPr/>
              <w:t>4,400,000.00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否</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标的名称：飞行时间电感耦合等离子质谱仪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1.系统配置组成：飞行时间电感耦合等离子质谱仪主机主要包含：ICP离子源、样品引入系统、接口系统、真空系统、离子提取和传输透镜、TOF质量分析器、检测器、控制软件、循环冷却水以及其他仪器正常工作的标准组件</w:t>
            </w:r>
          </w:p>
        </w:tc>
      </w:tr>
      <w:tr>
        <w:tc>
          <w:tcPr>
            <w:tcW w:type="dxa" w:w="2769"/>
          </w:tcPr>
          <w:p/>
        </w:tc>
        <w:tc>
          <w:tcPr>
            <w:tcW w:type="dxa" w:w="2769"/>
          </w:tcPr>
          <w:p>
            <w:pPr>
              <w:pStyle w:val="null3"/>
            </w:pPr>
            <w:r>
              <w:rPr/>
              <w:t>2</w:t>
            </w:r>
          </w:p>
        </w:tc>
        <w:tc>
          <w:tcPr>
            <w:tcW w:type="dxa" w:w="2769"/>
          </w:tcPr>
          <w:p>
            <w:pPr>
              <w:pStyle w:val="null3"/>
            </w:pPr>
            <w:r>
              <w:rPr/>
              <w:t>1.1 主机部分 1.1.1离子源：数字化，27MHz固态RF发生器带，全PC控制功率从400W到1600W连续可调；电脑控制全部等离子体的气路；等离子体的X、Y、Z三个方向都可通过电脑控制，精度优于0.1mm；石英炬管；具有工作线圈和接口的二次放电消除功能。</w:t>
            </w:r>
          </w:p>
        </w:tc>
      </w:tr>
      <w:tr>
        <w:tc>
          <w:tcPr>
            <w:tcW w:type="dxa" w:w="2769"/>
          </w:tcPr>
          <w:p/>
        </w:tc>
        <w:tc>
          <w:tcPr>
            <w:tcW w:type="dxa" w:w="2769"/>
          </w:tcPr>
          <w:p>
            <w:pPr>
              <w:pStyle w:val="null3"/>
            </w:pPr>
            <w:r>
              <w:rPr/>
              <w:t>3</w:t>
            </w:r>
          </w:p>
        </w:tc>
        <w:tc>
          <w:tcPr>
            <w:tcW w:type="dxa" w:w="2769"/>
          </w:tcPr>
          <w:p>
            <w:pPr>
              <w:pStyle w:val="null3"/>
            </w:pPr>
            <w:r>
              <w:rPr/>
              <w:t>1.1.2进样系统：硼硅玻璃同心雾化器，或耐HF腐蚀的雾化器；软件控制水冷漩流雾化室，无论是水溶液还是有机样品都可以获得最佳稳定性；靠近进样的，紧凑的，低脉动多通道蠕动泵，使用无金属材质。 蠕动泵：至少3路，转速至少1-30rpm；</w:t>
            </w:r>
          </w:p>
        </w:tc>
      </w:tr>
      <w:tr>
        <w:tc>
          <w:tcPr>
            <w:tcW w:type="dxa" w:w="2769"/>
          </w:tcPr>
          <w:p/>
        </w:tc>
        <w:tc>
          <w:tcPr>
            <w:tcW w:type="dxa" w:w="2769"/>
          </w:tcPr>
          <w:p>
            <w:pPr>
              <w:pStyle w:val="null3"/>
            </w:pPr>
            <w:r>
              <w:rPr/>
              <w:t>4</w:t>
            </w:r>
          </w:p>
        </w:tc>
        <w:tc>
          <w:tcPr>
            <w:tcW w:type="dxa" w:w="2769"/>
          </w:tcPr>
          <w:p>
            <w:pPr>
              <w:pStyle w:val="null3"/>
            </w:pPr>
            <w:r>
              <w:rPr/>
              <w:t>1.1.3接口：采样锥和截取锥组成（如有不同型号，配各种型号锥及配件）；</w:t>
            </w:r>
          </w:p>
        </w:tc>
      </w:tr>
      <w:tr>
        <w:tc>
          <w:tcPr>
            <w:tcW w:type="dxa" w:w="2769"/>
          </w:tcPr>
          <w:p/>
        </w:tc>
        <w:tc>
          <w:tcPr>
            <w:tcW w:type="dxa" w:w="2769"/>
          </w:tcPr>
          <w:p>
            <w:pPr>
              <w:pStyle w:val="null3"/>
            </w:pPr>
            <w:r>
              <w:rPr/>
              <w:t>5</w:t>
            </w:r>
          </w:p>
        </w:tc>
        <w:tc>
          <w:tcPr>
            <w:tcW w:type="dxa" w:w="2769"/>
          </w:tcPr>
          <w:p>
            <w:pPr>
              <w:pStyle w:val="null3"/>
            </w:pPr>
            <w:r>
              <w:rPr/>
              <w:t>1.1.4离子透镜：高效传输离子的同时，能有效去除中性粒子；仪器必须具备较低的背景；衰减离子功能保护检测器</w:t>
            </w:r>
          </w:p>
        </w:tc>
      </w:tr>
      <w:tr>
        <w:tc>
          <w:tcPr>
            <w:tcW w:type="dxa" w:w="2769"/>
          </w:tcPr>
          <w:p>
            <w:pPr>
              <w:pStyle w:val="null3"/>
            </w:pPr>
            <w:r>
              <w:rPr/>
              <w:t>▲</w:t>
            </w:r>
          </w:p>
        </w:tc>
        <w:tc>
          <w:tcPr>
            <w:tcW w:type="dxa" w:w="2769"/>
          </w:tcPr>
          <w:p>
            <w:pPr>
              <w:pStyle w:val="null3"/>
            </w:pPr>
            <w:r>
              <w:rPr/>
              <w:t>6</w:t>
            </w:r>
          </w:p>
        </w:tc>
        <w:tc>
          <w:tcPr>
            <w:tcW w:type="dxa" w:w="2769"/>
          </w:tcPr>
          <w:p>
            <w:pPr>
              <w:pStyle w:val="null3"/>
            </w:pPr>
            <w:r>
              <w:rPr/>
              <w:t>1.1.4.1背景值&lt; 10 cps，信噪比（信号/仪器背景）≥3个数量级；</w:t>
            </w:r>
          </w:p>
        </w:tc>
      </w:tr>
      <w:tr>
        <w:tc>
          <w:tcPr>
            <w:tcW w:type="dxa" w:w="2769"/>
          </w:tcPr>
          <w:p/>
        </w:tc>
        <w:tc>
          <w:tcPr>
            <w:tcW w:type="dxa" w:w="2769"/>
          </w:tcPr>
          <w:p>
            <w:pPr>
              <w:pStyle w:val="null3"/>
            </w:pPr>
            <w:r>
              <w:rPr/>
              <w:t>7</w:t>
            </w:r>
          </w:p>
        </w:tc>
        <w:tc>
          <w:tcPr>
            <w:tcW w:type="dxa" w:w="2769"/>
          </w:tcPr>
          <w:p>
            <w:pPr>
              <w:pStyle w:val="null3"/>
            </w:pPr>
            <w:r>
              <w:rPr/>
              <w:t>1.1.5碰撞反应池，确保能在多种气体（O2,He/H2等）化学反应模式和碰撞模式有效去除干扰；两路碰撞碰撞气质量流量计及过滤器；可使用标准模式、碰撞模式和反应模式进行干扰的消除和样品分析，每种模式都可通过四极杆设置带宽进行质量数的区段筛选以实现消除干扰；碰撞模式可使用He气，H2/He混合气，NH3/He混合气；反应模式可使用O2气，H2气，NH3气及混合气。</w:t>
            </w:r>
          </w:p>
        </w:tc>
      </w:tr>
      <w:tr>
        <w:tc>
          <w:tcPr>
            <w:tcW w:type="dxa" w:w="2769"/>
          </w:tcPr>
          <w:p/>
        </w:tc>
        <w:tc>
          <w:tcPr>
            <w:tcW w:type="dxa" w:w="2769"/>
          </w:tcPr>
          <w:p>
            <w:pPr>
              <w:pStyle w:val="null3"/>
            </w:pPr>
            <w:r>
              <w:rPr/>
              <w:t>8</w:t>
            </w:r>
          </w:p>
        </w:tc>
        <w:tc>
          <w:tcPr>
            <w:tcW w:type="dxa" w:w="2769"/>
          </w:tcPr>
          <w:p>
            <w:pPr>
              <w:pStyle w:val="null3"/>
            </w:pPr>
            <w:r>
              <w:rPr/>
              <w:t>1.1.6飞行时间TOF质量分析器: 频率≥2MHz，扫描速度≥3700amu/s，全谱扫描时间50μs以内; 采样频率≥1.6 GS/s，≤ 50μs/谱图；</w:t>
            </w:r>
          </w:p>
        </w:tc>
      </w:tr>
      <w:tr>
        <w:tc>
          <w:tcPr>
            <w:tcW w:type="dxa" w:w="2769"/>
          </w:tcPr>
          <w:p/>
        </w:tc>
        <w:tc>
          <w:tcPr>
            <w:tcW w:type="dxa" w:w="2769"/>
          </w:tcPr>
          <w:p>
            <w:pPr>
              <w:pStyle w:val="null3"/>
            </w:pPr>
            <w:r>
              <w:rPr/>
              <w:t>9</w:t>
            </w:r>
          </w:p>
        </w:tc>
        <w:tc>
          <w:tcPr>
            <w:tcW w:type="dxa" w:w="2769"/>
          </w:tcPr>
          <w:p>
            <w:pPr>
              <w:pStyle w:val="null3"/>
            </w:pPr>
            <w:r>
              <w:rPr/>
              <w:t>1.1.7真空系统，由机械泵、涡流分子泵等组成的多级差分真空系统，在分析模式下真空度优于1E-6mbar；</w:t>
            </w:r>
          </w:p>
        </w:tc>
      </w:tr>
      <w:tr>
        <w:tc>
          <w:tcPr>
            <w:tcW w:type="dxa" w:w="2769"/>
          </w:tcPr>
          <w:p/>
        </w:tc>
        <w:tc>
          <w:tcPr>
            <w:tcW w:type="dxa" w:w="2769"/>
          </w:tcPr>
          <w:p>
            <w:pPr>
              <w:pStyle w:val="null3"/>
            </w:pPr>
            <w:r>
              <w:rPr/>
              <w:t>10</w:t>
            </w:r>
          </w:p>
        </w:tc>
        <w:tc>
          <w:tcPr>
            <w:tcW w:type="dxa" w:w="2769"/>
          </w:tcPr>
          <w:p>
            <w:pPr>
              <w:pStyle w:val="null3"/>
            </w:pPr>
            <w:r>
              <w:rPr/>
              <w:t>1.1.8检测器同时满足模拟和脉冲计数测量；至少6个数量级；</w:t>
            </w:r>
          </w:p>
        </w:tc>
      </w:tr>
      <w:tr>
        <w:tc>
          <w:tcPr>
            <w:tcW w:type="dxa" w:w="2769"/>
          </w:tcPr>
          <w:p>
            <w:pPr>
              <w:pStyle w:val="null3"/>
            </w:pPr>
            <w:r>
              <w:rPr/>
              <w:t>▲</w:t>
            </w:r>
          </w:p>
        </w:tc>
        <w:tc>
          <w:tcPr>
            <w:tcW w:type="dxa" w:w="2769"/>
          </w:tcPr>
          <w:p>
            <w:pPr>
              <w:pStyle w:val="null3"/>
            </w:pPr>
            <w:r>
              <w:rPr/>
              <w:t>11</w:t>
            </w:r>
          </w:p>
        </w:tc>
        <w:tc>
          <w:tcPr>
            <w:tcW w:type="dxa" w:w="2769"/>
          </w:tcPr>
          <w:p>
            <w:pPr>
              <w:pStyle w:val="null3"/>
            </w:pPr>
            <w:r>
              <w:rPr/>
              <w:t>①分辨率：质量分辨率：≥3000（238U，半峰宽）的质谱分辨率；</w:t>
            </w:r>
          </w:p>
        </w:tc>
      </w:tr>
      <w:tr>
        <w:tc>
          <w:tcPr>
            <w:tcW w:type="dxa" w:w="2769"/>
          </w:tcPr>
          <w:p>
            <w:pPr>
              <w:pStyle w:val="null3"/>
            </w:pPr>
            <w:r>
              <w:rPr/>
              <w:t>▲</w:t>
            </w:r>
          </w:p>
        </w:tc>
        <w:tc>
          <w:tcPr>
            <w:tcW w:type="dxa" w:w="2769"/>
          </w:tcPr>
          <w:p>
            <w:pPr>
              <w:pStyle w:val="null3"/>
            </w:pPr>
            <w:r>
              <w:rPr/>
              <w:t>12</w:t>
            </w:r>
          </w:p>
        </w:tc>
        <w:tc>
          <w:tcPr>
            <w:tcW w:type="dxa" w:w="2769"/>
          </w:tcPr>
          <w:p>
            <w:pPr>
              <w:pStyle w:val="null3"/>
            </w:pPr>
            <w:r>
              <w:rPr/>
              <w:t>②灵敏度：≥10000 cps/ppb (59Co), ≥20000 cps/ppb (115In), ≥50000 cps/ppb (238U), 标准进样系统模式；</w:t>
            </w:r>
          </w:p>
        </w:tc>
      </w:tr>
      <w:tr>
        <w:tc>
          <w:tcPr>
            <w:tcW w:type="dxa" w:w="2769"/>
          </w:tcPr>
          <w:p/>
        </w:tc>
        <w:tc>
          <w:tcPr>
            <w:tcW w:type="dxa" w:w="2769"/>
          </w:tcPr>
          <w:p>
            <w:pPr>
              <w:pStyle w:val="null3"/>
            </w:pPr>
            <w:r>
              <w:rPr/>
              <w:t>13</w:t>
            </w:r>
          </w:p>
        </w:tc>
        <w:tc>
          <w:tcPr>
            <w:tcW w:type="dxa" w:w="2769"/>
          </w:tcPr>
          <w:p>
            <w:pPr>
              <w:pStyle w:val="null3"/>
            </w:pPr>
            <w:r>
              <w:rPr/>
              <w:t>③质量范围：6-280 amu，并可以对全谱图原始数据无压缩进行记录和存储；</w:t>
            </w:r>
          </w:p>
        </w:tc>
      </w:tr>
      <w:tr>
        <w:tc>
          <w:tcPr>
            <w:tcW w:type="dxa" w:w="2769"/>
          </w:tcPr>
          <w:p/>
        </w:tc>
        <w:tc>
          <w:tcPr>
            <w:tcW w:type="dxa" w:w="2769"/>
          </w:tcPr>
          <w:p>
            <w:pPr>
              <w:pStyle w:val="null3"/>
            </w:pPr>
            <w:r>
              <w:rPr/>
              <w:t>14</w:t>
            </w:r>
          </w:p>
        </w:tc>
        <w:tc>
          <w:tcPr>
            <w:tcW w:type="dxa" w:w="2769"/>
          </w:tcPr>
          <w:p>
            <w:pPr>
              <w:pStyle w:val="null3"/>
            </w:pPr>
            <w:r>
              <w:rPr/>
              <w:t>④氧化物和双电荷产率：CeO+/Ce+ ≤ 2.5 % ，Ba++/Ba+ ≤ 5 %；</w:t>
            </w:r>
          </w:p>
        </w:tc>
      </w:tr>
      <w:tr>
        <w:tc>
          <w:tcPr>
            <w:tcW w:type="dxa" w:w="2769"/>
          </w:tcPr>
          <w:p/>
        </w:tc>
        <w:tc>
          <w:tcPr>
            <w:tcW w:type="dxa" w:w="2769"/>
          </w:tcPr>
          <w:p>
            <w:pPr>
              <w:pStyle w:val="null3"/>
            </w:pPr>
            <w:r>
              <w:rPr/>
              <w:t>15</w:t>
            </w:r>
          </w:p>
        </w:tc>
        <w:tc>
          <w:tcPr>
            <w:tcW w:type="dxa" w:w="2769"/>
          </w:tcPr>
          <w:p>
            <w:pPr>
              <w:pStyle w:val="null3"/>
            </w:pPr>
            <w:r>
              <w:rPr/>
              <w:t>⑤丰度灵敏度：丰度灵敏度（238amu-1）≤ 3E-4；</w:t>
            </w:r>
          </w:p>
        </w:tc>
      </w:tr>
      <w:tr>
        <w:tc>
          <w:tcPr>
            <w:tcW w:type="dxa" w:w="2769"/>
          </w:tcPr>
          <w:p>
            <w:pPr>
              <w:pStyle w:val="null3"/>
            </w:pPr>
            <w:r>
              <w:rPr/>
              <w:t>▲</w:t>
            </w:r>
          </w:p>
        </w:tc>
        <w:tc>
          <w:tcPr>
            <w:tcW w:type="dxa" w:w="2769"/>
          </w:tcPr>
          <w:p>
            <w:pPr>
              <w:pStyle w:val="null3"/>
            </w:pPr>
            <w:r>
              <w:rPr/>
              <w:t>16</w:t>
            </w:r>
          </w:p>
        </w:tc>
        <w:tc>
          <w:tcPr>
            <w:tcW w:type="dxa" w:w="2769"/>
          </w:tcPr>
          <w:p>
            <w:pPr>
              <w:pStyle w:val="null3"/>
            </w:pPr>
            <w:r>
              <w:rPr/>
              <w:t>⑥信号稳定性：短期稳定性（20 mins，238U）：≤ 2%，长期稳定性（4 h，238U）：≤ 4%；</w:t>
            </w:r>
          </w:p>
        </w:tc>
      </w:tr>
      <w:tr>
        <w:tc>
          <w:tcPr>
            <w:tcW w:type="dxa" w:w="2769"/>
          </w:tcPr>
          <w:p/>
        </w:tc>
        <w:tc>
          <w:tcPr>
            <w:tcW w:type="dxa" w:w="2769"/>
          </w:tcPr>
          <w:p>
            <w:pPr>
              <w:pStyle w:val="null3"/>
            </w:pPr>
            <w:r>
              <w:rPr/>
              <w:t>17</w:t>
            </w:r>
          </w:p>
        </w:tc>
        <w:tc>
          <w:tcPr>
            <w:tcW w:type="dxa" w:w="2769"/>
          </w:tcPr>
          <w:p>
            <w:pPr>
              <w:pStyle w:val="null3"/>
            </w:pPr>
            <w:r>
              <w:rPr/>
              <w:t>⑦质量稳定性：稳定性：≤ ±0.025amu/d；</w:t>
            </w:r>
          </w:p>
        </w:tc>
      </w:tr>
      <w:tr>
        <w:tc>
          <w:tcPr>
            <w:tcW w:type="dxa" w:w="2769"/>
          </w:tcPr>
          <w:p/>
        </w:tc>
        <w:tc>
          <w:tcPr>
            <w:tcW w:type="dxa" w:w="2769"/>
          </w:tcPr>
          <w:p>
            <w:pPr>
              <w:pStyle w:val="null3"/>
            </w:pPr>
            <w:r>
              <w:rPr/>
              <w:t>18</w:t>
            </w:r>
          </w:p>
        </w:tc>
        <w:tc>
          <w:tcPr>
            <w:tcW w:type="dxa" w:w="2769"/>
          </w:tcPr>
          <w:p>
            <w:pPr>
              <w:pStyle w:val="null3"/>
            </w:pPr>
            <w:r>
              <w:rPr/>
              <w:t>1.2 内标加入系统 三通、内标泵管； 耐腐蚀转接头；</w:t>
            </w:r>
          </w:p>
        </w:tc>
      </w:tr>
      <w:tr>
        <w:tc>
          <w:tcPr>
            <w:tcW w:type="dxa" w:w="2769"/>
          </w:tcPr>
          <w:p/>
        </w:tc>
        <w:tc>
          <w:tcPr>
            <w:tcW w:type="dxa" w:w="2769"/>
          </w:tcPr>
          <w:p>
            <w:pPr>
              <w:pStyle w:val="null3"/>
            </w:pPr>
            <w:r>
              <w:rPr/>
              <w:t>19</w:t>
            </w:r>
          </w:p>
        </w:tc>
        <w:tc>
          <w:tcPr>
            <w:tcW w:type="dxa" w:w="2769"/>
          </w:tcPr>
          <w:p>
            <w:pPr>
              <w:pStyle w:val="null3"/>
            </w:pPr>
            <w:r>
              <w:rPr/>
              <w:t>1.3 软件操作安装包</w:t>
            </w:r>
          </w:p>
        </w:tc>
      </w:tr>
      <w:tr>
        <w:tc>
          <w:tcPr>
            <w:tcW w:type="dxa" w:w="2769"/>
          </w:tcPr>
          <w:p/>
        </w:tc>
        <w:tc>
          <w:tcPr>
            <w:tcW w:type="dxa" w:w="2769"/>
          </w:tcPr>
          <w:p>
            <w:pPr>
              <w:pStyle w:val="null3"/>
            </w:pPr>
            <w:r>
              <w:rPr/>
              <w:t>20</w:t>
            </w:r>
          </w:p>
        </w:tc>
        <w:tc>
          <w:tcPr>
            <w:tcW w:type="dxa" w:w="2769"/>
          </w:tcPr>
          <w:p>
            <w:pPr>
              <w:pStyle w:val="null3"/>
            </w:pPr>
            <w:r>
              <w:rPr/>
              <w:t>1.4 冷却循环水；</w:t>
            </w:r>
          </w:p>
        </w:tc>
      </w:tr>
      <w:tr>
        <w:tc>
          <w:tcPr>
            <w:tcW w:type="dxa" w:w="2769"/>
          </w:tcPr>
          <w:p/>
        </w:tc>
        <w:tc>
          <w:tcPr>
            <w:tcW w:type="dxa" w:w="2769"/>
          </w:tcPr>
          <w:p>
            <w:pPr>
              <w:pStyle w:val="null3"/>
            </w:pPr>
            <w:r>
              <w:rPr/>
              <w:t>21</w:t>
            </w:r>
          </w:p>
        </w:tc>
        <w:tc>
          <w:tcPr>
            <w:tcW w:type="dxa" w:w="2769"/>
          </w:tcPr>
          <w:p>
            <w:pPr>
              <w:pStyle w:val="null3"/>
            </w:pPr>
            <w:r>
              <w:rPr/>
              <w:t>1.5 仪器控制计算机硬件配置： （1）仪器控制计算机1台套（≥intel i7 CPU,内存≥16G,独显,硬盘≥512G），显示器，键盘，鼠标；打印机HP179fnw；PP试剂柜1.8*0.9*0.45m (2个);</w:t>
            </w:r>
          </w:p>
        </w:tc>
      </w:tr>
      <w:tr>
        <w:tc>
          <w:tcPr>
            <w:tcW w:type="dxa" w:w="2769"/>
          </w:tcPr>
          <w:p/>
        </w:tc>
        <w:tc>
          <w:tcPr>
            <w:tcW w:type="dxa" w:w="2769"/>
          </w:tcPr>
          <w:p>
            <w:pPr>
              <w:pStyle w:val="null3"/>
            </w:pPr>
            <w:r>
              <w:rPr/>
              <w:t>22</w:t>
            </w:r>
          </w:p>
        </w:tc>
        <w:tc>
          <w:tcPr>
            <w:tcW w:type="dxa" w:w="2769"/>
          </w:tcPr>
          <w:p>
            <w:pPr>
              <w:pStyle w:val="null3"/>
            </w:pPr>
            <w:r>
              <w:rPr/>
              <w:t>（2）数据图形工作站1台套（品牌机），CPU要求≥Intel i9处理器，内存≥64 GB DDR5; 显卡：显卡RTX4090, ≥24G，固态硬盘≥2T， USB3.0接口≥4个；1000M USB无线网卡；键盘鼠标；显示器≥32英寸，宽屏LED液晶显示器，4K分辨率，≥120 Hz刷新率；</w:t>
            </w:r>
          </w:p>
        </w:tc>
      </w:tr>
      <w:tr>
        <w:tc>
          <w:tcPr>
            <w:tcW w:type="dxa" w:w="2769"/>
          </w:tcPr>
          <w:p/>
        </w:tc>
        <w:tc>
          <w:tcPr>
            <w:tcW w:type="dxa" w:w="2769"/>
          </w:tcPr>
          <w:p>
            <w:pPr>
              <w:pStyle w:val="null3"/>
            </w:pPr>
            <w:r>
              <w:rPr/>
              <w:t>23</w:t>
            </w:r>
          </w:p>
        </w:tc>
        <w:tc>
          <w:tcPr>
            <w:tcW w:type="dxa" w:w="2769"/>
          </w:tcPr>
          <w:p>
            <w:pPr>
              <w:pStyle w:val="null3"/>
            </w:pPr>
            <w:r>
              <w:rPr/>
              <w:t>（3）安装专业版Windows操作系统和Windows Office办公软件；</w:t>
            </w:r>
          </w:p>
        </w:tc>
      </w:tr>
      <w:tr>
        <w:tc>
          <w:tcPr>
            <w:tcW w:type="dxa" w:w="2769"/>
          </w:tcPr>
          <w:p/>
        </w:tc>
        <w:tc>
          <w:tcPr>
            <w:tcW w:type="dxa" w:w="2769"/>
          </w:tcPr>
          <w:p>
            <w:pPr>
              <w:pStyle w:val="null3"/>
            </w:pPr>
            <w:r>
              <w:rPr/>
              <w:t>24</w:t>
            </w:r>
          </w:p>
        </w:tc>
        <w:tc>
          <w:tcPr>
            <w:tcW w:type="dxa" w:w="2769"/>
          </w:tcPr>
          <w:p>
            <w:pPr>
              <w:pStyle w:val="null3"/>
            </w:pPr>
            <w:r>
              <w:rPr>
                <w:rFonts w:ascii="simsun" w:hAnsi="simsun" w:cs="simsun" w:eastAsia="simsun"/>
                <w:sz w:val="21"/>
              </w:rPr>
              <w:t>1.6</w:t>
            </w:r>
            <w:r>
              <w:rPr>
                <w:rFonts w:ascii="simsun" w:hAnsi="simsun" w:cs="simsun" w:eastAsia="simsun"/>
                <w:sz w:val="21"/>
              </w:rPr>
              <w:t>专用软件配置：带有全面控制激光剥蚀系统的专用软件，并具有和质谱仪连接的功能。</w:t>
            </w:r>
          </w:p>
          <w:p>
            <w:pPr>
              <w:pStyle w:val="null3"/>
            </w:pPr>
            <w:r>
              <w:rPr>
                <w:rFonts w:ascii="simsun" w:hAnsi="simsun" w:cs="simsun" w:eastAsia="simsun"/>
                <w:sz w:val="21"/>
              </w:rPr>
              <w:t>1.6.1专用软件界面直观；</w:t>
            </w:r>
          </w:p>
        </w:tc>
      </w:tr>
      <w:tr>
        <w:tc>
          <w:tcPr>
            <w:tcW w:type="dxa" w:w="2769"/>
          </w:tcPr>
          <w:p/>
        </w:tc>
        <w:tc>
          <w:tcPr>
            <w:tcW w:type="dxa" w:w="2769"/>
          </w:tcPr>
          <w:p>
            <w:pPr>
              <w:pStyle w:val="null3"/>
            </w:pPr>
            <w:r>
              <w:rPr/>
              <w:t>25</w:t>
            </w:r>
          </w:p>
        </w:tc>
        <w:tc>
          <w:tcPr>
            <w:tcW w:type="dxa" w:w="2769"/>
          </w:tcPr>
          <w:p>
            <w:pPr>
              <w:pStyle w:val="null3"/>
            </w:pPr>
            <w:r>
              <w:rPr>
                <w:rFonts w:ascii="宋体" w:hAnsi="宋体" w:cs="宋体" w:eastAsia="宋体"/>
                <w:sz w:val="21"/>
              </w:rPr>
              <w:t>1.6.2</w:t>
            </w:r>
            <w:r>
              <w:rPr>
                <w:rFonts w:ascii="宋体" w:hAnsi="宋体" w:cs="宋体" w:eastAsia="宋体"/>
                <w:sz w:val="21"/>
              </w:rPr>
              <w:t>具备编辑飞行时间质谱的自动实验序列；</w:t>
            </w:r>
          </w:p>
        </w:tc>
      </w:tr>
      <w:tr>
        <w:tc>
          <w:tcPr>
            <w:tcW w:type="dxa" w:w="2769"/>
          </w:tcPr>
          <w:p/>
        </w:tc>
        <w:tc>
          <w:tcPr>
            <w:tcW w:type="dxa" w:w="2769"/>
          </w:tcPr>
          <w:p>
            <w:pPr>
              <w:pStyle w:val="null3"/>
            </w:pPr>
            <w:r>
              <w:rPr/>
              <w:t>26</w:t>
            </w:r>
          </w:p>
        </w:tc>
        <w:tc>
          <w:tcPr>
            <w:tcW w:type="dxa" w:w="2769"/>
          </w:tcPr>
          <w:p>
            <w:pPr>
              <w:pStyle w:val="null3"/>
            </w:pPr>
            <w:r>
              <w:rPr>
                <w:rFonts w:ascii="宋体" w:hAnsi="宋体" w:cs="宋体" w:eastAsia="宋体"/>
                <w:sz w:val="21"/>
              </w:rPr>
              <w:t>1.6.3</w:t>
            </w:r>
            <w:r>
              <w:rPr>
                <w:rFonts w:ascii="宋体" w:hAnsi="宋体" w:cs="宋体" w:eastAsia="宋体"/>
                <w:sz w:val="21"/>
              </w:rPr>
              <w:t>完全自动化的仪器控制；</w:t>
            </w:r>
          </w:p>
        </w:tc>
      </w:tr>
      <w:tr>
        <w:tc>
          <w:tcPr>
            <w:tcW w:type="dxa" w:w="2769"/>
          </w:tcPr>
          <w:p/>
        </w:tc>
        <w:tc>
          <w:tcPr>
            <w:tcW w:type="dxa" w:w="2769"/>
          </w:tcPr>
          <w:p>
            <w:pPr>
              <w:pStyle w:val="null3"/>
            </w:pPr>
            <w:r>
              <w:rPr/>
              <w:t>27</w:t>
            </w:r>
          </w:p>
        </w:tc>
        <w:tc>
          <w:tcPr>
            <w:tcW w:type="dxa" w:w="2769"/>
          </w:tcPr>
          <w:p>
            <w:pPr>
              <w:pStyle w:val="null3"/>
            </w:pPr>
            <w:r>
              <w:rPr>
                <w:rFonts w:ascii="宋体" w:hAnsi="宋体" w:cs="宋体" w:eastAsia="宋体"/>
                <w:sz w:val="21"/>
              </w:rPr>
              <w:t>1.6.4</w:t>
            </w:r>
            <w:r>
              <w:rPr>
                <w:rFonts w:ascii="宋体" w:hAnsi="宋体" w:cs="宋体" w:eastAsia="宋体"/>
                <w:sz w:val="21"/>
              </w:rPr>
              <w:t>可以与任何主流激光剥蚀系统联机使用；</w:t>
            </w:r>
          </w:p>
        </w:tc>
      </w:tr>
      <w:tr>
        <w:tc>
          <w:tcPr>
            <w:tcW w:type="dxa" w:w="2769"/>
          </w:tcPr>
          <w:p/>
        </w:tc>
        <w:tc>
          <w:tcPr>
            <w:tcW w:type="dxa" w:w="2769"/>
          </w:tcPr>
          <w:p>
            <w:pPr>
              <w:pStyle w:val="null3"/>
            </w:pPr>
            <w:r>
              <w:rPr/>
              <w:t>28</w:t>
            </w:r>
          </w:p>
        </w:tc>
        <w:tc>
          <w:tcPr>
            <w:tcW w:type="dxa" w:w="2769"/>
          </w:tcPr>
          <w:p>
            <w:pPr>
              <w:pStyle w:val="null3"/>
            </w:pPr>
            <w:r>
              <w:rPr>
                <w:rFonts w:ascii="宋体" w:hAnsi="宋体" w:cs="宋体" w:eastAsia="宋体"/>
                <w:sz w:val="21"/>
              </w:rPr>
              <w:t>1.6.5</w:t>
            </w:r>
            <w:r>
              <w:rPr>
                <w:rFonts w:ascii="宋体" w:hAnsi="宋体" w:cs="宋体" w:eastAsia="宋体"/>
                <w:sz w:val="21"/>
              </w:rPr>
              <w:t>可以与其它不同主流进样系统联用，如氢气发生器、膜去溶等设备。</w:t>
            </w:r>
          </w:p>
        </w:tc>
      </w:tr>
      <w:tr>
        <w:tc>
          <w:tcPr>
            <w:tcW w:type="dxa" w:w="2769"/>
          </w:tcPr>
          <w:p/>
        </w:tc>
        <w:tc>
          <w:tcPr>
            <w:tcW w:type="dxa" w:w="2769"/>
          </w:tcPr>
          <w:p>
            <w:pPr>
              <w:pStyle w:val="null3"/>
            </w:pPr>
            <w:r>
              <w:rPr/>
              <w:t>29</w:t>
            </w:r>
          </w:p>
        </w:tc>
        <w:tc>
          <w:tcPr>
            <w:tcW w:type="dxa" w:w="2769"/>
          </w:tcPr>
          <w:p>
            <w:pPr>
              <w:pStyle w:val="null3"/>
            </w:pPr>
            <w:r>
              <w:rPr>
                <w:rFonts w:ascii="宋体" w:hAnsi="宋体" w:cs="宋体" w:eastAsia="宋体"/>
                <w:sz w:val="21"/>
              </w:rPr>
              <w:t>1.6.6</w:t>
            </w:r>
            <w:r>
              <w:rPr>
                <w:rFonts w:ascii="宋体" w:hAnsi="宋体" w:cs="宋体" w:eastAsia="宋体"/>
                <w:sz w:val="21"/>
              </w:rPr>
              <w:t>软件可进行纳米颗粒、激光剥蚀成像和定量分析功能，具有大批量TOF处理数据和实时mapping功能，可以离线安装在个人电脑。</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合同签订后150天交货，14天安装调试并交付使用</w:t>
      </w:r>
    </w:p>
    <w:p>
      <w:pPr>
        <w:pStyle w:val="null3"/>
        <w:outlineLvl w:val="3"/>
      </w:pPr>
      <w:r>
        <w:rPr>
          <w:sz w:val="24"/>
          <w:b/>
        </w:rPr>
        <w:t>3.4.2交货地点</w:t>
      </w:r>
    </w:p>
    <w:p>
      <w:pPr>
        <w:pStyle w:val="null3"/>
      </w:pPr>
      <w:r>
        <w:rPr/>
        <w:t>采购包1：</w:t>
      </w:r>
    </w:p>
    <w:p>
      <w:pPr>
        <w:pStyle w:val="null3"/>
      </w:pPr>
      <w:r>
        <w:rPr/>
        <w:t>西北大学大陆动力学国家重点实验室</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进口设备：合同生效后，由采购人通过进出口业务代理公司向中标供应商开出100％信用证，待货物到货、安装调试、并经学校组织验收合格后，由采购人通知进出口业务代理公司向中标供应商解付；（国产设备：合同生效后，中标供应商开具合同金额等额银行保函，采购人收到银行保函正本后预付合同货款，待货物到达指定地点、安装调试验收合格后，采购人退还银行保函正本。）</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1、进口设备： （1）验收分初次开箱验收和学校最终验收两个阶段，以最终验收为准；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 2、国产设备： （1）验收分初次开箱验收和学校最终验收两个阶段，以最终验收为准。 （2）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 （3）学校根据最终使用单位技术验收结果，组织有关专家进行货物的最终验收。</w:t>
      </w:r>
    </w:p>
    <w:p>
      <w:pPr>
        <w:pStyle w:val="null3"/>
        <w:outlineLvl w:val="3"/>
      </w:pPr>
      <w:r>
        <w:rPr>
          <w:sz w:val="24"/>
          <w:b/>
        </w:rPr>
        <w:t>3.4.6包装方式及运输</w:t>
      </w:r>
    </w:p>
    <w:p>
      <w:pPr>
        <w:pStyle w:val="null3"/>
      </w:pPr>
      <w:r>
        <w:rPr/>
        <w:t>采购包1：</w:t>
      </w:r>
    </w:p>
    <w:p>
      <w:pPr>
        <w:pStyle w:val="null3"/>
      </w:pPr>
      <w:r>
        <w:rPr/>
        <w:t>货物的运输方式由乙方自行选择，但包装必须符合国家标准或行业标准，满足航空、铁路或公路运输以及货物装卸要求，保证使用人收到的是无任何损伤的货物。否则，因此造成的损失由乙方自行承担。</w:t>
      </w:r>
    </w:p>
    <w:p>
      <w:pPr>
        <w:pStyle w:val="null3"/>
        <w:outlineLvl w:val="3"/>
      </w:pPr>
      <w:r>
        <w:rPr>
          <w:sz w:val="24"/>
          <w:b/>
        </w:rPr>
        <w:t>3.4.7质量保修范围和保修期</w:t>
      </w:r>
    </w:p>
    <w:p>
      <w:pPr>
        <w:pStyle w:val="null3"/>
      </w:pPr>
      <w:r>
        <w:rPr/>
        <w:t>采购包1：</w:t>
      </w:r>
    </w:p>
    <w:p>
      <w:pPr>
        <w:pStyle w:val="null3"/>
      </w:pPr>
      <w:r>
        <w:rPr/>
        <w:t>验收合格后三年。</w:t>
      </w:r>
    </w:p>
    <w:p>
      <w:pPr>
        <w:pStyle w:val="null3"/>
        <w:outlineLvl w:val="3"/>
      </w:pPr>
      <w:r>
        <w:rPr>
          <w:sz w:val="24"/>
          <w:b/>
        </w:rPr>
        <w:t>3.4.8违约责任与解决争议的方法</w:t>
      </w:r>
    </w:p>
    <w:p>
      <w:pPr>
        <w:pStyle w:val="null3"/>
      </w:pPr>
      <w:r>
        <w:rPr/>
        <w:t>采购包1：</w:t>
      </w:r>
    </w:p>
    <w:p>
      <w:pPr>
        <w:pStyle w:val="null3"/>
      </w:pPr>
      <w:r>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sz w:val="28"/>
          <w:b/>
        </w:rPr>
        <w:t>3.5其他要求</w:t>
      </w:r>
    </w:p>
    <w:p>
      <w:pPr>
        <w:pStyle w:val="null3"/>
      </w:pPr>
      <w:r>
        <w:rPr/>
        <w:t>1.附件和备件： 1.1安装包：仪器安装调试和正常运行必备的配件耗材等； 1.2常规零备件和消耗品包（包括各种备用螺丝、垫片、保险丝、o形密封圈、管路接头、peek管、特氟龙管等、矩管、泵管）一套； 1.3仪器维护工具1套：包含各种扳手、各种平口及十字螺丝刀、内六角螺丝工具、钳子、镊子、套筒等助力工具、气管切割刀等工具、仪器维修维护专用工具； 1.4软件安装包、仪器使用说明书、重要第三方硬件出厂报告和合格证，以及其他必备纸质或电子化材料。 2. 额外备用消耗品和配件 标准配置之外备用配件耗材包括：标准锥（含采样锥和截取锥及锥配件）10套，标准石英炬管（含外管和中心管）6套，其他尺寸炬管/中心管各个，RF线圈1个，旋流双通道石英雾化室1个， 400/200μL/min石英雾化器5个，PFA-100 μL/min雾化器2个，泵油10L，石墨垫片2包，进样泵管、废液泵管各2包(≥10根/包)，内标三通、内标泵管、内标管转接头2个，PFA毛细管1包等。UPS稳压电源： 15KVA三进单出工业UPS电源，内含完全隔离逆变器（零地电压&lt;1V），输出电压230 V，稳定度优于±2%，配备电池延时至少2小时。 3.供应商提供仪器的现场安装调试并达到投标书和技术文件（仪器说明书等）指标要求的技术性能，并同时在现场对用户进行操作培训。如果现场安装测试指标未通过，用户有权要求退货并要求赔偿损失。仪器保修期自验收合格日期起为36个月。仪器在调试通过后提供保修服务，在保修期内，所有服务及配件全部免费，保修期外，用户可用人民币结算。供应商在中国需设有保税库，能更及时地为用户提供备品备件。供应商在国内应设有专业的维修站，有专职的维修工程师及应用工程师有效保证售后维修的及时、快捷，并负责提供技术支持，保证仪器的正常操作，并协助用户进行方法开发。为了减少仪器备件的后期维修成本，厂家在中国境内必须具备开展入境机电产品维修业务的资质，需提供中国商检开具的允许开展入境机电产品境内维修业务的资质。生产厂家在中国有完备的售后服务和技术支持。 4. 售后服务效率要求：即时响应（包括电话响应）；电话响应无法解决时，48 小时内到达现场。修复时间24 小时内；如 24小时内无法修复，应提供相应解决方案。 5.为顺利推进政府采购电子化交易平台应用工作，投标人需要在线提交所有通过电子化交易平台实施的政府采购项目的投标文件，同时，线下递交密封完好的纸质版投标文件（一正一副），密封封套上标注项目名称和投标人名称。 纸质版投标文件递交截止时间：同线上投标文件递交截止时间。 纸质版投标文件递交地址：西安市南稍门十字东南角大话南门壹中心18层1806室</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法人提供会计师事务所出具的完整的2023年度审计报告（成立时间至提交投标文件截止时间不足一年的可提供成立后任意时段的资产负债表)，或开标前6个月内（2024年5月1日后）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t>供应商资格</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投标人为具有独立承担民事责任能力的法人、其他组织或自然人</w:t>
            </w:r>
          </w:p>
        </w:tc>
        <w:tc>
          <w:tcPr>
            <w:tcW w:type="dxa" w:w="3322"/>
          </w:tcPr>
          <w:p>
            <w:pPr>
              <w:pStyle w:val="null3"/>
            </w:pPr>
            <w:r>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t>供应商资格</w:t>
            </w:r>
          </w:p>
        </w:tc>
      </w:tr>
      <w:tr>
        <w:tc>
          <w:tcPr>
            <w:tcW w:type="dxa" w:w="831"/>
          </w:tcPr>
          <w:p>
            <w:pPr>
              <w:pStyle w:val="null3"/>
            </w:pPr>
            <w:r>
              <w:rPr/>
              <w:t>2</w:t>
            </w:r>
          </w:p>
        </w:tc>
        <w:tc>
          <w:tcPr>
            <w:tcW w:type="dxa" w:w="2492"/>
          </w:tcPr>
          <w:p>
            <w:pPr>
              <w:pStyle w:val="null3"/>
            </w:pPr>
            <w:r>
              <w:rPr/>
              <w:t>投标人应有良好的财务状况</w:t>
            </w:r>
          </w:p>
        </w:tc>
        <w:tc>
          <w:tcPr>
            <w:tcW w:type="dxa" w:w="3322"/>
          </w:tcPr>
          <w:p>
            <w:pPr>
              <w:pStyle w:val="null3"/>
            </w:pPr>
            <w:r>
              <w:rPr/>
              <w:t>法人提供会计师事务所出具的完整的2023年度审计报告（成立时间至提交投标文件截止时间不足一年的可提供成立后任意时段的资产负债表)，或开标前6个月内（2024年5月1日后）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t>供应商资格</w:t>
            </w:r>
          </w:p>
        </w:tc>
      </w:tr>
      <w:tr>
        <w:tc>
          <w:tcPr>
            <w:tcW w:type="dxa" w:w="831"/>
          </w:tcPr>
          <w:p>
            <w:pPr>
              <w:pStyle w:val="null3"/>
            </w:pPr>
            <w:r>
              <w:rPr/>
              <w:t>3</w:t>
            </w:r>
          </w:p>
        </w:tc>
        <w:tc>
          <w:tcPr>
            <w:tcW w:type="dxa" w:w="2492"/>
          </w:tcPr>
          <w:p>
            <w:pPr>
              <w:pStyle w:val="null3"/>
            </w:pPr>
            <w:r>
              <w:rPr/>
              <w:t>投标人应有依法缴纳税收的良好记录</w:t>
            </w:r>
          </w:p>
        </w:tc>
        <w:tc>
          <w:tcPr>
            <w:tcW w:type="dxa" w:w="3322"/>
          </w:tcPr>
          <w:p>
            <w:pPr>
              <w:pStyle w:val="null3"/>
            </w:pPr>
            <w:r>
              <w:rPr/>
              <w:t>法人提供自2024年5月1日以来至少一个月的纳税证明或完税证明(增值税、企业所得税至少一种)，纳税证明或完税证明上应有代收机构或税务机关的公章或业务专用章；其他组织和自然人提供自2024年5月1日以来至少一个月缴纳税收的凭据；依法免税的投标人应提供相关文件证明。并进行电子签章。</w:t>
            </w:r>
          </w:p>
        </w:tc>
        <w:tc>
          <w:tcPr>
            <w:tcW w:type="dxa" w:w="1661"/>
          </w:tcPr>
          <w:p>
            <w:pPr>
              <w:pStyle w:val="null3"/>
            </w:pPr>
            <w:r>
              <w:rPr/>
              <w:t>供应商资格</w:t>
            </w:r>
          </w:p>
        </w:tc>
      </w:tr>
      <w:tr>
        <w:tc>
          <w:tcPr>
            <w:tcW w:type="dxa" w:w="831"/>
          </w:tcPr>
          <w:p>
            <w:pPr>
              <w:pStyle w:val="null3"/>
            </w:pPr>
            <w:r>
              <w:rPr/>
              <w:t>4</w:t>
            </w:r>
          </w:p>
        </w:tc>
        <w:tc>
          <w:tcPr>
            <w:tcW w:type="dxa" w:w="2492"/>
          </w:tcPr>
          <w:p>
            <w:pPr>
              <w:pStyle w:val="null3"/>
            </w:pPr>
            <w:r>
              <w:rPr/>
              <w:t>投标人应有依法缴纳社会保障资金的良好记录</w:t>
            </w:r>
          </w:p>
        </w:tc>
        <w:tc>
          <w:tcPr>
            <w:tcW w:type="dxa" w:w="3322"/>
          </w:tcPr>
          <w:p>
            <w:pPr>
              <w:pStyle w:val="null3"/>
            </w:pPr>
            <w:r>
              <w:rPr/>
              <w:t>提供自2024年5月1日以来至少一个月已缴纳的社会保障资金的证明（社会保障资金缴存单据或社保机构开具的社会保险参保缴费情况证明等)；依法不需要缴纳社会保障资金的投标人应提供相关证明文件。并进行电子签章。</w:t>
            </w:r>
          </w:p>
        </w:tc>
        <w:tc>
          <w:tcPr>
            <w:tcW w:type="dxa" w:w="1661"/>
          </w:tcPr>
          <w:p>
            <w:pPr>
              <w:pStyle w:val="null3"/>
            </w:pPr>
            <w:r>
              <w:rPr/>
              <w:t>供应商资格</w:t>
            </w:r>
          </w:p>
        </w:tc>
      </w:tr>
      <w:tr>
        <w:tc>
          <w:tcPr>
            <w:tcW w:type="dxa" w:w="831"/>
          </w:tcPr>
          <w:p>
            <w:pPr>
              <w:pStyle w:val="null3"/>
            </w:pPr>
            <w:r>
              <w:rPr/>
              <w:t>5</w:t>
            </w:r>
          </w:p>
        </w:tc>
        <w:tc>
          <w:tcPr>
            <w:tcW w:type="dxa" w:w="2492"/>
          </w:tcPr>
          <w:p>
            <w:pPr>
              <w:pStyle w:val="null3"/>
            </w:pPr>
            <w:r>
              <w:rPr/>
              <w:t>法定代表授权书</w:t>
            </w:r>
          </w:p>
        </w:tc>
        <w:tc>
          <w:tcPr>
            <w:tcW w:type="dxa" w:w="3322"/>
          </w:tcPr>
          <w:p>
            <w:pPr>
              <w:pStyle w:val="null3"/>
            </w:pPr>
            <w:r>
              <w:rPr/>
              <w:t>法定代表人/负责人直接参加的，只须递交《法定代表人/负责人身份证明》；法定代表人/负责人授权代表参加的，须递交《法定代表人/负责人授权书》,并进行电子签章。</w:t>
            </w:r>
          </w:p>
        </w:tc>
        <w:tc>
          <w:tcPr>
            <w:tcW w:type="dxa" w:w="1661"/>
          </w:tcPr>
          <w:p>
            <w:pPr>
              <w:pStyle w:val="null3"/>
            </w:pPr>
            <w:r>
              <w:rPr/>
              <w:t>供应商资格</w:t>
            </w:r>
          </w:p>
        </w:tc>
      </w:tr>
      <w:tr>
        <w:tc>
          <w:tcPr>
            <w:tcW w:type="dxa" w:w="831"/>
          </w:tcPr>
          <w:p>
            <w:pPr>
              <w:pStyle w:val="null3"/>
            </w:pPr>
            <w:r>
              <w:rPr/>
              <w:t>6</w:t>
            </w:r>
          </w:p>
        </w:tc>
        <w:tc>
          <w:tcPr>
            <w:tcW w:type="dxa" w:w="2492"/>
          </w:tcPr>
          <w:p>
            <w:pPr>
              <w:pStyle w:val="null3"/>
            </w:pPr>
            <w:r>
              <w:rPr/>
              <w:t>参加本次政府采购活动前三年内，在经营活动中没有重大违法记录</w:t>
            </w:r>
          </w:p>
        </w:tc>
        <w:tc>
          <w:tcPr>
            <w:tcW w:type="dxa" w:w="3322"/>
          </w:tcPr>
          <w:p>
            <w:pPr>
              <w:pStyle w:val="null3"/>
            </w:pPr>
            <w:r>
              <w:rPr/>
              <w:t>投标人需提供《无重大违法记录声明》完成承诺并进行电子签章。</w:t>
            </w:r>
          </w:p>
        </w:tc>
        <w:tc>
          <w:tcPr>
            <w:tcW w:type="dxa" w:w="1661"/>
          </w:tcPr>
          <w:p>
            <w:pPr>
              <w:pStyle w:val="null3"/>
            </w:pPr>
            <w:r>
              <w:rPr/>
              <w:t>供应商资格</w:t>
            </w:r>
          </w:p>
        </w:tc>
      </w:tr>
      <w:tr>
        <w:tc>
          <w:tcPr>
            <w:tcW w:type="dxa" w:w="831"/>
          </w:tcPr>
          <w:p>
            <w:pPr>
              <w:pStyle w:val="null3"/>
            </w:pPr>
            <w:r>
              <w:rPr/>
              <w:t>7</w:t>
            </w:r>
          </w:p>
        </w:tc>
        <w:tc>
          <w:tcPr>
            <w:tcW w:type="dxa" w:w="2492"/>
          </w:tcPr>
          <w:p>
            <w:pPr>
              <w:pStyle w:val="null3"/>
            </w:pPr>
            <w:r>
              <w:rPr/>
              <w:t>投标人应具有履行合同所必需的设备和专业技术能力</w:t>
            </w:r>
          </w:p>
        </w:tc>
        <w:tc>
          <w:tcPr>
            <w:tcW w:type="dxa" w:w="3322"/>
          </w:tcPr>
          <w:p>
            <w:pPr>
              <w:pStyle w:val="null3"/>
            </w:pPr>
            <w:r>
              <w:rPr/>
              <w:t>投标人需提供《具有履行合同所必需的设备和专业技术能力的承诺书》完成承诺并进行电子签章。</w:t>
            </w:r>
          </w:p>
        </w:tc>
        <w:tc>
          <w:tcPr>
            <w:tcW w:type="dxa" w:w="1661"/>
          </w:tcPr>
          <w:p>
            <w:pPr>
              <w:pStyle w:val="null3"/>
            </w:pPr>
            <w:r>
              <w:rPr/>
              <w:t>供应商资格</w:t>
            </w:r>
          </w:p>
        </w:tc>
      </w:tr>
      <w:tr>
        <w:tc>
          <w:tcPr>
            <w:tcW w:type="dxa" w:w="831"/>
          </w:tcPr>
          <w:p>
            <w:pPr>
              <w:pStyle w:val="null3"/>
            </w:pPr>
            <w:r>
              <w:rPr/>
              <w:t>8</w:t>
            </w:r>
          </w:p>
        </w:tc>
        <w:tc>
          <w:tcPr>
            <w:tcW w:type="dxa" w:w="2492"/>
          </w:tcPr>
          <w:p>
            <w:pPr>
              <w:pStyle w:val="null3"/>
            </w:pPr>
            <w:r>
              <w:rPr/>
              <w:t>本项目允许进口产品投标</w:t>
            </w:r>
          </w:p>
        </w:tc>
        <w:tc>
          <w:tcPr>
            <w:tcW w:type="dxa" w:w="3322"/>
          </w:tcPr>
          <w:p>
            <w:pPr>
              <w:pStyle w:val="null3"/>
            </w:pPr>
            <w:r>
              <w:rPr/>
              <w:t>所投产品为进口产品的，供应商为非所投产品制造厂家的，需提供产品制造厂家对所投进口产品的授权书，或具有授权权限的代理商对所投进口产品的授权书（且需提供该代理商具有有效授权权限的相关证明文件，证明文件需能显示产品制造厂家对所投产品授权链条的完整性），产品制造厂家直投不需要提供。</w:t>
            </w:r>
          </w:p>
        </w:tc>
        <w:tc>
          <w:tcPr>
            <w:tcW w:type="dxa" w:w="1661"/>
          </w:tcPr>
          <w:p>
            <w:pPr>
              <w:pStyle w:val="null3"/>
            </w:pPr>
            <w:r>
              <w:rPr/>
              <w:t>供应商资格</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签章符合招标文件要求</w:t>
            </w:r>
          </w:p>
        </w:tc>
        <w:tc>
          <w:tcPr>
            <w:tcW w:type="dxa" w:w="3322"/>
          </w:tcPr>
          <w:p>
            <w:pPr>
              <w:pStyle w:val="null3"/>
            </w:pPr>
            <w:r>
              <w:rPr/>
              <w:t>供应商应当加盖投标人（法定名称）电子印章</w:t>
            </w:r>
          </w:p>
        </w:tc>
        <w:tc>
          <w:tcPr>
            <w:tcW w:type="dxa" w:w="1661"/>
          </w:tcPr>
          <w:p>
            <w:pPr>
              <w:pStyle w:val="null3"/>
            </w:pPr>
            <w:r>
              <w:rPr/>
              <w:t>其他材料 供应商基本信息 投标文件封面 供应商承诺书</w:t>
            </w:r>
          </w:p>
        </w:tc>
      </w:tr>
      <w:tr>
        <w:tc>
          <w:tcPr>
            <w:tcW w:type="dxa" w:w="831"/>
          </w:tcPr>
          <w:p>
            <w:pPr>
              <w:pStyle w:val="null3"/>
            </w:pPr>
            <w:r>
              <w:rPr/>
              <w:t>3</w:t>
            </w:r>
          </w:p>
        </w:tc>
        <w:tc>
          <w:tcPr>
            <w:tcW w:type="dxa" w:w="2492"/>
          </w:tcPr>
          <w:p>
            <w:pPr>
              <w:pStyle w:val="null3"/>
            </w:pPr>
            <w:r>
              <w:rPr/>
              <w:t>商务要求响应</w:t>
            </w:r>
          </w:p>
        </w:tc>
        <w:tc>
          <w:tcPr>
            <w:tcW w:type="dxa" w:w="3322"/>
          </w:tcPr>
          <w:p>
            <w:pPr>
              <w:pStyle w:val="null3"/>
            </w:pPr>
            <w:r>
              <w:rPr/>
              <w:t>供应商必须满足招标文件的商务要求</w:t>
            </w:r>
          </w:p>
        </w:tc>
        <w:tc>
          <w:tcPr>
            <w:tcW w:type="dxa" w:w="1661"/>
          </w:tcPr>
          <w:p>
            <w:pPr>
              <w:pStyle w:val="null3"/>
            </w:pPr>
            <w:r>
              <w:rPr/>
              <w:t>商务响应偏离表</w:t>
            </w:r>
          </w:p>
        </w:tc>
      </w:tr>
      <w:tr>
        <w:tc>
          <w:tcPr>
            <w:tcW w:type="dxa" w:w="831"/>
          </w:tcPr>
          <w:p>
            <w:pPr>
              <w:pStyle w:val="null3"/>
            </w:pPr>
            <w:r>
              <w:rPr/>
              <w:t>4</w:t>
            </w:r>
          </w:p>
        </w:tc>
        <w:tc>
          <w:tcPr>
            <w:tcW w:type="dxa" w:w="2492"/>
          </w:tcPr>
          <w:p>
            <w:pPr>
              <w:pStyle w:val="null3"/>
            </w:pPr>
            <w:r>
              <w:rPr/>
              <w:t>投标保证金</w:t>
            </w:r>
          </w:p>
        </w:tc>
        <w:tc>
          <w:tcPr>
            <w:tcW w:type="dxa" w:w="3322"/>
          </w:tcPr>
          <w:p>
            <w:pPr>
              <w:pStyle w:val="null3"/>
            </w:pPr>
            <w:r>
              <w:rPr/>
              <w:t>投标保证金符合第二章投标人须知要求</w:t>
            </w:r>
          </w:p>
        </w:tc>
        <w:tc>
          <w:tcPr>
            <w:tcW w:type="dxa" w:w="1661"/>
          </w:tcPr>
          <w:p>
            <w:pPr>
              <w:pStyle w:val="null3"/>
            </w:pPr>
            <w:r>
              <w:rPr/>
              <w:t>投标保证金缴纳凭证</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详细评审65.0000分</w:t>
            </w:r>
          </w:p>
          <w:p>
            <w:pPr>
              <w:pStyle w:val="null3"/>
            </w:pPr>
            <w:r>
              <w:rPr/>
              <w:t>报价得分35.0000分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基本分： 所投产品的技术参数完全符合、响应招标文件要求，没有负偏离计33分。 1、技术参数中标“▲”项（共4项）满分8分，负偏离一项扣2分，扣完为止； 2、技术参数中非“▲”项（共25项）满分25分，负偏离一项扣1分； 加分项： 技术参数的参数性能优于招标文件要求，具有实际使用价值的提升，经评标委员会一致认定每项可加分，满分14分。 1、“▲”项每项加2分，共8分； 2、非“▲”项每项加0.5分，共6分。 备注：所有“▲”项和优于参数须提供佐证材料（佐证材料不限于产品彩页、检测报告、厂家盖章的说明书、官网功能截图等。），否则不予得分或加分。</w:t>
            </w:r>
          </w:p>
        </w:tc>
        <w:tc>
          <w:tcPr>
            <w:tcW w:type="dxa" w:w="831"/>
          </w:tcPr>
          <w:p>
            <w:pPr>
              <w:pStyle w:val="null3"/>
              <w:jc w:val="right"/>
            </w:pPr>
            <w:r>
              <w:rPr/>
              <w:t>47.0000</w:t>
            </w:r>
          </w:p>
        </w:tc>
        <w:tc>
          <w:tcPr>
            <w:tcW w:type="dxa" w:w="831"/>
          </w:tcPr>
          <w:p>
            <w:pPr>
              <w:pStyle w:val="null3"/>
            </w:pPr>
            <w:r>
              <w:rPr/>
              <w:t>客观</w:t>
            </w:r>
          </w:p>
        </w:tc>
        <w:tc>
          <w:tcPr>
            <w:tcW w:type="dxa" w:w="1661"/>
          </w:tcPr>
          <w:p>
            <w:pPr>
              <w:pStyle w:val="null3"/>
            </w:pPr>
            <w:r>
              <w:rPr/>
              <w:t>技术响应偏离表</w:t>
            </w:r>
          </w:p>
        </w:tc>
      </w:tr>
      <w:tr>
        <w:tc>
          <w:tcPr>
            <w:tcW w:type="dxa" w:w="831"/>
            <w:vMerge/>
          </w:tcPr>
          <w:p/>
        </w:tc>
        <w:tc>
          <w:tcPr>
            <w:tcW w:type="dxa" w:w="1661"/>
          </w:tcPr>
          <w:p>
            <w:pPr>
              <w:pStyle w:val="null3"/>
            </w:pPr>
            <w:r>
              <w:rPr/>
              <w:t>质量保证</w:t>
            </w:r>
          </w:p>
        </w:tc>
        <w:tc>
          <w:tcPr>
            <w:tcW w:type="dxa" w:w="2492"/>
          </w:tcPr>
          <w:p>
            <w:pPr>
              <w:pStyle w:val="null3"/>
            </w:pPr>
            <w:r>
              <w:rPr/>
              <w:t>一、评审内容 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三、赋分依据（满分3分） ①产品性能、使用寿命及效果：每完全满足一个评审标准得0.5分，满分1.5分；未提供不得分； ②质量保证措施:每完全满足一个评审标准得0.5分，满 分1.5分；未提供不得分。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实施方案</w:t>
            </w:r>
          </w:p>
        </w:tc>
        <w:tc>
          <w:tcPr>
            <w:tcW w:type="dxa" w:w="2492"/>
          </w:tcPr>
          <w:p>
            <w:pPr>
              <w:pStyle w:val="null3"/>
            </w:pPr>
            <w:r>
              <w:rPr/>
              <w:t>一、评审内容 投标人针对本项目提供完整的项目实施方案。内容包含：①供货组织安排、实施计划及进度计划②安装调试验收及售后方案、物力调配及保障措施。 二、评审标准 1、完整性：方案须全面，对评审内容中的各项要求描述详细； 2、可实施性：切合本项目实际情况，实施步骤清晰、合理； 3、针对性：方案能够紧扣项目实际情况，内容科学合理。 三、赋分依据（满分3分） ①供货组织安排、实施计划及进度计划：每完全满足一个评审标准得0.5分，满分1.5分；未提供不得分； ②安装调试验收及售后方案、物力调配及保障措施：每完全满足一个评审标准得0.5分，满分1.5分；未提供不得分。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培训方案</w:t>
            </w:r>
          </w:p>
        </w:tc>
        <w:tc>
          <w:tcPr>
            <w:tcW w:type="dxa" w:w="2492"/>
          </w:tcPr>
          <w:p>
            <w:pPr>
              <w:pStyle w:val="null3"/>
            </w:pPr>
            <w:r>
              <w:rPr/>
              <w:t>评审内容 针对本项目具有可行的技术培训方案。包括①培训计划，含培训计划表、地点、时间及培训对象人数等②培训内容，含所提供产品的原理和技术性能、操作维护方法、安装调试、排除故障等。 二、评审标准 1、完整性：方案须全面，对评审内容中的各项要求描述详细； 2、可实施性：切合本项目实际情况，实施步骤清晰、合理； 3、针对性：方案能够紧扣项目实际情况，内容科学合理。 三、赋分依据（满分3分） ①培训计划：每完全满足一个评审标准得0.5分，满分 1.5分；未提供不得分； ②培训内容：每完全满足一个评审标准得0.5分，满分 1.5分；未提供不得分。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业绩</w:t>
            </w:r>
          </w:p>
        </w:tc>
        <w:tc>
          <w:tcPr>
            <w:tcW w:type="dxa" w:w="2492"/>
          </w:tcPr>
          <w:p>
            <w:pPr>
              <w:pStyle w:val="null3"/>
            </w:pPr>
            <w:r>
              <w:rPr/>
              <w:t>提供投标人2021年11月1日至今同类项目合同，每提供1个计1分，最高得5分。（以合同签订日期为准） 备注：投标文件中提供合同复印件加盖公章。</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供应商业绩</w:t>
            </w:r>
          </w:p>
        </w:tc>
      </w:tr>
      <w:tr>
        <w:tc>
          <w:tcPr>
            <w:tcW w:type="dxa" w:w="831"/>
            <w:vMerge/>
          </w:tcPr>
          <w:p/>
        </w:tc>
        <w:tc>
          <w:tcPr>
            <w:tcW w:type="dxa" w:w="1661"/>
          </w:tcPr>
          <w:p>
            <w:pPr>
              <w:pStyle w:val="null3"/>
            </w:pPr>
            <w:r>
              <w:rPr/>
              <w:t>售后服务</w:t>
            </w:r>
          </w:p>
        </w:tc>
        <w:tc>
          <w:tcPr>
            <w:tcW w:type="dxa" w:w="2492"/>
          </w:tcPr>
          <w:p>
            <w:pPr>
              <w:pStyle w:val="null3"/>
            </w:pPr>
            <w:r>
              <w:rPr/>
              <w:t>一、评审内容 根据项目实际需求提供售后服务方案。内容包含：①服务范围及保障措施：②应急处理方案。 二、评审标准 1.完整性：方案须全面，对评审内容中的各项要求有详细描述； 2.可实施性：切合本项目实际情况，提出步骤清晰、合理的方案； 3.针对性：方案能够紧扣项目实际情况，内容科学合理。 三、赋分依据（满分3分） ①范围及保障措施：每完全满足一个评审标准得0.5分，满分1.5分；未提供不得分； ②应急处理方案：每完全满足一个评审标准得0.5分，满分1.5分；未提供不得分。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节能环保</w:t>
            </w:r>
          </w:p>
        </w:tc>
        <w:tc>
          <w:tcPr>
            <w:tcW w:type="dxa" w:w="2492"/>
          </w:tcPr>
          <w:p>
            <w:pPr>
              <w:pStyle w:val="null3"/>
            </w:pPr>
            <w:r>
              <w:rPr/>
              <w:t>投标人提供的产品属于《节能产品政府采购品目清单》内产品，提供有效期内的节能产品证书，每提供1项得0.5分，属于《环境标志产品政府采购品目清单》内产品的，提供有效期内的环境标志产品证书，每提供1项得0.5分。（备注：以《中国政府采购网》颁布品目清单为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投标方案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 且投标价格最低的投标报价为评标基准价，其价格分为满分。其他投标人的价格分统一按照下列公式计算：投标报价得分=(评标基准价／投标报价)×35 计算分数时四舍五入取小数点后两位。</w:t>
            </w:r>
          </w:p>
        </w:tc>
        <w:tc>
          <w:tcPr>
            <w:tcW w:type="dxa" w:w="831"/>
          </w:tcPr>
          <w:p>
            <w:pPr>
              <w:pStyle w:val="null3"/>
              <w:jc w:val="right"/>
            </w:pPr>
            <w:r>
              <w:rPr/>
              <w:t>35.0000</w:t>
            </w:r>
          </w:p>
        </w:tc>
        <w:tc>
          <w:tcPr>
            <w:tcW w:type="dxa" w:w="831"/>
          </w:tcPr>
          <w:p>
            <w:pPr>
              <w:pStyle w:val="null3"/>
            </w:pPr>
            <w:r>
              <w:rPr/>
              <w:t>客观</w:t>
            </w:r>
          </w:p>
        </w:tc>
        <w:tc>
          <w:tcPr>
            <w:tcW w:type="dxa" w:w="1661"/>
          </w:tcPr>
          <w:p>
            <w:pPr>
              <w:pStyle w:val="null3"/>
            </w:pPr>
            <w:r>
              <w:rPr/>
              <w:t>开标一览表</w:t>
            </w:r>
          </w:p>
          <w:p>
            <w:pPr>
              <w:pStyle w:val="null3"/>
            </w:pPr>
            <w:r>
              <w:rPr/>
              <w:t>标的清单</w:t>
            </w:r>
          </w:p>
          <w:p>
            <w:pPr>
              <w:pStyle w:val="null3"/>
            </w:pPr>
            <w:r>
              <w:rPr/>
              <w:t>投标分项报价表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详见附件：投标分项报价表</w:t>
      </w:r>
    </w:p>
    <w:p>
      <w:pPr>
        <w:pStyle w:val="null3"/>
        <w:ind w:firstLine="960"/>
      </w:pPr>
      <w:r>
        <w:rPr/>
        <w:t>详见附件：供应商基本信息</w:t>
      </w:r>
    </w:p>
    <w:p>
      <w:pPr>
        <w:pStyle w:val="null3"/>
        <w:ind w:firstLine="960"/>
      </w:pPr>
      <w:r>
        <w:rPr/>
        <w:t>详见附件：技术响应偏离表</w:t>
      </w:r>
    </w:p>
    <w:p>
      <w:pPr>
        <w:pStyle w:val="null3"/>
        <w:ind w:firstLine="960"/>
      </w:pPr>
      <w:r>
        <w:rPr/>
        <w:t>详见附件：商务响应偏离表</w:t>
      </w:r>
    </w:p>
    <w:p>
      <w:pPr>
        <w:pStyle w:val="null3"/>
        <w:ind w:firstLine="960"/>
      </w:pPr>
      <w:r>
        <w:rPr/>
        <w:t>详见附件：供应商承诺书</w:t>
      </w:r>
    </w:p>
    <w:p>
      <w:pPr>
        <w:pStyle w:val="null3"/>
        <w:ind w:firstLine="960"/>
      </w:pPr>
      <w:r>
        <w:rPr/>
        <w:t>详见附件：投标方案</w:t>
      </w:r>
    </w:p>
    <w:p>
      <w:pPr>
        <w:pStyle w:val="null3"/>
        <w:ind w:firstLine="960"/>
      </w:pPr>
      <w:r>
        <w:rPr/>
        <w:t>详见附件：供应商业绩</w:t>
      </w:r>
    </w:p>
    <w:p>
      <w:pPr>
        <w:pStyle w:val="null3"/>
        <w:ind w:firstLine="960"/>
      </w:pPr>
      <w:r>
        <w:rPr/>
        <w:t>详见附件：投标保证金缴纳凭证</w:t>
      </w:r>
    </w:p>
    <w:p>
      <w:pPr>
        <w:pStyle w:val="null3"/>
        <w:ind w:firstLine="960"/>
      </w:pPr>
      <w:r>
        <w:rPr/>
        <w:t>详见附件：其他材料</w:t>
      </w:r>
    </w:p>
    <w:p>
      <w:pPr>
        <w:pStyle w:val="null3"/>
        <w:ind w:firstLine="960"/>
      </w:pPr>
      <w:r>
        <w:rPr/>
        <w:t>详见附件：供应商资格</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详见附件：拟签订合同文本.docx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