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单晶X射线衍射仪采购项目</w:t>
      </w:r>
    </w:p>
    <w:p>
      <w:pPr>
        <w:pStyle w:val="null3"/>
        <w:jc w:val="center"/>
        <w:outlineLvl w:val="2"/>
      </w:pPr>
      <w:r>
        <w:rPr>
          <w:sz w:val="28"/>
          <w:b/>
        </w:rPr>
        <w:t>采购项目编号：</w:t>
      </w:r>
      <w:r>
        <w:rPr>
          <w:sz w:val="28"/>
          <w:b/>
        </w:rPr>
        <w:t>RTZB-2024-2098</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陕西瑞通工程造价咨询有限公司</w:t>
      </w:r>
      <w:r>
        <w:rPr/>
        <w:t>（以下简称“代理机构”）受</w:t>
      </w:r>
      <w:r>
        <w:rPr/>
        <w:t>西北大学</w:t>
      </w:r>
      <w:r>
        <w:rPr/>
        <w:t>委托，拟对</w:t>
      </w:r>
      <w:r>
        <w:rPr/>
        <w:t>单晶X射线衍射仪采购项目</w:t>
      </w:r>
      <w:r>
        <w:rPr/>
        <w:t>进行国内公开招标，兹邀请符合本次招标要求的供应商参加投标。</w:t>
      </w:r>
    </w:p>
    <w:p>
      <w:pPr>
        <w:pStyle w:val="null3"/>
        <w:outlineLvl w:val="2"/>
      </w:pPr>
      <w:r>
        <w:rPr>
          <w:sz w:val="28"/>
          <w:b/>
        </w:rPr>
        <w:t>一、采购项目编号：</w:t>
      </w:r>
      <w:r>
        <w:rPr>
          <w:sz w:val="28"/>
          <w:b/>
        </w:rPr>
        <w:t>RTZB-2024-2098</w:t>
      </w:r>
    </w:p>
    <w:p>
      <w:pPr>
        <w:pStyle w:val="null3"/>
        <w:outlineLvl w:val="2"/>
      </w:pPr>
      <w:r>
        <w:rPr>
          <w:sz w:val="28"/>
          <w:b/>
        </w:rPr>
        <w:t>二、采购项目名称：</w:t>
      </w:r>
      <w:r>
        <w:rPr>
          <w:sz w:val="28"/>
          <w:b/>
        </w:rPr>
        <w:t>单晶X射线衍射仪采购项目</w:t>
      </w:r>
    </w:p>
    <w:p>
      <w:pPr>
        <w:pStyle w:val="null3"/>
        <w:outlineLvl w:val="2"/>
      </w:pPr>
      <w:r>
        <w:rPr>
          <w:sz w:val="28"/>
          <w:b/>
        </w:rPr>
        <w:t>三、招标项目简介</w:t>
      </w:r>
    </w:p>
    <w:p>
      <w:pPr>
        <w:pStyle w:val="null3"/>
        <w:ind w:firstLine="480"/>
      </w:pPr>
      <w:r>
        <w:rPr/>
        <w:t>采购单晶X射线衍射仪一套，单晶X射线衍射仪可以用于单晶的测定，分析晶体的键长、键角、连接方式、晶胞参数，进而获得结构数据，已广泛地应用于化学（配位化学、金属有机化学、有机化学、无机材料化学、生物无机化学）、分子生物学、药物学、物理学、矿物学和材料科学等方面的分析研究等研究领域。 采购显微镜及成像系统一套，显微镜是利用光的偏振特性对具有双折射性物质进行研究鉴定的必备仪器，可以进行单偏光观察，正交偏光观察。主要适用于透明岩相标本是利用岩相物质本身所具有的一些光学特性，也可广泛应用于化工、制药等领域的研究与检验，也可进行液态高分子材料，生物聚合物及液晶材料的晶相观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3、财务状况证明：提供2023年度经第三方会计事务所审计过的财务报告，或投标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4、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5、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6、履约能力证明：提供具有履行本合同所必需的专业技术能力的声明</w:t>
      </w:r>
    </w:p>
    <w:p>
      <w:pPr>
        <w:pStyle w:val="null3"/>
      </w:pPr>
      <w:r>
        <w:rPr/>
        <w:t>7、产品授权：提供进口产品的，须提供自产品制造商起链条完整的针对本项目或所投产品的授权书，授权函为外文的须提供逐一对应的中文译文（外籍人士的签字除外）并加盖投标人公章。国产产品无此要求。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t>8、联合体投标：不接受联合体，提供非联合体声明。</w:t>
      </w:r>
    </w:p>
    <w:p>
      <w:pPr>
        <w:pStyle w:val="null3"/>
      </w:pPr>
      <w:r>
        <w:rPr/>
        <w:t>采购包2：</w:t>
      </w:r>
    </w:p>
    <w:p>
      <w:pPr>
        <w:pStyle w:val="null3"/>
      </w:pPr>
      <w:r>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3、财务状况证明：提供2023年度经第三方会计事务所审计过的财务报告，或投标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4、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5、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6、履约能力证明：提供具有履行本合同所必需的专业技术能力的声明</w:t>
      </w:r>
    </w:p>
    <w:p>
      <w:pPr>
        <w:pStyle w:val="null3"/>
      </w:pPr>
      <w:r>
        <w:rPr/>
        <w:t>7、产品授权：提供进口产品的，须提供自产品制造商起链条完整的针对本项目或所投产品的授权书，授权函为外文的须提供逐一对应的中文译文（外籍人士的签字除外）并加盖投标人公章。国产产品无此要求。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t>8、联合体投标：不接受联合体，提供非联合体声明。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薛老师</w:t>
      </w:r>
    </w:p>
    <w:p>
      <w:pPr>
        <w:pStyle w:val="null3"/>
      </w:pPr>
      <w:r>
        <w:rPr/>
        <w:t xml:space="preserve"> 联系电话： </w:t>
      </w:r>
      <w:r>
        <w:rPr/>
        <w:t>029-88302974</w:t>
      </w:r>
    </w:p>
    <w:p>
      <w:pPr>
        <w:pStyle w:val="null3"/>
        <w:outlineLvl w:val="2"/>
      </w:pPr>
      <w:r>
        <w:rPr>
          <w:sz w:val="28"/>
          <w:b/>
        </w:rPr>
        <w:t>代理机构：</w:t>
      </w:r>
      <w:r>
        <w:rPr>
          <w:sz w:val="28"/>
          <w:b/>
        </w:rPr>
        <w:t>陕西瑞通工程造价咨询有限公司</w:t>
      </w:r>
    </w:p>
    <w:p>
      <w:pPr>
        <w:pStyle w:val="null3"/>
      </w:pPr>
      <w:r>
        <w:rPr/>
        <w:t xml:space="preserve"> 地址： </w:t>
      </w:r>
      <w:r>
        <w:rPr/>
        <w:t>陕西省西安市高新区科技路30号合力紫郡A座2204室</w:t>
      </w:r>
    </w:p>
    <w:p>
      <w:pPr>
        <w:pStyle w:val="null3"/>
      </w:pPr>
      <w:r>
        <w:rPr/>
        <w:t xml:space="preserve"> 邮编： </w:t>
      </w:r>
      <w:r>
        <w:rPr/>
        <w:t>710075</w:t>
      </w:r>
    </w:p>
    <w:p>
      <w:pPr>
        <w:pStyle w:val="null3"/>
      </w:pPr>
      <w:r>
        <w:rPr/>
        <w:t xml:space="preserve"> 联系人： </w:t>
      </w:r>
      <w:r>
        <w:rPr/>
        <w:t>贾堃 席敏 水思楠 张晨 张岩</w:t>
      </w:r>
    </w:p>
    <w:p>
      <w:pPr>
        <w:pStyle w:val="null3"/>
      </w:pPr>
      <w:r>
        <w:rPr/>
        <w:t xml:space="preserve"> 联系电话： </w:t>
      </w:r>
      <w:r>
        <w:rPr/>
        <w:t>029-88224132-8007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采购包1：4,700,000.00元</w:t>
            </w:r>
          </w:p>
          <w:p>
            <w:pPr>
              <w:pStyle w:val="null3"/>
            </w:pPr>
            <w:r>
              <w:rPr/>
              <w:t>采购包2：300,000.00元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采购包1保证金金额：94,000.00元</w:t>
            </w:r>
          </w:p>
          <w:p>
            <w:pPr>
              <w:pStyle w:val="null3"/>
            </w:pPr>
            <w:r>
              <w:rPr/>
              <w:t>采购包2保证金金额：6,000.00元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p>
            <w:pPr>
              <w:pStyle w:val="null3"/>
            </w:pPr>
            <w:r>
              <w:rPr/>
              <w:t>采购包2：缴纳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陕西瑞通工程造价咨询有限公司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根据招标文件、投标文件及合同约定执行。</w:t>
      </w:r>
    </w:p>
    <w:p>
      <w:pPr>
        <w:pStyle w:val="null3"/>
      </w:pPr>
      <w:r>
        <w:rPr/>
        <w:t>采购包2：</w:t>
      </w:r>
    </w:p>
    <w:p>
      <w:pPr>
        <w:pStyle w:val="null3"/>
      </w:pPr>
      <w:r>
        <w:rPr/>
        <w:t>根据招标文件、投标文件及合同约定执行。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联系人：贾堃 喻涛</w:t>
      </w:r>
    </w:p>
    <w:p>
      <w:pPr>
        <w:pStyle w:val="null3"/>
      </w:pPr>
      <w:r>
        <w:rPr/>
        <w:t>联系电话：029-88224132</w:t>
      </w:r>
    </w:p>
    <w:p>
      <w:pPr>
        <w:pStyle w:val="null3"/>
      </w:pPr>
      <w:r>
        <w:rPr/>
        <w:t>地址：陕西省西安市高新区科技路30号合力紫郡A座2204室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单晶X射线衍射仪一套，单晶X射线衍射仪可以用于单晶的测定，分析晶体的键长、键角、连接方式、晶胞参数，进而获得结构数据，已广泛地应用于化学（配位化学、金属有机化学、有机化学、无机材料化学、生物无机化学）、分子生物学、药物学、物理学、矿物学和材料科学等方面的分析研究等研究领域。 采购显微镜及成像系统一套，显微镜是利用光的偏振特性对具有双折射性物质进行研究鉴定的必备仪器，可以进行单偏光观察，正交偏光观察。主要适用于透明岩相标本是利用岩相物质本身所具有的一些光学特性，也可广泛应用于化工、制药等领域的研究与检验，也可进行液态高分子材料，生物聚合物及液晶材料的晶相观察。</w:t>
      </w:r>
    </w:p>
    <w:p>
      <w:pPr>
        <w:pStyle w:val="null3"/>
        <w:outlineLvl w:val="2"/>
      </w:pPr>
      <w:r>
        <w:rPr>
          <w:sz w:val="28"/>
          <w:b/>
        </w:rPr>
        <w:t>3.2采购内容</w:t>
      </w:r>
    </w:p>
    <w:p>
      <w:pPr>
        <w:pStyle w:val="null3"/>
      </w:pPr>
      <w:r>
        <w:rPr/>
        <w:t>采购包1：</w:t>
      </w:r>
    </w:p>
    <w:p>
      <w:pPr>
        <w:pStyle w:val="null3"/>
      </w:pPr>
      <w:r>
        <w:rPr/>
        <w:t>采购包预算金额（元）: 4,700,000.00</w:t>
      </w:r>
    </w:p>
    <w:p>
      <w:pPr>
        <w:pStyle w:val="null3"/>
      </w:pPr>
      <w:r>
        <w:rPr/>
        <w:t>采购包最高限价（元）: 4,700,000.00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单晶X射线衍射仪</w:t>
            </w:r>
          </w:p>
        </w:tc>
        <w:tc>
          <w:tcPr>
            <w:tcW w:type="dxa" w:w="831"/>
          </w:tcPr>
          <w:p>
            <w:pPr>
              <w:pStyle w:val="null3"/>
              <w:jc w:val="right"/>
            </w:pPr>
            <w:r>
              <w:rPr/>
              <w:t>1.00</w:t>
            </w:r>
          </w:p>
        </w:tc>
        <w:tc>
          <w:tcPr>
            <w:tcW w:type="dxa" w:w="831"/>
          </w:tcPr>
          <w:p>
            <w:pPr>
              <w:pStyle w:val="null3"/>
              <w:jc w:val="right"/>
            </w:pPr>
            <w:r>
              <w:rPr/>
              <w:t>4,700,000.00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显微镜及成像系统</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标的名称：单晶X射线衍射仪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93"/>
              <w:gridCol w:w="241"/>
              <w:gridCol w:w="256"/>
              <w:gridCol w:w="261"/>
            </w:tblGrid>
            <w:tr>
              <w:tc>
                <w:tcPr>
                  <w:tcW w:type="dxa" w:w="1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1.光源</w:t>
                  </w:r>
                </w:p>
                <w:p>
                  <w:pPr>
                    <w:pStyle w:val="null3"/>
                  </w:pPr>
                  <w:r>
                    <w:rPr>
                      <w:rFonts w:ascii="宋体" w:hAnsi="宋体" w:cs="宋体" w:eastAsia="宋体"/>
                      <w:sz w:val="24"/>
                      <w:color w:val="000000"/>
                    </w:rPr>
                    <w:t>▲1.1微焦斑转靶光源</w:t>
                  </w:r>
                </w:p>
                <w:p>
                  <w:pPr>
                    <w:pStyle w:val="null3"/>
                  </w:pPr>
                  <w:r>
                    <w:rPr>
                      <w:rFonts w:ascii="宋体" w:hAnsi="宋体" w:cs="宋体" w:eastAsia="宋体"/>
                      <w:sz w:val="24"/>
                      <w:color w:val="000000"/>
                    </w:rPr>
                    <w:t>★1.1.1最大输出功率≥250W，Cu、Mo光源</w:t>
                  </w:r>
                </w:p>
                <w:p>
                  <w:pPr>
                    <w:pStyle w:val="null3"/>
                  </w:pPr>
                  <w:r>
                    <w:rPr>
                      <w:rFonts w:ascii="宋体" w:hAnsi="宋体" w:cs="宋体" w:eastAsia="宋体"/>
                      <w:sz w:val="24"/>
                      <w:color w:val="000000"/>
                    </w:rPr>
                    <w:t>▲1.1.2最大管电压：≥40kV（Cu），50kV（Mo）</w:t>
                  </w:r>
                </w:p>
                <w:p>
                  <w:pPr>
                    <w:pStyle w:val="null3"/>
                  </w:pPr>
                  <w:r>
                    <w:rPr>
                      <w:rFonts w:ascii="宋体" w:hAnsi="宋体" w:cs="宋体" w:eastAsia="宋体"/>
                      <w:sz w:val="24"/>
                      <w:color w:val="000000"/>
                    </w:rPr>
                    <w:t>▲1.1.3额定管电流：≥30mA（Cu），20mA（Mo）</w:t>
                  </w:r>
                </w:p>
                <w:p>
                  <w:pPr>
                    <w:pStyle w:val="null3"/>
                  </w:pPr>
                  <w:r>
                    <w:rPr>
                      <w:rFonts w:ascii="宋体" w:hAnsi="宋体" w:cs="宋体" w:eastAsia="宋体"/>
                      <w:sz w:val="24"/>
                      <w:color w:val="000000"/>
                    </w:rPr>
                    <w:t>2多层膜X-射线透镜</w:t>
                  </w:r>
                </w:p>
                <w:p>
                  <w:pPr>
                    <w:pStyle w:val="null3"/>
                  </w:pPr>
                  <w:r>
                    <w:rPr>
                      <w:rFonts w:ascii="宋体" w:hAnsi="宋体" w:cs="宋体" w:eastAsia="宋体"/>
                      <w:sz w:val="24"/>
                      <w:color w:val="000000"/>
                    </w:rPr>
                    <w:t>3.Kappa四圆测角装置</w:t>
                  </w:r>
                </w:p>
                <w:p>
                  <w:pPr>
                    <w:pStyle w:val="null3"/>
                  </w:pPr>
                  <w:r>
                    <w:rPr>
                      <w:rFonts w:ascii="宋体" w:hAnsi="宋体" w:cs="宋体" w:eastAsia="宋体"/>
                      <w:sz w:val="24"/>
                      <w:color w:val="000000"/>
                    </w:rPr>
                    <w:t>3.1样品到探测器距离范围:40mm～180mm（马达调节）</w:t>
                  </w:r>
                </w:p>
                <w:p>
                  <w:pPr>
                    <w:pStyle w:val="null3"/>
                  </w:pPr>
                  <w:r>
                    <w:rPr>
                      <w:rFonts w:ascii="宋体" w:hAnsi="宋体" w:cs="宋体" w:eastAsia="宋体"/>
                      <w:sz w:val="24"/>
                      <w:color w:val="000000"/>
                    </w:rPr>
                    <w:t>3.2载晶器：符合国际标准</w:t>
                  </w:r>
                </w:p>
                <w:p>
                  <w:pPr>
                    <w:pStyle w:val="null3"/>
                  </w:pPr>
                  <w:r>
                    <w:rPr>
                      <w:rFonts w:ascii="宋体" w:hAnsi="宋体" w:cs="宋体" w:eastAsia="宋体"/>
                      <w:sz w:val="24"/>
                      <w:color w:val="000000"/>
                    </w:rPr>
                    <w:t>3.3样品观测用CCD照相机：≥70倍</w:t>
                  </w:r>
                </w:p>
                <w:p>
                  <w:pPr>
                    <w:pStyle w:val="null3"/>
                  </w:pPr>
                  <w:r>
                    <w:rPr>
                      <w:rFonts w:ascii="宋体" w:hAnsi="宋体" w:cs="宋体" w:eastAsia="宋体"/>
                      <w:sz w:val="24"/>
                      <w:color w:val="000000"/>
                    </w:rPr>
                    <w:t>4二维面探硅阵列检测器</w:t>
                  </w:r>
                </w:p>
                <w:p>
                  <w:pPr>
                    <w:pStyle w:val="null3"/>
                  </w:pPr>
                  <w:r>
                    <w:rPr>
                      <w:rFonts w:ascii="宋体" w:hAnsi="宋体" w:cs="宋体" w:eastAsia="宋体"/>
                      <w:sz w:val="24"/>
                      <w:color w:val="000000"/>
                    </w:rPr>
                    <w:t>★4.1检出方式:直接读数</w:t>
                  </w:r>
                </w:p>
                <w:p>
                  <w:pPr>
                    <w:pStyle w:val="null3"/>
                  </w:pPr>
                  <w:r>
                    <w:rPr>
                      <w:rFonts w:ascii="宋体" w:hAnsi="宋体" w:cs="宋体" w:eastAsia="宋体"/>
                      <w:sz w:val="24"/>
                      <w:color w:val="000000"/>
                    </w:rPr>
                    <w:t>4.2有效面积:＞ 75.0 mm × 80.0 mm</w:t>
                  </w:r>
                </w:p>
                <w:p>
                  <w:pPr>
                    <w:pStyle w:val="null3"/>
                  </w:pPr>
                  <w:r>
                    <w:rPr>
                      <w:rFonts w:ascii="宋体" w:hAnsi="宋体" w:cs="宋体" w:eastAsia="宋体"/>
                      <w:sz w:val="24"/>
                      <w:color w:val="000000"/>
                    </w:rPr>
                    <w:t>★4.3像素大小: ≤120 μm × 120 μm</w:t>
                  </w:r>
                </w:p>
                <w:p>
                  <w:pPr>
                    <w:pStyle w:val="null3"/>
                  </w:pPr>
                  <w:r>
                    <w:rPr>
                      <w:rFonts w:ascii="宋体" w:hAnsi="宋体" w:cs="宋体" w:eastAsia="宋体"/>
                      <w:sz w:val="24"/>
                      <w:color w:val="000000"/>
                    </w:rPr>
                    <w:t>4.4冷却方式:空气冷却</w:t>
                  </w:r>
                </w:p>
                <w:p>
                  <w:pPr>
                    <w:pStyle w:val="null3"/>
                  </w:pPr>
                  <w:r>
                    <w:rPr>
                      <w:rFonts w:ascii="宋体" w:hAnsi="宋体" w:cs="宋体" w:eastAsia="宋体"/>
                      <w:sz w:val="24"/>
                      <w:color w:val="000000"/>
                    </w:rPr>
                    <w:t>▲4.5读数动态范围: 16 Bit--30 Bit</w:t>
                  </w:r>
                </w:p>
                <w:p>
                  <w:pPr>
                    <w:pStyle w:val="null3"/>
                  </w:pPr>
                  <w:r>
                    <w:rPr>
                      <w:rFonts w:ascii="宋体" w:hAnsi="宋体" w:cs="宋体" w:eastAsia="宋体"/>
                      <w:sz w:val="24"/>
                      <w:color w:val="000000"/>
                    </w:rPr>
                    <w:t>5.软件</w:t>
                  </w:r>
                </w:p>
                <w:p>
                  <w:pPr>
                    <w:pStyle w:val="null3"/>
                  </w:pPr>
                  <w:r>
                    <w:rPr>
                      <w:rFonts w:ascii="宋体" w:hAnsi="宋体" w:cs="宋体" w:eastAsia="宋体"/>
                      <w:sz w:val="24"/>
                      <w:color w:val="000000"/>
                    </w:rPr>
                    <w:t>5.1控制收集数据软件，免费更新不限制安装license</w:t>
                  </w:r>
                </w:p>
                <w:p>
                  <w:pPr>
                    <w:pStyle w:val="null3"/>
                  </w:pPr>
                  <w:r>
                    <w:rPr>
                      <w:rFonts w:ascii="宋体" w:hAnsi="宋体" w:cs="宋体" w:eastAsia="宋体"/>
                      <w:sz w:val="24"/>
                      <w:color w:val="000000"/>
                    </w:rPr>
                    <w:t>5.2数据收集过程中能同步数据还原</w:t>
                  </w:r>
                </w:p>
                <w:p>
                  <w:pPr>
                    <w:pStyle w:val="null3"/>
                  </w:pPr>
                  <w:r>
                    <w:rPr>
                      <w:rFonts w:ascii="宋体" w:hAnsi="宋体" w:cs="宋体" w:eastAsia="宋体"/>
                      <w:sz w:val="24"/>
                      <w:color w:val="000000"/>
                    </w:rPr>
                    <w:t>5.3全自动结构解析软件</w:t>
                  </w:r>
                </w:p>
                <w:p>
                  <w:pPr>
                    <w:pStyle w:val="null3"/>
                  </w:pPr>
                  <w:r>
                    <w:rPr>
                      <w:rFonts w:ascii="宋体" w:hAnsi="宋体" w:cs="宋体" w:eastAsia="宋体"/>
                      <w:sz w:val="24"/>
                      <w:color w:val="000000"/>
                    </w:rPr>
                    <w:t>5.4全自动初始模型搭建和结构精修，自动填写CIF文件</w:t>
                  </w:r>
                </w:p>
                <w:p>
                  <w:pPr>
                    <w:pStyle w:val="null3"/>
                  </w:pPr>
                  <w:r>
                    <w:rPr>
                      <w:rFonts w:ascii="宋体" w:hAnsi="宋体" w:cs="宋体" w:eastAsia="宋体"/>
                      <w:sz w:val="24"/>
                      <w:color w:val="000000"/>
                    </w:rPr>
                    <w:t>6样品低温装置，温度范围80-400K，使用液氮</w:t>
                  </w:r>
                </w:p>
                <w:p>
                  <w:pPr>
                    <w:pStyle w:val="null3"/>
                  </w:pPr>
                  <w:r>
                    <w:rPr>
                      <w:rFonts w:ascii="宋体" w:hAnsi="宋体" w:cs="宋体" w:eastAsia="宋体"/>
                      <w:sz w:val="24"/>
                      <w:color w:val="000000"/>
                    </w:rPr>
                    <w:t>7循环水冷却系统及计算机系统</w:t>
                  </w:r>
                </w:p>
                <w:p>
                  <w:pPr>
                    <w:pStyle w:val="null3"/>
                  </w:pPr>
                  <w:r>
                    <w:rPr>
                      <w:rFonts w:ascii="宋体" w:hAnsi="宋体" w:cs="宋体" w:eastAsia="宋体"/>
                      <w:sz w:val="24"/>
                      <w:color w:val="000000"/>
                    </w:rPr>
                    <w:t>7.1循环水冷系统一套（分体式循环水冷系统，具有过热保护系统</w:t>
                  </w:r>
                  <w:r>
                    <w:rPr>
                      <w:rFonts w:ascii="宋体" w:hAnsi="宋体" w:cs="宋体" w:eastAsia="宋体"/>
                      <w:sz w:val="24"/>
                      <w:color w:val="000000"/>
                    </w:rPr>
                    <w:t>/</w:t>
                  </w:r>
                  <w:r>
                    <w:rPr>
                      <w:rFonts w:ascii="宋体" w:hAnsi="宋体" w:cs="宋体" w:eastAsia="宋体"/>
                      <w:sz w:val="24"/>
                      <w:color w:val="000000"/>
                    </w:rPr>
                    <w:t>工作要求：连续工作</w:t>
                  </w:r>
                  <w:r>
                    <w:rPr>
                      <w:rFonts w:ascii="宋体" w:hAnsi="宋体" w:cs="宋体" w:eastAsia="宋体"/>
                      <w:sz w:val="24"/>
                      <w:color w:val="000000"/>
                    </w:rPr>
                    <w:t>/</w:t>
                  </w:r>
                  <w:r>
                    <w:rPr>
                      <w:rFonts w:ascii="宋体" w:hAnsi="宋体" w:cs="宋体" w:eastAsia="宋体"/>
                      <w:sz w:val="24"/>
                      <w:color w:val="000000"/>
                    </w:rPr>
                    <w:t>控温精度：优于</w:t>
                  </w:r>
                  <w:r>
                    <w:rPr>
                      <w:rFonts w:ascii="宋体" w:hAnsi="宋体" w:cs="宋体" w:eastAsia="宋体"/>
                      <w:sz w:val="24"/>
                      <w:color w:val="000000"/>
                    </w:rPr>
                    <w:t>±1°C</w:t>
                  </w:r>
                  <w:r>
                    <w:rPr>
                      <w:rFonts w:ascii="宋体" w:hAnsi="宋体" w:cs="宋体" w:eastAsia="宋体"/>
                      <w:sz w:val="24"/>
                      <w:color w:val="000000"/>
                    </w:rPr>
                    <w:t>/</w:t>
                  </w:r>
                  <w:r>
                    <w:rPr>
                      <w:rFonts w:ascii="宋体" w:hAnsi="宋体" w:cs="宋体" w:eastAsia="宋体"/>
                      <w:sz w:val="24"/>
                      <w:color w:val="000000"/>
                    </w:rPr>
                    <w:t>供水流量：满足光源工作要求）</w:t>
                  </w:r>
                </w:p>
                <w:p>
                  <w:pPr>
                    <w:pStyle w:val="null3"/>
                  </w:pPr>
                  <w:r>
                    <w:rPr>
                      <w:rFonts w:ascii="宋体" w:hAnsi="宋体" w:cs="宋体" w:eastAsia="宋体"/>
                      <w:sz w:val="24"/>
                      <w:color w:val="000000"/>
                    </w:rPr>
                    <w:t>7.2计算机系统一台</w:t>
                  </w:r>
                </w:p>
                <w:p>
                  <w:pPr>
                    <w:pStyle w:val="null3"/>
                    <w:jc w:val="both"/>
                  </w:pPr>
                  <w:r>
                    <w:rPr>
                      <w:rFonts w:ascii="宋体" w:hAnsi="宋体" w:cs="宋体" w:eastAsia="宋体"/>
                      <w:sz w:val="24"/>
                    </w:rPr>
                    <w:t>商用台式机（</w:t>
                  </w:r>
                  <w:r>
                    <w:rPr>
                      <w:rFonts w:ascii="宋体" w:hAnsi="宋体" w:cs="宋体" w:eastAsia="宋体"/>
                      <w:sz w:val="24"/>
                    </w:rPr>
                    <w:t>CPU：Intel Core i5</w:t>
                  </w:r>
                  <w:r>
                    <w:rPr>
                      <w:rFonts w:ascii="宋体" w:hAnsi="宋体" w:cs="宋体" w:eastAsia="宋体"/>
                      <w:sz w:val="24"/>
                    </w:rPr>
                    <w:t>及以上</w:t>
                  </w:r>
                  <w:r>
                    <w:rPr>
                      <w:rFonts w:ascii="宋体" w:hAnsi="宋体" w:cs="宋体" w:eastAsia="宋体"/>
                      <w:sz w:val="24"/>
                    </w:rPr>
                    <w:t>/</w:t>
                  </w:r>
                  <w:r>
                    <w:rPr>
                      <w:rFonts w:ascii="宋体" w:hAnsi="宋体" w:cs="宋体" w:eastAsia="宋体"/>
                      <w:sz w:val="24"/>
                    </w:rPr>
                    <w:t>OS：Windows 7 (64 bit) 及更新款系统</w:t>
                  </w:r>
                  <w:r>
                    <w:rPr>
                      <w:rFonts w:ascii="宋体" w:hAnsi="宋体" w:cs="宋体" w:eastAsia="宋体"/>
                      <w:sz w:val="24"/>
                    </w:rPr>
                    <w:t>/</w:t>
                  </w:r>
                  <w:r>
                    <w:rPr>
                      <w:rFonts w:ascii="宋体" w:hAnsi="宋体" w:cs="宋体" w:eastAsia="宋体"/>
                      <w:sz w:val="24"/>
                    </w:rPr>
                    <w:t>RAM：4 GB及以上</w:t>
                  </w:r>
                  <w:r>
                    <w:rPr>
                      <w:rFonts w:ascii="宋体" w:hAnsi="宋体" w:cs="宋体" w:eastAsia="宋体"/>
                      <w:sz w:val="24"/>
                    </w:rPr>
                    <w:t>/</w:t>
                  </w:r>
                  <w:r>
                    <w:rPr>
                      <w:rFonts w:ascii="宋体" w:hAnsi="宋体" w:cs="宋体" w:eastAsia="宋体"/>
                      <w:sz w:val="24"/>
                    </w:rPr>
                    <w:t>HDD：250GB及以上固态硬盘及1TB以上机械硬盘</w:t>
                  </w:r>
                  <w:r>
                    <w:rPr>
                      <w:rFonts w:ascii="宋体" w:hAnsi="宋体" w:cs="宋体" w:eastAsia="宋体"/>
                      <w:sz w:val="24"/>
                    </w:rPr>
                    <w:t>/</w:t>
                  </w:r>
                  <w:r>
                    <w:rPr>
                      <w:rFonts w:ascii="宋体" w:hAnsi="宋体" w:cs="宋体" w:eastAsia="宋体"/>
                      <w:sz w:val="24"/>
                    </w:rPr>
                    <w:t>LCD：24寸及以上显示器）</w:t>
                  </w:r>
                </w:p>
                <w:p>
                  <w:pPr>
                    <w:pStyle w:val="null3"/>
                    <w:jc w:val="both"/>
                  </w:pPr>
                  <w:r>
                    <w:rPr>
                      <w:rFonts w:ascii="宋体" w:hAnsi="宋体" w:cs="宋体" w:eastAsia="宋体"/>
                      <w:sz w:val="24"/>
                    </w:rPr>
                    <w:t>8.提供备件灯丝不少于6根</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标的名称：显微镜及成像系统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81"/>
              <w:gridCol w:w="253"/>
              <w:gridCol w:w="249"/>
              <w:gridCol w:w="269"/>
            </w:tblGrid>
            <w:tr>
              <w:tc>
                <w:tcPr>
                  <w:tcW w:type="dxa" w:w="1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放大倍数</w:t>
                  </w:r>
                  <w:r>
                    <w:rPr>
                      <w:rFonts w:ascii="宋体" w:hAnsi="宋体" w:cs="宋体" w:eastAsia="宋体"/>
                      <w:sz w:val="24"/>
                      <w:color w:val="000000"/>
                    </w:rPr>
                    <w:t>25x-500x，具备透射和反射观察，支持明场和偏光观察</w:t>
                  </w:r>
                </w:p>
                <w:p>
                  <w:pPr>
                    <w:pStyle w:val="null3"/>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采用不少于</w:t>
                  </w:r>
                  <w:r>
                    <w:rPr>
                      <w:rFonts w:ascii="宋体" w:hAnsi="宋体" w:cs="宋体" w:eastAsia="宋体"/>
                      <w:sz w:val="24"/>
                      <w:color w:val="000000"/>
                    </w:rPr>
                    <w:t>6位编码式功能转盘，并预留空位便于升级。</w:t>
                  </w:r>
                </w:p>
                <w:p>
                  <w:pPr>
                    <w:pStyle w:val="null3"/>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目镜：</w:t>
                  </w:r>
                  <w:r>
                    <w:rPr>
                      <w:rFonts w:ascii="宋体" w:hAnsi="宋体" w:cs="宋体" w:eastAsia="宋体"/>
                      <w:sz w:val="24"/>
                      <w:color w:val="000000"/>
                    </w:rPr>
                    <w:t>10x，视场数不小于23。每个目镜均可单独进行屈光度调整。</w:t>
                  </w:r>
                </w:p>
                <w:p>
                  <w:pPr>
                    <w:pStyle w:val="null3"/>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物镜：</w:t>
                  </w:r>
                  <w:r>
                    <w:rPr>
                      <w:rFonts w:ascii="宋体" w:hAnsi="宋体" w:cs="宋体" w:eastAsia="宋体"/>
                      <w:sz w:val="24"/>
                      <w:color w:val="000000"/>
                    </w:rPr>
                    <w:t>大于等于</w:t>
                  </w:r>
                  <w:r>
                    <w:rPr>
                      <w:rFonts w:ascii="宋体" w:hAnsi="宋体" w:cs="宋体" w:eastAsia="宋体"/>
                      <w:sz w:val="24"/>
                      <w:color w:val="000000"/>
                    </w:rPr>
                    <w:t>5个，5x物镜数值孔径不小于0.13，10x物镜数值孔径不小于0.25，20倍物镜数值孔径≥0.40；50倍物镜数值孔径≥0.75，2.5倍物镜数值孔径≥0.06。</w:t>
                  </w:r>
                </w:p>
                <w:p>
                  <w:pPr>
                    <w:pStyle w:val="null3"/>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照明装置：</w:t>
                  </w:r>
                  <w:r>
                    <w:rPr>
                      <w:rFonts w:ascii="宋体" w:hAnsi="宋体" w:cs="宋体" w:eastAsia="宋体"/>
                      <w:sz w:val="24"/>
                      <w:color w:val="000000"/>
                    </w:rPr>
                    <w:t>LED照明</w:t>
                  </w:r>
                  <w:r>
                    <w:rPr>
                      <w:rFonts w:ascii="宋体" w:hAnsi="宋体" w:cs="宋体" w:eastAsia="宋体"/>
                      <w:sz w:val="24"/>
                      <w:color w:val="000000"/>
                    </w:rPr>
                    <w:t>装置，功率大于等于</w:t>
                  </w:r>
                  <w:r>
                    <w:rPr>
                      <w:rFonts w:ascii="宋体" w:hAnsi="宋体" w:cs="宋体" w:eastAsia="宋体"/>
                      <w:sz w:val="24"/>
                      <w:color w:val="000000"/>
                    </w:rPr>
                    <w:t>10W。</w:t>
                  </w:r>
                </w:p>
                <w:p>
                  <w:pPr>
                    <w:pStyle w:val="null3"/>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物镜转盘：不少于</w:t>
                  </w:r>
                  <w:r>
                    <w:rPr>
                      <w:rFonts w:ascii="宋体" w:hAnsi="宋体" w:cs="宋体" w:eastAsia="宋体"/>
                      <w:sz w:val="24"/>
                      <w:color w:val="000000"/>
                    </w:rPr>
                    <w:t>6孔编码式可调对中式物镜转换器。</w:t>
                  </w:r>
                </w:p>
                <w:p>
                  <w:pPr>
                    <w:pStyle w:val="null3"/>
                  </w:pP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偏光旋转式载物台：载物台直径不小于</w:t>
                  </w:r>
                  <w:r>
                    <w:rPr>
                      <w:rFonts w:ascii="宋体" w:hAnsi="宋体" w:cs="宋体" w:eastAsia="宋体"/>
                      <w:sz w:val="24"/>
                      <w:color w:val="000000"/>
                    </w:rPr>
                    <w:t>190 mm。XY方向移动范围不小于48x24 mm。</w:t>
                  </w:r>
                </w:p>
                <w:p>
                  <w:pPr>
                    <w:pStyle w:val="null3"/>
                  </w:pPr>
                  <w:r>
                    <w:rPr>
                      <w:rFonts w:ascii="宋体" w:hAnsi="宋体" w:cs="宋体" w:eastAsia="宋体"/>
                      <w:sz w:val="24"/>
                      <w:color w:val="000000"/>
                    </w:rPr>
                    <w:t>★8</w:t>
                  </w:r>
                  <w:r>
                    <w:rPr>
                      <w:rFonts w:ascii="宋体" w:hAnsi="宋体" w:cs="宋体" w:eastAsia="宋体"/>
                      <w:sz w:val="24"/>
                      <w:color w:val="000000"/>
                    </w:rPr>
                    <w:t>.</w:t>
                  </w:r>
                  <w:r>
                    <w:rPr>
                      <w:rFonts w:ascii="宋体" w:hAnsi="宋体" w:cs="宋体" w:eastAsia="宋体"/>
                      <w:sz w:val="24"/>
                      <w:color w:val="000000"/>
                    </w:rPr>
                    <w:t>显微镜镜体支持一键拍摄或者录像功能，方便记录目镜下观察的现象。</w:t>
                  </w:r>
                </w:p>
                <w:p>
                  <w:pPr>
                    <w:pStyle w:val="null3"/>
                  </w:pPr>
                  <w:r>
                    <w:rPr>
                      <w:rFonts w:ascii="宋体" w:hAnsi="宋体" w:cs="宋体" w:eastAsia="宋体"/>
                      <w:sz w:val="24"/>
                      <w:color w:val="000000"/>
                    </w:rPr>
                    <w:t>9</w:t>
                  </w:r>
                  <w:r>
                    <w:rPr>
                      <w:rFonts w:ascii="宋体" w:hAnsi="宋体" w:cs="宋体" w:eastAsia="宋体"/>
                      <w:sz w:val="24"/>
                      <w:color w:val="000000"/>
                    </w:rPr>
                    <w:t>.</w:t>
                  </w:r>
                  <w:r>
                    <w:rPr>
                      <w:rFonts w:ascii="宋体" w:hAnsi="宋体" w:cs="宋体" w:eastAsia="宋体"/>
                      <w:sz w:val="24"/>
                      <w:color w:val="000000"/>
                    </w:rPr>
                    <w:t>显微镜</w:t>
                  </w:r>
                  <w:r>
                    <w:rPr>
                      <w:rFonts w:ascii="宋体" w:hAnsi="宋体" w:cs="宋体" w:eastAsia="宋体"/>
                      <w:sz w:val="24"/>
                      <w:color w:val="000000"/>
                    </w:rPr>
                    <w:t>配备</w:t>
                  </w:r>
                  <w:r>
                    <w:rPr>
                      <w:rFonts w:ascii="宋体" w:hAnsi="宋体" w:cs="宋体" w:eastAsia="宋体"/>
                      <w:sz w:val="24"/>
                      <w:color w:val="000000"/>
                    </w:rPr>
                    <w:t>同品牌工业级彩色高分辨率数码制冷式摄像</w:t>
                  </w:r>
                  <w:r>
                    <w:rPr>
                      <w:rFonts w:ascii="宋体" w:hAnsi="宋体" w:cs="宋体" w:eastAsia="宋体"/>
                      <w:sz w:val="24"/>
                      <w:color w:val="000000"/>
                    </w:rPr>
                    <w:t>机</w:t>
                  </w:r>
                  <w:r>
                    <w:rPr>
                      <w:rFonts w:ascii="宋体" w:hAnsi="宋体" w:cs="宋体" w:eastAsia="宋体"/>
                      <w:sz w:val="24"/>
                      <w:color w:val="000000"/>
                    </w:rPr>
                    <w:t>，有效物理实际像素（非影像像素）不低于</w:t>
                  </w:r>
                  <w:r>
                    <w:rPr>
                      <w:rFonts w:ascii="宋体" w:hAnsi="宋体" w:cs="宋体" w:eastAsia="宋体"/>
                      <w:sz w:val="24"/>
                      <w:color w:val="000000"/>
                    </w:rPr>
                    <w:t>800万像素，超清4k模式下，支持预览和录像，且帧数不少于30帧，支持无线和u盘连接，相机机身具有拍摄按钮。</w:t>
                  </w:r>
                </w:p>
                <w:p>
                  <w:pPr>
                    <w:pStyle w:val="null3"/>
                  </w:pPr>
                  <w:r>
                    <w:rPr>
                      <w:rFonts w:ascii="宋体" w:hAnsi="宋体" w:cs="宋体" w:eastAsia="宋体"/>
                      <w:sz w:val="24"/>
                      <w:color w:val="000000"/>
                    </w:rPr>
                    <w:t>10</w:t>
                  </w:r>
                  <w:r>
                    <w:rPr>
                      <w:rFonts w:ascii="宋体" w:hAnsi="宋体" w:cs="宋体" w:eastAsia="宋体"/>
                      <w:sz w:val="24"/>
                      <w:color w:val="000000"/>
                    </w:rPr>
                    <w:t>.配套软件具备实时预览并记录样品信息并进行测量、标记，文字说明等常规功能，</w:t>
                  </w:r>
                  <w:r>
                    <w:rPr>
                      <w:rFonts w:ascii="宋体" w:hAnsi="宋体" w:cs="宋体" w:eastAsia="宋体"/>
                      <w:sz w:val="24"/>
                      <w:color w:val="000000"/>
                    </w:rPr>
                    <w:t>支持景深扩展，支持半自动拼图，支持自动加载正确标尺。</w:t>
                  </w:r>
                </w:p>
                <w:p>
                  <w:pPr>
                    <w:pStyle w:val="null3"/>
                  </w:pPr>
                  <w:r>
                    <w:rPr>
                      <w:rFonts w:ascii="宋体" w:hAnsi="宋体" w:cs="宋体" w:eastAsia="宋体"/>
                      <w:sz w:val="24"/>
                      <w:color w:val="000000"/>
                    </w:rPr>
                    <w:t>11</w:t>
                  </w:r>
                  <w:r>
                    <w:rPr>
                      <w:rFonts w:ascii="宋体" w:hAnsi="宋体" w:cs="宋体" w:eastAsia="宋体"/>
                      <w:sz w:val="24"/>
                      <w:color w:val="000000"/>
                    </w:rPr>
                    <w:t>.</w:t>
                  </w:r>
                  <w:r>
                    <w:rPr>
                      <w:rFonts w:ascii="宋体" w:hAnsi="宋体" w:cs="宋体" w:eastAsia="宋体"/>
                      <w:sz w:val="24"/>
                      <w:color w:val="000000"/>
                    </w:rPr>
                    <w:t>图象处理硬件：商用台式机（酷睿</w:t>
                  </w:r>
                  <w:r>
                    <w:rPr>
                      <w:rFonts w:ascii="宋体" w:hAnsi="宋体" w:cs="宋体" w:eastAsia="宋体"/>
                      <w:sz w:val="24"/>
                      <w:color w:val="000000"/>
                    </w:rPr>
                    <w:t>I5处理器/1T硬盘/16G内存/27寸显示器）。</w:t>
                  </w:r>
                </w:p>
                <w:p>
                  <w:pPr>
                    <w:pStyle w:val="null3"/>
                  </w:pPr>
                  <w:r>
                    <w:rPr>
                      <w:rFonts w:ascii="宋体" w:hAnsi="宋体" w:cs="宋体" w:eastAsia="宋体"/>
                      <w:sz w:val="24"/>
                      <w:color w:val="000000"/>
                    </w:rPr>
                    <w:t>12</w:t>
                  </w:r>
                  <w:r>
                    <w:rPr>
                      <w:rFonts w:ascii="宋体" w:hAnsi="宋体" w:cs="宋体" w:eastAsia="宋体"/>
                      <w:sz w:val="24"/>
                      <w:color w:val="000000"/>
                    </w:rPr>
                    <w:t>.</w:t>
                  </w:r>
                  <w:r>
                    <w:rPr>
                      <w:rFonts w:ascii="宋体" w:hAnsi="宋体" w:cs="宋体" w:eastAsia="宋体"/>
                      <w:sz w:val="24"/>
                      <w:color w:val="000000"/>
                    </w:rPr>
                    <w:t>配备辅助立体显微镜，放大倍数范围</w:t>
                  </w:r>
                  <w:r>
                    <w:rPr>
                      <w:rFonts w:ascii="宋体" w:hAnsi="宋体" w:cs="宋体" w:eastAsia="宋体"/>
                      <w:sz w:val="24"/>
                      <w:color w:val="000000"/>
                    </w:rPr>
                    <w:t>8x</w:t>
                  </w:r>
                  <w:r>
                    <w:rPr>
                      <w:rFonts w:ascii="宋体" w:hAnsi="宋体" w:cs="宋体" w:eastAsia="宋体"/>
                      <w:sz w:val="24"/>
                      <w:color w:val="000000"/>
                    </w:rPr>
                    <w:t>~</w:t>
                  </w:r>
                  <w:r>
                    <w:rPr>
                      <w:rFonts w:ascii="宋体" w:hAnsi="宋体" w:cs="宋体" w:eastAsia="宋体"/>
                      <w:sz w:val="24"/>
                      <w:color w:val="000000"/>
                    </w:rPr>
                    <w:t>40x</w:t>
                  </w:r>
                </w:p>
                <w:p>
                  <w:pPr>
                    <w:pStyle w:val="null3"/>
                  </w:pPr>
                  <w:r>
                    <w:rPr>
                      <w:rFonts w:ascii="宋体" w:hAnsi="宋体" w:cs="宋体" w:eastAsia="宋体"/>
                      <w:sz w:val="24"/>
                      <w:color w:val="000000"/>
                    </w:rPr>
                    <w:t>12.1.</w:t>
                  </w:r>
                  <w:r>
                    <w:rPr>
                      <w:rFonts w:ascii="宋体" w:hAnsi="宋体" w:cs="宋体" w:eastAsia="宋体"/>
                      <w:sz w:val="24"/>
                      <w:color w:val="000000"/>
                    </w:rPr>
                    <w:t>工作距离</w:t>
                  </w:r>
                  <w:r>
                    <w:rPr>
                      <w:rFonts w:ascii="宋体" w:hAnsi="宋体" w:cs="宋体" w:eastAsia="宋体"/>
                      <w:sz w:val="24"/>
                      <w:color w:val="000000"/>
                    </w:rPr>
                    <w:t>110mm(1x)，可观察大型样品并提供足够的镜下操作空间。</w:t>
                  </w:r>
                </w:p>
                <w:p>
                  <w:pPr>
                    <w:pStyle w:val="null3"/>
                  </w:pPr>
                  <w:r>
                    <w:rPr>
                      <w:rFonts w:ascii="宋体" w:hAnsi="宋体" w:cs="宋体" w:eastAsia="宋体"/>
                      <w:sz w:val="24"/>
                      <w:color w:val="000000"/>
                    </w:rPr>
                    <w:t>12.2.</w:t>
                  </w:r>
                  <w:r>
                    <w:rPr>
                      <w:rFonts w:ascii="宋体" w:hAnsi="宋体" w:cs="宋体" w:eastAsia="宋体"/>
                      <w:sz w:val="24"/>
                      <w:color w:val="000000"/>
                    </w:rPr>
                    <w:t>底座具有透射光源和透射暗场照明方式，反射配环形</w:t>
                  </w:r>
                  <w:r>
                    <w:rPr>
                      <w:rFonts w:ascii="宋体" w:hAnsi="宋体" w:cs="宋体" w:eastAsia="宋体"/>
                      <w:sz w:val="24"/>
                      <w:color w:val="000000"/>
                    </w:rPr>
                    <w:t>LED光照明方式。</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合同生效后10个月</w:t>
      </w:r>
    </w:p>
    <w:p>
      <w:pPr>
        <w:pStyle w:val="null3"/>
      </w:pPr>
      <w:r>
        <w:rPr/>
        <w:t>采购包2：</w:t>
      </w:r>
    </w:p>
    <w:p>
      <w:pPr>
        <w:pStyle w:val="null3"/>
      </w:pPr>
      <w:r>
        <w:rPr/>
        <w:t>合同生效后10个月</w:t>
      </w:r>
    </w:p>
    <w:p>
      <w:pPr>
        <w:pStyle w:val="null3"/>
        <w:outlineLvl w:val="3"/>
      </w:pPr>
      <w:r>
        <w:rPr>
          <w:sz w:val="24"/>
          <w:b/>
        </w:rPr>
        <w:t>3.4.2交货地点</w:t>
      </w:r>
    </w:p>
    <w:p>
      <w:pPr>
        <w:pStyle w:val="null3"/>
      </w:pPr>
      <w:r>
        <w:rPr/>
        <w:t>采购包1：</w:t>
      </w:r>
    </w:p>
    <w:p>
      <w:pPr>
        <w:pStyle w:val="null3"/>
      </w:pPr>
      <w:r>
        <w:rPr/>
        <w:t>西北大学地质学系大陆动力学国家重点实验室</w:t>
      </w:r>
    </w:p>
    <w:p>
      <w:pPr>
        <w:pStyle w:val="null3"/>
      </w:pPr>
      <w:r>
        <w:rPr/>
        <w:t>采购包2：</w:t>
      </w:r>
    </w:p>
    <w:p>
      <w:pPr>
        <w:pStyle w:val="null3"/>
      </w:pPr>
      <w:r>
        <w:rPr/>
        <w:t>西北大学地质学系大陆动力学国家重点实验室</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合同生效后，由甲方通过进出口业务代理公司向乙方开出100%信用证，待货物到货、安装调试、并经学校组织验收合格后，由甲方通知进出口业务代理公司向乙方解汇。2.国产设备：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1.进口设备：合同生效后，由甲方通过进出口业务代理公司向乙方开出100%信用证，待货物到货、安装调试、并经学校组织验收合格后，由甲方通知进出口业务代理公司向乙方解汇。2.国产设备：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①进口设备验收分初次开箱验收和学校最终验收两个阶段，以最终验收为准。②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③学校根据使用单位技术验收结果，组织最终验收。 2.①国产设备验收分初次开箱验收和学校最终验收两个阶段，以最终验收为准。②货物到货后，甲、乙双方共同开箱验收。在检查货物原产地、型号、规格、配置符合合同要求后，由乙方负责安装调试、甲方负责技术验收（乙方协助），验收以国内行业标准或合同文本货物供货配置清单中描述的有关技术要求为准。③学校根据最终使用单位技术验收结果，组织最终验收。 3.整机交付时要有配置清单、使用操作及安全须知等重要资料，提供外文资料的应附有中文说明，国产产品必须同时具备出厂合格证和相关检测报告，进口产品在交付时必须同时具备中国商检证明及合法进货的全套单证。配套操作系统的必须配有正版且经采购人认可的操作系统和软件。</w:t>
      </w:r>
    </w:p>
    <w:p>
      <w:pPr>
        <w:pStyle w:val="null3"/>
      </w:pPr>
      <w:r>
        <w:rPr/>
        <w:t>采购包2：</w:t>
      </w:r>
    </w:p>
    <w:p>
      <w:pPr>
        <w:pStyle w:val="null3"/>
      </w:pPr>
      <w:r>
        <w:rPr/>
        <w:t>1.①进口设备验收分初次开箱验收和学校最终验收两个阶段，以最终验收为准。②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③学校根据使用单位技术验收结果，组织最终验收。 2.①国产设备验收分初次开箱验收和学校最终验收两个阶段，以最终验收为准。②货物到货后，甲、乙双方共同开箱验收。在检查货物原产地、型号、规格、配置符合合同要求后，由乙方负责安装调试、甲方负责技术验收（乙方协助），验收以国内行业标准或合同文本货物供货配置清单中描述的有关技术要求为准。③学校根据最终使用单位技术验收结果，组织最终验收。 3.整机交付时要有配置清单、使用操作及安全须知等重要资料，提供外文资料的应附有中文说明，国产产品必须同时具备出厂合格证和相关检测报告，进口产品在交付时必须同时具备中国商检证明及合法进货的全套单证。配套操作系统的必须配有正版且经采购人认可的操作系统和软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质保范围：整套设备及附件。 质保期：安装调试并经学校验收合格后1年。 质保服务：1.仪器到达最终用户现场后，与用户协商，在接到用户通知30天内，卖方安排有经验的工程技术人员到用户现场安装、调试，按验收指标逐项测试至到达到验收要求；仪器的安装调试需在接到用户通知后30日内完成。2.技术培训：仪器安装调试合格后，卖方工程师在买方现场对买方人员进行操作及日常维护培训，直到买方人员能独立操作，时间不少于2天。3.维修响应时间：卖方应在24小时内对用户的服务要求作出响应，如果需要上门服务，保证在5个工作日内到达用户现场。4.有完善的售后服务体系，有十年工作经验的工程师。5.提供使用手册、专用工具。</w:t>
      </w:r>
    </w:p>
    <w:p>
      <w:pPr>
        <w:pStyle w:val="null3"/>
      </w:pPr>
      <w:r>
        <w:rPr/>
        <w:t>采购包2：</w:t>
      </w:r>
    </w:p>
    <w:p>
      <w:pPr>
        <w:pStyle w:val="null3"/>
      </w:pPr>
      <w:r>
        <w:rPr/>
        <w:t>质保范围：整套设备及附件。 质保期：安装调试并经学校验收合格后1年。 质保服务：1.仪器到达最终用户现场后，与用户协商，在接到用户通知30天内，卖方安排有经验的工程技术人员到用户现场安装、调试，按验收指标逐项测试至到达到验收要求；仪器的安装调试需在接到用户通知后30日内完成。2.技术培训：仪器安装调试合格后，卖方工程师在买方现场对买方人员进行操作及日常维护培训，直到买方人员能独立操作，时间不少于2天。3.维修响应时间：卖方应在24小时内对用户的服务要求作出响应，如果需要上门服务，保证在5个工作日内到达用户现场。4.有完善的售后服务体系，有十年工作经验的工程师。5.提供使用手册、专用工具。</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jc w:val="left"/>
        <w:outlineLvl w:val="2"/>
      </w:pPr>
      <w:r>
        <w:rPr>
          <w:sz w:val="28"/>
          <w:b/>
        </w:rPr>
        <w:t>3.5其他要求</w:t>
      </w:r>
    </w:p>
    <w:p>
      <w:pPr>
        <w:pStyle w:val="null3"/>
      </w:pPr>
      <w:r>
        <w:rPr/>
        <w:t>一、投标要求： 1.本项目通过电子化交易系统投标，投标人除需在电子化交易系统上传投标文件外，另外还需在投标截止时间前，向代理机构递交密封完好的系统生成的纸质版投标文件（贰份，胶装），密封封套上标注项目名称、包号和投标人名称。有关报价文件，投标人可以不提供。 2.开标当日，投标人应在开标大厅等候并保持通讯畅通，以便出现询标时能及时在线。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四、中小企业： 是否属于中小企业，供应商按《统计上大中小微型企业划分办法（2017）》（国统字﹝2017﹞213号）工业划型标准判定，并承担责任。如判定原则与第五章及附件格式不一致的，以此为准。 五、采购人应在中标通知书发出之日起二十五日内与中标人签订采购合同。 六、付款条件说明：①进口设备：合同生效后，由甲方通过进出口业务代理公司向乙方开出100%信用证，待货物到货、安装调试、并经学校组织验收合格后，由甲方通知进出口业务代理公司向乙方解汇。②国产设备：合同生效后，中标供应商开具合同金额等额银行保函，采购人收到银行保函正本后预付合同货款，待货物到达指定地点、安装调试验收合格后，采购人退还银行保函正本。付款方式第三章支付约定不一致，以此处为准 七、本文件中供应商也称投标人，采购文件也称招标文件。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提供2023年度经第三方会计事务所审计过的财务报告，或投标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4</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6</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7</w:t>
            </w:r>
          </w:p>
        </w:tc>
        <w:tc>
          <w:tcPr>
            <w:tcW w:type="dxa" w:w="2492"/>
          </w:tcPr>
          <w:p>
            <w:pPr>
              <w:pStyle w:val="null3"/>
            </w:pPr>
            <w:r>
              <w:rPr/>
              <w:t>产品授权</w:t>
            </w:r>
          </w:p>
        </w:tc>
        <w:tc>
          <w:tcPr>
            <w:tcW w:type="dxa" w:w="3322"/>
          </w:tcPr>
          <w:p>
            <w:pPr>
              <w:pStyle w:val="null3"/>
            </w:pPr>
            <w:r>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提供2023年度经第三方会计事务所审计过的财务报告，或投标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4</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6</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7</w:t>
            </w:r>
          </w:p>
        </w:tc>
        <w:tc>
          <w:tcPr>
            <w:tcW w:type="dxa" w:w="2492"/>
          </w:tcPr>
          <w:p>
            <w:pPr>
              <w:pStyle w:val="null3"/>
            </w:pPr>
            <w:r>
              <w:rPr/>
              <w:t>产品授权</w:t>
            </w:r>
          </w:p>
        </w:tc>
        <w:tc>
          <w:tcPr>
            <w:tcW w:type="dxa" w:w="3322"/>
          </w:tcPr>
          <w:p>
            <w:pPr>
              <w:pStyle w:val="null3"/>
            </w:pPr>
            <w:r>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供应商应按格式/模板填写供应商名称，至少以下文件应与营业执照、公章一致。1.投标文件封面。2.投标函。</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1.报价未超过采购预算，且报价唯一。 2.报价货币符合招标文件要求。</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不少于投标有效期（90日历天）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合同生效后10个月</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西北大学地质学系大陆动力学国家重点实验室</w:t>
            </w:r>
          </w:p>
        </w:tc>
        <w:tc>
          <w:tcPr>
            <w:tcW w:type="dxa" w:w="1661"/>
          </w:tcPr>
          <w:p>
            <w:pPr>
              <w:pStyle w:val="null3"/>
            </w:pPr>
            <w:r>
              <w:rPr/>
              <w:t>开标一览表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安装调试并经学校验收合格后1年</w:t>
            </w:r>
          </w:p>
        </w:tc>
        <w:tc>
          <w:tcPr>
            <w:tcW w:type="dxa" w:w="1661"/>
          </w:tcPr>
          <w:p>
            <w:pPr>
              <w:pStyle w:val="null3"/>
            </w:pPr>
            <w:r>
              <w:rPr/>
              <w:t>质保期</w:t>
            </w:r>
          </w:p>
        </w:tc>
      </w:tr>
      <w:tr>
        <w:tc>
          <w:tcPr>
            <w:tcW w:type="dxa" w:w="831"/>
          </w:tcPr>
          <w:p>
            <w:pPr>
              <w:pStyle w:val="null3"/>
            </w:pPr>
            <w:r>
              <w:rPr/>
              <w:t>8</w:t>
            </w:r>
          </w:p>
        </w:tc>
        <w:tc>
          <w:tcPr>
            <w:tcW w:type="dxa" w:w="2492"/>
          </w:tcPr>
          <w:p>
            <w:pPr>
              <w:pStyle w:val="null3"/>
            </w:pPr>
            <w:r>
              <w:rPr/>
              <w:t>主要商务条款</w:t>
            </w:r>
          </w:p>
        </w:tc>
        <w:tc>
          <w:tcPr>
            <w:tcW w:type="dxa" w:w="3322"/>
          </w:tcPr>
          <w:p>
            <w:pPr>
              <w:pStyle w:val="null3"/>
            </w:pPr>
            <w:r>
              <w:rPr/>
              <w:t>1.进口设备：合同生效后，由甲方通过进出口业务代理公司向乙方开出100%信用证，待货物到货、安装调试、并经学校组织验收合格后，由甲方通知进出口业务代理公司向乙方解汇。 2.国产设备：合同生效后，中标供应商开具合同金额等额银行保函，采购人收到银行保函正本后预付合同货款，待货物到达指定地点、安装调试验收合格后，采购人退还银行保函正本。</w:t>
            </w:r>
          </w:p>
        </w:tc>
        <w:tc>
          <w:tcPr>
            <w:tcW w:type="dxa" w:w="1661"/>
          </w:tcPr>
          <w:p>
            <w:pPr>
              <w:pStyle w:val="null3"/>
            </w:pPr>
            <w:r>
              <w:rPr/>
              <w:t>主要商务条款响应偏离表</w:t>
            </w:r>
          </w:p>
        </w:tc>
      </w:tr>
      <w:tr>
        <w:tc>
          <w:tcPr>
            <w:tcW w:type="dxa" w:w="831"/>
          </w:tcPr>
          <w:p>
            <w:pPr>
              <w:pStyle w:val="null3"/>
            </w:pPr>
            <w:r>
              <w:rPr/>
              <w:t>9</w:t>
            </w:r>
          </w:p>
        </w:tc>
        <w:tc>
          <w:tcPr>
            <w:tcW w:type="dxa" w:w="2492"/>
          </w:tcPr>
          <w:p>
            <w:pPr>
              <w:pStyle w:val="null3"/>
            </w:pPr>
            <w:r>
              <w:rPr/>
              <w:t>投标内容</w:t>
            </w:r>
          </w:p>
        </w:tc>
        <w:tc>
          <w:tcPr>
            <w:tcW w:type="dxa" w:w="3322"/>
          </w:tcPr>
          <w:p>
            <w:pPr>
              <w:pStyle w:val="null3"/>
            </w:pPr>
            <w:r>
              <w:rPr/>
              <w:t>1.投标产品品目、数量符合采购文件的要求。 2.对采购需求中★项响应无负偏离。</w:t>
            </w:r>
          </w:p>
        </w:tc>
        <w:tc>
          <w:tcPr>
            <w:tcW w:type="dxa" w:w="1661"/>
          </w:tcPr>
          <w:p>
            <w:pPr>
              <w:pStyle w:val="null3"/>
            </w:pPr>
            <w:r>
              <w:rPr/>
              <w:t>分项报价表 标的清单 投标产品技术指标偏离表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供应商应按格式/模板填写供应商名称，至少以下文件应与营业执照、公章一致。1.投标文件封面。2.投标函。</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1.报价未超过采购预算，且报价唯一。 2.报价货币符合招标文件要求。</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不少于投标有效期（90日历天）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合同生效后10个月</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西北大学地质学系大陆动力学国家重点实验室</w:t>
            </w:r>
          </w:p>
        </w:tc>
        <w:tc>
          <w:tcPr>
            <w:tcW w:type="dxa" w:w="1661"/>
          </w:tcPr>
          <w:p>
            <w:pPr>
              <w:pStyle w:val="null3"/>
            </w:pPr>
            <w:r>
              <w:rPr/>
              <w:t>开标一览表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安装调试并经学校验收合格后1年</w:t>
            </w:r>
          </w:p>
        </w:tc>
        <w:tc>
          <w:tcPr>
            <w:tcW w:type="dxa" w:w="1661"/>
          </w:tcPr>
          <w:p>
            <w:pPr>
              <w:pStyle w:val="null3"/>
            </w:pPr>
            <w:r>
              <w:rPr/>
              <w:t>质保期</w:t>
            </w:r>
          </w:p>
        </w:tc>
      </w:tr>
      <w:tr>
        <w:tc>
          <w:tcPr>
            <w:tcW w:type="dxa" w:w="831"/>
          </w:tcPr>
          <w:p>
            <w:pPr>
              <w:pStyle w:val="null3"/>
            </w:pPr>
            <w:r>
              <w:rPr/>
              <w:t>8</w:t>
            </w:r>
          </w:p>
        </w:tc>
        <w:tc>
          <w:tcPr>
            <w:tcW w:type="dxa" w:w="2492"/>
          </w:tcPr>
          <w:p>
            <w:pPr>
              <w:pStyle w:val="null3"/>
            </w:pPr>
            <w:r>
              <w:rPr/>
              <w:t>主要商务条款</w:t>
            </w:r>
          </w:p>
        </w:tc>
        <w:tc>
          <w:tcPr>
            <w:tcW w:type="dxa" w:w="3322"/>
          </w:tcPr>
          <w:p>
            <w:pPr>
              <w:pStyle w:val="null3"/>
            </w:pPr>
            <w:r>
              <w:rPr/>
              <w:t>1.进口设备：合同生效后，由甲方通过进出口业务代理公司向乙方开出100%信用证，待货物到货、安装调试、并经学校组织验收合格后，由甲方通知进出口业务代理公司向乙方解汇。 2.国产设备：合同生效后，中标供应商开具合同金额等额银行保函，采购人收到银行保函正本后预付合同货款，待货物到达指定地点、安装调试验收合格后，采购人退还银行保函正本。</w:t>
            </w:r>
          </w:p>
        </w:tc>
        <w:tc>
          <w:tcPr>
            <w:tcW w:type="dxa" w:w="1661"/>
          </w:tcPr>
          <w:p>
            <w:pPr>
              <w:pStyle w:val="null3"/>
            </w:pPr>
            <w:r>
              <w:rPr/>
              <w:t>主要商务条款响应偏离表</w:t>
            </w:r>
          </w:p>
        </w:tc>
      </w:tr>
      <w:tr>
        <w:tc>
          <w:tcPr>
            <w:tcW w:type="dxa" w:w="831"/>
          </w:tcPr>
          <w:p>
            <w:pPr>
              <w:pStyle w:val="null3"/>
            </w:pPr>
            <w:r>
              <w:rPr/>
              <w:t>9</w:t>
            </w:r>
          </w:p>
        </w:tc>
        <w:tc>
          <w:tcPr>
            <w:tcW w:type="dxa" w:w="2492"/>
          </w:tcPr>
          <w:p>
            <w:pPr>
              <w:pStyle w:val="null3"/>
            </w:pPr>
            <w:r>
              <w:rPr/>
              <w:t>投标内容</w:t>
            </w:r>
          </w:p>
        </w:tc>
        <w:tc>
          <w:tcPr>
            <w:tcW w:type="dxa" w:w="3322"/>
          </w:tcPr>
          <w:p>
            <w:pPr>
              <w:pStyle w:val="null3"/>
            </w:pPr>
            <w:r>
              <w:rPr/>
              <w:t>1.投标产品品目、数量符合采购文件的要求。 2.对采购需求中★项响应无负偏离。</w:t>
            </w:r>
          </w:p>
        </w:tc>
        <w:tc>
          <w:tcPr>
            <w:tcW w:type="dxa" w:w="1661"/>
          </w:tcPr>
          <w:p>
            <w:pPr>
              <w:pStyle w:val="null3"/>
            </w:pPr>
            <w:r>
              <w:rPr/>
              <w:t>分项报价表 标的清单 投标产品技术指标偏离表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基本分：所投产品的技术参数完全符合招标文件要求没有负偏离的计29分。 1.技术参数中标“★”(共3项）项为为实质性要求，有一项不满足的废标； 2.技术参数中标“▲”项（共4项）满分8分，每负偏离一项扣2分，扣完为止； 3.技术参数中非“▲、★”项（共14项）满分21分，每负偏离一项扣1.5分，扣完为止。 加分项：技术参数中标“★”、“▲”项参数性能优于招标文件要求，具有实际使用价值的提升，经评标委员会一致认定每项可加分，满分15分。 1.标“★”项参数技术指标和性能优于招标文件要求的，每项加3分，满分9分； 2.标“▲”项参数技术指标和性能优于招标文件要求的，每项加1.5分，满分6分。 备注： ①所有“★”“▲”项须提供佐证材料（佐证材料不限于样本、技术手册、公开发行的产品宣传资料、带有CMA标志的检测报告、制造商出具的完整的产品说明书或产品技术白皮书、制造商官网功能截图等）。提供外文资料的，需同时提供中文译文，且以中文译文为准，提供不实中文译文（含供应商疏忽的翻译错误）的视为提供虚假资料。 ②其他技术参数以《投标产品技术指标偏离表》为准。供应商应如实填写投标产品的参数，如简单拷贝采购需求，评委会可以根据响应情况扣分，扣分标准见前款。 ③括号内的技术参数中有一条不满足视为该序号项不满。</w:t>
            </w:r>
          </w:p>
        </w:tc>
        <w:tc>
          <w:tcPr>
            <w:tcW w:type="dxa" w:w="831"/>
          </w:tcPr>
          <w:p>
            <w:pPr>
              <w:pStyle w:val="null3"/>
              <w:jc w:val="right"/>
            </w:pPr>
            <w:r>
              <w:rPr/>
              <w:t>44.0000</w:t>
            </w:r>
          </w:p>
        </w:tc>
        <w:tc>
          <w:tcPr>
            <w:tcW w:type="dxa" w:w="831"/>
          </w:tcPr>
          <w:p>
            <w:pPr>
              <w:pStyle w:val="null3"/>
            </w:pPr>
            <w:r>
              <w:rPr/>
              <w:t>客观</w:t>
            </w:r>
          </w:p>
        </w:tc>
        <w:tc>
          <w:tcPr>
            <w:tcW w:type="dxa" w:w="1661"/>
          </w:tcPr>
          <w:p>
            <w:pPr>
              <w:pStyle w:val="null3"/>
            </w:pPr>
            <w:r>
              <w:rPr/>
              <w:t>投标产品技术参数明细表</w:t>
            </w:r>
          </w:p>
          <w:p>
            <w:pPr>
              <w:pStyle w:val="null3"/>
            </w:pPr>
            <w:r>
              <w:rPr/>
              <w:t>投标产品技术指标偏离表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 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质保期</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投标人针对本项目提供完整的项目实施方案。内容包含但不限于：①供货组织安排、物力调配及保障措施②安装调试验收。 二、评审标准 1.完整性：方案需全面，对评审内容中的各项要求描述 详细。 2.可实施性：切合本项目实际情况，实施步骤清晰、合 理。 3.针对性：方案能够紧扣项目实际情况，内容科学合理。 三、赋分依据（满分3分） ①供货组织安排、物力调配及保障措施：每完全满足一个评审标准得0.5分，满分1.5分；未提供不得分。 ②安装调试验收方案及安排:每完全满足一个评审标准得0.5 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①培训计划：每完全满足一个评审标准得0.5分，满分1.5分；未提供不得分； ②培训内容：每完全满足一个评审标准得0.5分，满分1.5分；未提供不得分。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投标人每提供一份2021年11月1日至今同类项目业绩计1分，最高得6分。注：①业绩以合同为准，时间以合同签订时间为准。②需提供完整合同扫描件。</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业绩情况表</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①服务范围及保障措施：每完全满足一个评审标准得0.5分，满分1.5分；未提供不得分；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节能环保</w:t>
            </w:r>
          </w:p>
        </w:tc>
        <w:tc>
          <w:tcPr>
            <w:tcW w:type="dxa" w:w="2492"/>
          </w:tcPr>
          <w:p>
            <w:pPr>
              <w:pStyle w:val="null3"/>
            </w:pPr>
            <w:r>
              <w:rPr/>
              <w:t>投标人提供的产品（含配置设备）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节能、环境标志产品明细表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价格分统一采用最低价优先法计算，即满足招标文件要求 且投标价格最低的投标报价为评标基准价，其价格分为满分。其他投标人的价格分统一按照下列公式计算：投标报价得分=(评标基准价／投标报价)×35。计算分数时四舍五入取小数点后两位。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基本分：所投产品的技术参数完全符合招标文件要求没有负偏离的计33分。 1.技术参数中标“★”项（共3项）为实质性要求，有一项不满足废标； 2.技术参数中非“★”项（共11项）满分33分，每一序号项负偏离一项扣3分，扣完为止。每一序号项中有一条不满足视为该序号项不满足。 加分项：技术参数性能优于招标文件要求，具有实际使用价值的提升，经评标委员会一致认定可加分，满分12分。 ①“★”项参数优于的一项加3分，最高9分； ②非“★”项参数优于的一项加0.5分，最高3分。 备注： ①所有“★”项须提供佐证材料（佐证材料不限于样本、技术手册、公开发行的产品宣传资料、带有CMA标志的检测报告、制造商出具的完整的说明书或产品技术白皮书、制造商官网功能截图等）。提供外文资料的，需同时提供中文译文，且以中文译文为准，提供不实中文译文（含供应商疏忽的翻译错误）的视为提供虚假资料。 ②其他技术参数以《投标产品技术指标偏离表》为准，优于项须提供佐证材料（材料类型同前款，无材料的不予认同）。供应商应如实填写投标产品的参数，如简单拷贝采购需求，评委会可以根据响应情况扣分，扣分标准见前款。</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投标产品技术参数明细表</w:t>
            </w:r>
          </w:p>
          <w:p>
            <w:pPr>
              <w:pStyle w:val="null3"/>
            </w:pPr>
            <w:r>
              <w:rPr/>
              <w:t>投标产品技术指标偏离表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 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质保期</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投标人针对本项目提供完整的项目实施方案。内容包含但不限于：①供货组织安排、物力调配及保障措施②安装调试验收。 二、评审标准 1.完整性：方案需全面，对评审内容中的各项要求描述 详细。 2.可实施性：切合本项目实际情况，实施步骤清晰、合 理。 3.针对性：方案能够紧扣项目实际情况，内容科学合理。 三、赋分依据（满分3分） ①供货组织安排、物力调配及保障措施：每完全满足一个评审标准得0.5分，满分1.5分；未提供不得分。 ②安装调试验收方案及安排:每完全满足一个评审标准得0.5 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 详细。 2.可实施性：切合本项目实际情况，实施步骤清晰、合理； 3.针对性：方案能够紧扣项目实际情况，内容科学合理。 三、赋分依据（满分3分） ①培训计划：每完全满足一个评审标准得0.5分，满分1.5分；未提供不得分； ②培训内容：每完全满足一个评审标准得0.5分，满分1.5分；未提供不得分。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投标人每提供一份2021年11月1日至今同类项目业绩计1分，最高得5分。注：①业绩以合同为准，时间以合同签订时间为准。②需提供完整合同扫描件。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业绩情况表</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①服务范围及保障措施：每完全满足一个评审标准得0.5分，满分1.5分；未提供不得分；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节能环保</w:t>
            </w:r>
          </w:p>
        </w:tc>
        <w:tc>
          <w:tcPr>
            <w:tcW w:type="dxa" w:w="2492"/>
          </w:tcPr>
          <w:p>
            <w:pPr>
              <w:pStyle w:val="null3"/>
            </w:pPr>
            <w:r>
              <w:rPr/>
              <w:t>投标人提供的产品（含配置）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节能、环境标志产品明细表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价格分统一采用最低价优先法计算，即满足招标文件要求 且投标价格最低的投标报价为评标基准价，其价格分为满分。其他投标人的价格分统一按照下列公式计算：投标报价得分=(评标基准价／投标报价)×35。计算分数时四舍五入取小数点后两位。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详见附件：分项报价表</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详见附件：业绩情况表</w:t>
      </w:r>
    </w:p>
    <w:p>
      <w:pPr>
        <w:pStyle w:val="null3"/>
        <w:ind w:firstLine="960"/>
      </w:pPr>
      <w:r>
        <w:rPr/>
        <w:t>详见附件：质保期</w:t>
      </w:r>
    </w:p>
    <w:p>
      <w:pPr>
        <w:pStyle w:val="null3"/>
        <w:ind w:firstLine="960"/>
      </w:pPr>
      <w:r>
        <w:rPr/>
        <w:t>详见附件：质量保证</w:t>
      </w:r>
    </w:p>
    <w:p>
      <w:pPr>
        <w:pStyle w:val="null3"/>
        <w:ind w:firstLine="960"/>
      </w:pPr>
      <w:r>
        <w:rPr/>
        <w:t>详见附件：主要商务条款响应偏离表</w:t>
      </w:r>
    </w:p>
    <w:p>
      <w:pPr>
        <w:pStyle w:val="null3"/>
        <w:ind w:firstLine="960"/>
      </w:pPr>
      <w:r>
        <w:rPr/>
        <w:t>详见附件：节能、环境标志产品明细表</w:t>
      </w:r>
    </w:p>
    <w:p>
      <w:pPr>
        <w:pStyle w:val="null3"/>
        <w:ind w:firstLine="960"/>
      </w:pPr>
      <w:r>
        <w:rPr/>
        <w:t>详见附件：投标产品技术参数明细表</w:t>
      </w:r>
    </w:p>
    <w:p>
      <w:pPr>
        <w:pStyle w:val="null3"/>
        <w:ind w:firstLine="960"/>
      </w:pPr>
      <w:r>
        <w:rPr/>
        <w:t>详见附件：投标产品技术指标偏离表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详见附件：分项报价表</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详见附件：业绩情况表</w:t>
      </w:r>
    </w:p>
    <w:p>
      <w:pPr>
        <w:pStyle w:val="null3"/>
        <w:ind w:firstLine="960"/>
      </w:pPr>
      <w:r>
        <w:rPr/>
        <w:t>详见附件：质保期</w:t>
      </w:r>
    </w:p>
    <w:p>
      <w:pPr>
        <w:pStyle w:val="null3"/>
        <w:ind w:firstLine="960"/>
      </w:pPr>
      <w:r>
        <w:rPr/>
        <w:t>详见附件：质量保证</w:t>
      </w:r>
    </w:p>
    <w:p>
      <w:pPr>
        <w:pStyle w:val="null3"/>
        <w:ind w:firstLine="960"/>
      </w:pPr>
      <w:r>
        <w:rPr/>
        <w:t>详见附件：主要商务条款响应偏离表</w:t>
      </w:r>
    </w:p>
    <w:p>
      <w:pPr>
        <w:pStyle w:val="null3"/>
        <w:ind w:firstLine="960"/>
      </w:pPr>
      <w:r>
        <w:rPr/>
        <w:t>详见附件：节能、环境标志产品明细表</w:t>
      </w:r>
    </w:p>
    <w:p>
      <w:pPr>
        <w:pStyle w:val="null3"/>
        <w:ind w:firstLine="960"/>
      </w:pPr>
      <w:r>
        <w:rPr/>
        <w:t>详见附件：投标产品技术参数明细表</w:t>
      </w:r>
    </w:p>
    <w:p>
      <w:pPr>
        <w:pStyle w:val="null3"/>
        <w:ind w:firstLine="960"/>
      </w:pPr>
      <w:r>
        <w:rPr/>
        <w:t>详见附件：投标产品技术指标偏离表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详见附件：合同模版（进口＆国产）.docx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