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BE5239">
      <w:pPr>
        <w:pStyle w:val="2"/>
        <w:numPr>
          <w:ilvl w:val="0"/>
          <w:numId w:val="0"/>
        </w:numPr>
        <w:bidi w:val="0"/>
        <w:jc w:val="center"/>
        <w:rPr>
          <w:rFonts w:hint="eastAsia"/>
          <w:highlight w:val="none"/>
          <w:lang w:val="en-US" w:eastAsia="zh-CN"/>
        </w:rPr>
      </w:pPr>
      <w:bookmarkStart w:id="1" w:name="_GoBack"/>
      <w:bookmarkStart w:id="0" w:name="_Toc12684"/>
      <w:r>
        <w:rPr>
          <w:rFonts w:hint="eastAsia"/>
          <w:highlight w:val="none"/>
          <w:lang w:val="en-US" w:eastAsia="zh-CN"/>
        </w:rPr>
        <w:t>拟签订的合同参考文本</w:t>
      </w:r>
      <w:bookmarkEnd w:id="0"/>
    </w:p>
    <w:bookmarkEnd w:id="1"/>
    <w:p w14:paraId="70FA382F">
      <w:pPr>
        <w:adjustRightInd w:val="0"/>
        <w:snapToGrid w:val="0"/>
        <w:spacing w:line="360" w:lineRule="auto"/>
        <w:ind w:firstLine="482" w:firstLineChars="200"/>
        <w:jc w:val="right"/>
        <w:rPr>
          <w:rFonts w:hint="default" w:ascii="黑体" w:hAnsi="黑体" w:eastAsia="黑体" w:cs="黑体"/>
          <w:sz w:val="24"/>
          <w:szCs w:val="24"/>
          <w:highlight w:val="none"/>
          <w:lang w:val="en-US" w:eastAsia="zh-CN"/>
        </w:rPr>
      </w:pPr>
      <w:r>
        <w:rPr>
          <w:rFonts w:hint="eastAsia" w:ascii="黑体" w:hAnsi="宋体" w:eastAsia="黑体"/>
          <w:b/>
          <w:sz w:val="24"/>
          <w:highlight w:val="none"/>
          <w:lang w:val="en-US" w:eastAsia="zh-CN"/>
        </w:rPr>
        <w:t>合</w:t>
      </w:r>
      <w:r>
        <w:rPr>
          <w:rFonts w:hint="eastAsia" w:ascii="黑体" w:hAnsi="宋体" w:eastAsia="黑体"/>
          <w:b/>
          <w:sz w:val="24"/>
          <w:highlight w:val="none"/>
        </w:rPr>
        <w:t>同编号：</w:t>
      </w:r>
    </w:p>
    <w:p w14:paraId="086FDD26">
      <w:pPr>
        <w:adjustRightInd w:val="0"/>
        <w:snapToGrid w:val="0"/>
        <w:spacing w:line="360" w:lineRule="auto"/>
        <w:ind w:firstLine="482" w:firstLineChars="200"/>
        <w:jc w:val="right"/>
        <w:rPr>
          <w:rFonts w:hint="default" w:ascii="黑体" w:hAnsi="宋体" w:eastAsia="黑体"/>
          <w:b/>
          <w:sz w:val="24"/>
          <w:highlight w:val="none"/>
          <w:lang w:val="en-US" w:eastAsia="zh-CN"/>
        </w:rPr>
      </w:pPr>
    </w:p>
    <w:p w14:paraId="5706C32A">
      <w:pPr>
        <w:adjustRightInd w:val="0"/>
        <w:snapToGrid w:val="0"/>
        <w:spacing w:line="360" w:lineRule="auto"/>
        <w:ind w:firstLine="482" w:firstLineChars="200"/>
        <w:rPr>
          <w:rFonts w:hint="eastAsia" w:ascii="黑体" w:hAnsi="宋体" w:eastAsia="黑体"/>
          <w:b/>
          <w:sz w:val="24"/>
          <w:highlight w:val="none"/>
        </w:rPr>
      </w:pPr>
    </w:p>
    <w:p w14:paraId="17645005">
      <w:pPr>
        <w:adjustRightInd w:val="0"/>
        <w:snapToGrid w:val="0"/>
        <w:spacing w:line="360" w:lineRule="auto"/>
        <w:jc w:val="center"/>
        <w:rPr>
          <w:rFonts w:hint="eastAsia" w:ascii="黑体" w:hAnsi="宋体" w:eastAsia="黑体"/>
          <w:b/>
          <w:sz w:val="48"/>
          <w:szCs w:val="48"/>
          <w:highlight w:val="none"/>
        </w:rPr>
      </w:pPr>
      <w:r>
        <w:rPr>
          <w:rFonts w:hint="eastAsia" w:ascii="黑体" w:hAnsi="宋体" w:eastAsia="黑体"/>
          <w:b/>
          <w:sz w:val="48"/>
          <w:szCs w:val="48"/>
          <w:highlight w:val="none"/>
        </w:rPr>
        <w:t>陕西中医药大学附属医院</w:t>
      </w:r>
    </w:p>
    <w:p w14:paraId="06A79530">
      <w:pPr>
        <w:adjustRightInd w:val="0"/>
        <w:snapToGrid w:val="0"/>
        <w:spacing w:line="360" w:lineRule="auto"/>
        <w:jc w:val="center"/>
        <w:rPr>
          <w:rFonts w:hint="eastAsia" w:ascii="黑体" w:hAnsi="宋体" w:eastAsia="黑体"/>
          <w:b/>
          <w:sz w:val="48"/>
          <w:szCs w:val="48"/>
          <w:highlight w:val="none"/>
        </w:rPr>
      </w:pPr>
      <w:r>
        <w:rPr>
          <w:rFonts w:hint="eastAsia" w:ascii="黑体" w:hAnsi="宋体" w:eastAsia="黑体"/>
          <w:b/>
          <w:sz w:val="48"/>
          <w:szCs w:val="48"/>
          <w:highlight w:val="none"/>
        </w:rPr>
        <w:t>医务管理系统采购项目</w:t>
      </w:r>
    </w:p>
    <w:p w14:paraId="258162E3">
      <w:pPr>
        <w:adjustRightInd w:val="0"/>
        <w:snapToGrid w:val="0"/>
        <w:spacing w:line="360" w:lineRule="auto"/>
        <w:jc w:val="center"/>
        <w:rPr>
          <w:rFonts w:hint="eastAsia" w:ascii="黑体" w:eastAsia="黑体"/>
          <w:b/>
          <w:sz w:val="72"/>
          <w:szCs w:val="72"/>
          <w:highlight w:val="none"/>
        </w:rPr>
      </w:pPr>
    </w:p>
    <w:p w14:paraId="1D9365A5">
      <w:pPr>
        <w:adjustRightInd w:val="0"/>
        <w:snapToGrid w:val="0"/>
        <w:spacing w:line="360" w:lineRule="auto"/>
        <w:jc w:val="center"/>
        <w:rPr>
          <w:rFonts w:hint="eastAsia" w:ascii="黑体" w:eastAsia="黑体"/>
          <w:b/>
          <w:sz w:val="72"/>
          <w:szCs w:val="72"/>
          <w:highlight w:val="none"/>
        </w:rPr>
      </w:pPr>
      <w:r>
        <w:rPr>
          <w:rFonts w:hint="eastAsia" w:ascii="黑体" w:eastAsia="黑体"/>
          <w:b/>
          <w:sz w:val="72"/>
          <w:szCs w:val="72"/>
          <w:highlight w:val="none"/>
          <w:lang w:eastAsia="zh-CN"/>
        </w:rPr>
        <w:t>采</w:t>
      </w:r>
      <w:r>
        <w:rPr>
          <w:rFonts w:hint="eastAsia" w:ascii="黑体" w:eastAsia="黑体"/>
          <w:b/>
          <w:sz w:val="72"/>
          <w:szCs w:val="72"/>
          <w:highlight w:val="none"/>
          <w:lang w:val="en-US" w:eastAsia="zh-CN"/>
        </w:rPr>
        <w:t xml:space="preserve"> </w:t>
      </w:r>
      <w:r>
        <w:rPr>
          <w:rFonts w:hint="eastAsia" w:ascii="黑体" w:eastAsia="黑体"/>
          <w:b/>
          <w:sz w:val="72"/>
          <w:szCs w:val="72"/>
          <w:highlight w:val="none"/>
          <w:lang w:eastAsia="zh-CN"/>
        </w:rPr>
        <w:t>购</w:t>
      </w:r>
      <w:r>
        <w:rPr>
          <w:rFonts w:hint="eastAsia" w:ascii="黑体" w:eastAsia="黑体"/>
          <w:b/>
          <w:sz w:val="72"/>
          <w:szCs w:val="72"/>
          <w:highlight w:val="none"/>
        </w:rPr>
        <w:t xml:space="preserve"> 合 同</w:t>
      </w:r>
    </w:p>
    <w:p w14:paraId="6F819D10">
      <w:pPr>
        <w:adjustRightInd w:val="0"/>
        <w:snapToGrid w:val="0"/>
        <w:spacing w:line="360" w:lineRule="auto"/>
        <w:ind w:firstLine="600" w:firstLineChars="200"/>
        <w:jc w:val="center"/>
        <w:rPr>
          <w:rFonts w:hint="eastAsia" w:ascii="黑体" w:eastAsia="黑体"/>
          <w:sz w:val="30"/>
          <w:szCs w:val="30"/>
          <w:highlight w:val="none"/>
        </w:rPr>
      </w:pPr>
    </w:p>
    <w:p w14:paraId="16470728">
      <w:pPr>
        <w:adjustRightInd w:val="0"/>
        <w:snapToGrid w:val="0"/>
        <w:spacing w:line="360" w:lineRule="auto"/>
        <w:ind w:firstLine="600" w:firstLineChars="200"/>
        <w:jc w:val="center"/>
        <w:rPr>
          <w:rFonts w:hint="eastAsia" w:ascii="黑体" w:eastAsia="黑体"/>
          <w:sz w:val="30"/>
          <w:szCs w:val="30"/>
          <w:highlight w:val="none"/>
        </w:rPr>
      </w:pPr>
    </w:p>
    <w:p w14:paraId="22CF08D8">
      <w:pPr>
        <w:adjustRightInd w:val="0"/>
        <w:snapToGrid w:val="0"/>
        <w:spacing w:line="360" w:lineRule="auto"/>
        <w:ind w:firstLine="600" w:firstLineChars="200"/>
        <w:jc w:val="center"/>
        <w:rPr>
          <w:rFonts w:hint="eastAsia" w:ascii="黑体" w:eastAsia="黑体"/>
          <w:sz w:val="30"/>
          <w:szCs w:val="30"/>
          <w:highlight w:val="none"/>
        </w:rPr>
      </w:pPr>
    </w:p>
    <w:p w14:paraId="1CC74516">
      <w:pPr>
        <w:adjustRightInd w:val="0"/>
        <w:snapToGrid w:val="0"/>
        <w:spacing w:line="360" w:lineRule="auto"/>
        <w:ind w:firstLine="640" w:firstLineChars="200"/>
        <w:rPr>
          <w:rFonts w:hint="eastAsia" w:ascii="黑体" w:eastAsia="黑体"/>
          <w:sz w:val="32"/>
          <w:szCs w:val="32"/>
          <w:highlight w:val="none"/>
        </w:rPr>
      </w:pPr>
    </w:p>
    <w:p w14:paraId="0A938D92">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firstLine="1968" w:firstLineChars="700"/>
        <w:jc w:val="left"/>
        <w:textAlignment w:val="auto"/>
        <w:rPr>
          <w:rFonts w:hint="eastAsia" w:ascii="宋体" w:hAnsi="宋体" w:eastAsia="宋体" w:cs="宋体"/>
          <w:b/>
          <w:bCs/>
          <w:sz w:val="28"/>
          <w:szCs w:val="32"/>
          <w:highlight w:val="none"/>
          <w:lang w:val="en-US"/>
        </w:rPr>
      </w:pPr>
      <w:r>
        <w:rPr>
          <w:rFonts w:hint="eastAsia" w:ascii="宋体" w:hAnsi="宋体" w:eastAsia="宋体" w:cs="宋体"/>
          <w:b/>
          <w:bCs/>
          <w:kern w:val="2"/>
          <w:sz w:val="28"/>
          <w:szCs w:val="32"/>
          <w:highlight w:val="none"/>
          <w:lang w:val="en-US" w:eastAsia="zh-CN" w:bidi="ar"/>
        </w:rPr>
        <w:t>甲方：</w:t>
      </w:r>
      <w:r>
        <w:rPr>
          <w:rFonts w:hint="eastAsia" w:ascii="宋体" w:hAnsi="宋体" w:cs="宋体"/>
          <w:b/>
          <w:bCs/>
          <w:sz w:val="32"/>
          <w:szCs w:val="32"/>
          <w:highlight w:val="none"/>
          <w:lang w:val="en-US" w:eastAsia="zh-CN"/>
        </w:rPr>
        <w:t>陕西中医药大学附属</w:t>
      </w:r>
      <w:r>
        <w:rPr>
          <w:rFonts w:hint="eastAsia" w:ascii="宋体" w:hAnsi="宋体" w:eastAsia="宋体" w:cs="宋体"/>
          <w:b/>
          <w:bCs/>
          <w:kern w:val="2"/>
          <w:sz w:val="28"/>
          <w:szCs w:val="32"/>
          <w:highlight w:val="none"/>
          <w:lang w:val="en-US" w:eastAsia="zh-CN" w:bidi="ar"/>
        </w:rPr>
        <w:t>医院</w:t>
      </w:r>
    </w:p>
    <w:p w14:paraId="3DFE8817">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firstLine="1968" w:firstLineChars="700"/>
        <w:jc w:val="both"/>
        <w:textAlignment w:val="auto"/>
        <w:rPr>
          <w:rFonts w:hint="default" w:ascii="宋体" w:hAnsi="宋体" w:eastAsia="宋体" w:cs="宋体"/>
          <w:b/>
          <w:bCs/>
          <w:sz w:val="28"/>
          <w:szCs w:val="32"/>
          <w:highlight w:val="none"/>
          <w:u w:val="single"/>
          <w:lang w:val="en-US"/>
        </w:rPr>
      </w:pPr>
      <w:r>
        <w:rPr>
          <w:rFonts w:hint="eastAsia" w:ascii="宋体" w:hAnsi="宋体" w:eastAsia="宋体" w:cs="宋体"/>
          <w:b/>
          <w:bCs/>
          <w:kern w:val="2"/>
          <w:sz w:val="28"/>
          <w:szCs w:val="32"/>
          <w:highlight w:val="none"/>
          <w:lang w:val="en-US" w:eastAsia="zh-CN" w:bidi="ar"/>
        </w:rPr>
        <w:t>乙方：</w:t>
      </w:r>
      <w:r>
        <w:rPr>
          <w:rFonts w:hint="eastAsia" w:ascii="宋体" w:hAnsi="宋体" w:cs="宋体"/>
          <w:b/>
          <w:bCs/>
          <w:kern w:val="2"/>
          <w:sz w:val="28"/>
          <w:szCs w:val="32"/>
          <w:highlight w:val="none"/>
          <w:u w:val="single"/>
          <w:lang w:val="en-US" w:eastAsia="zh-CN" w:bidi="ar"/>
        </w:rPr>
        <w:t xml:space="preserve">                       </w:t>
      </w:r>
    </w:p>
    <w:p w14:paraId="3893F981">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firstLine="1968" w:firstLineChars="700"/>
        <w:jc w:val="both"/>
        <w:textAlignment w:val="auto"/>
        <w:rPr>
          <w:rFonts w:hint="eastAsia" w:ascii="宋体" w:hAnsi="宋体" w:eastAsia="宋体" w:cs="宋体"/>
          <w:b/>
          <w:bCs/>
          <w:sz w:val="28"/>
          <w:szCs w:val="28"/>
          <w:highlight w:val="none"/>
          <w:lang w:val="en-US"/>
        </w:rPr>
      </w:pPr>
      <w:r>
        <w:rPr>
          <w:rFonts w:hint="eastAsia" w:ascii="宋体" w:hAnsi="宋体" w:eastAsia="宋体" w:cs="宋体"/>
          <w:b/>
          <w:bCs/>
          <w:kern w:val="2"/>
          <w:sz w:val="28"/>
          <w:szCs w:val="28"/>
          <w:highlight w:val="none"/>
          <w:lang w:val="en-US" w:eastAsia="zh-CN" w:bidi="ar"/>
        </w:rPr>
        <w:t xml:space="preserve">签订地点： </w:t>
      </w:r>
      <w:r>
        <w:rPr>
          <w:rFonts w:hint="eastAsia" w:ascii="宋体" w:hAnsi="宋体" w:cs="宋体"/>
          <w:b/>
          <w:bCs/>
          <w:sz w:val="32"/>
          <w:szCs w:val="32"/>
          <w:highlight w:val="none"/>
          <w:lang w:val="en-US" w:eastAsia="zh-CN"/>
        </w:rPr>
        <w:t>陕西中医药大学附属</w:t>
      </w:r>
      <w:r>
        <w:rPr>
          <w:rFonts w:hint="eastAsia" w:ascii="宋体" w:hAnsi="宋体" w:eastAsia="宋体" w:cs="宋体"/>
          <w:b/>
          <w:bCs/>
          <w:kern w:val="2"/>
          <w:sz w:val="28"/>
          <w:szCs w:val="28"/>
          <w:highlight w:val="none"/>
          <w:lang w:val="en-US" w:eastAsia="zh-CN" w:bidi="ar"/>
        </w:rPr>
        <w:t>医院</w:t>
      </w:r>
    </w:p>
    <w:p w14:paraId="089012BC">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360" w:lineRule="auto"/>
        <w:ind w:left="0" w:right="0" w:firstLine="1968" w:firstLineChars="700"/>
        <w:jc w:val="both"/>
        <w:textAlignment w:val="auto"/>
        <w:rPr>
          <w:rFonts w:hint="eastAsia" w:ascii="宋体" w:hAnsi="宋体" w:eastAsia="宋体" w:cs="宋体"/>
          <w:b/>
          <w:bCs/>
          <w:sz w:val="28"/>
          <w:szCs w:val="28"/>
          <w:highlight w:val="none"/>
          <w:lang w:val="en-US"/>
        </w:rPr>
      </w:pPr>
      <w:r>
        <w:rPr>
          <w:rFonts w:hint="eastAsia" w:ascii="宋体" w:hAnsi="宋体" w:eastAsia="宋体" w:cs="宋体"/>
          <w:b/>
          <w:bCs/>
          <w:kern w:val="2"/>
          <w:sz w:val="28"/>
          <w:szCs w:val="28"/>
          <w:highlight w:val="none"/>
          <w:lang w:val="en-US" w:eastAsia="zh-CN" w:bidi="ar"/>
        </w:rPr>
        <w:t>签订时间：2024年</w:t>
      </w:r>
      <w:r>
        <w:rPr>
          <w:rFonts w:hint="eastAsia" w:ascii="宋体" w:hAnsi="宋体" w:cs="宋体"/>
          <w:b/>
          <w:bCs/>
          <w:kern w:val="2"/>
          <w:sz w:val="28"/>
          <w:szCs w:val="28"/>
          <w:highlight w:val="none"/>
          <w:u w:val="single"/>
          <w:lang w:val="en-US" w:eastAsia="zh-CN" w:bidi="ar"/>
        </w:rPr>
        <w:t xml:space="preserve">     </w:t>
      </w:r>
      <w:r>
        <w:rPr>
          <w:rFonts w:hint="eastAsia" w:ascii="宋体" w:hAnsi="宋体" w:eastAsia="宋体" w:cs="宋体"/>
          <w:b/>
          <w:bCs/>
          <w:kern w:val="2"/>
          <w:sz w:val="28"/>
          <w:szCs w:val="28"/>
          <w:highlight w:val="none"/>
          <w:lang w:val="en-US" w:eastAsia="zh-CN" w:bidi="ar"/>
        </w:rPr>
        <w:t>月</w:t>
      </w:r>
      <w:r>
        <w:rPr>
          <w:rFonts w:hint="eastAsia" w:ascii="宋体" w:hAnsi="宋体" w:cs="宋体"/>
          <w:b/>
          <w:bCs/>
          <w:kern w:val="2"/>
          <w:sz w:val="28"/>
          <w:szCs w:val="28"/>
          <w:highlight w:val="none"/>
          <w:u w:val="single"/>
          <w:lang w:val="en-US" w:eastAsia="zh-CN" w:bidi="ar"/>
        </w:rPr>
        <w:t xml:space="preserve">      </w:t>
      </w:r>
      <w:r>
        <w:rPr>
          <w:rFonts w:hint="eastAsia" w:ascii="宋体" w:hAnsi="宋体" w:eastAsia="宋体" w:cs="宋体"/>
          <w:b/>
          <w:bCs/>
          <w:kern w:val="2"/>
          <w:sz w:val="28"/>
          <w:szCs w:val="28"/>
          <w:highlight w:val="none"/>
          <w:lang w:val="en-US" w:eastAsia="zh-CN" w:bidi="ar"/>
        </w:rPr>
        <w:t>日</w:t>
      </w:r>
    </w:p>
    <w:p w14:paraId="4188A887">
      <w:pPr>
        <w:adjustRightInd w:val="0"/>
        <w:snapToGrid w:val="0"/>
        <w:spacing w:line="360" w:lineRule="auto"/>
        <w:ind w:firstLine="1280" w:firstLineChars="400"/>
        <w:rPr>
          <w:rFonts w:hint="default" w:ascii="黑体" w:eastAsia="黑体"/>
          <w:sz w:val="32"/>
          <w:szCs w:val="32"/>
          <w:highlight w:val="none"/>
          <w:lang w:val="en-US" w:eastAsia="zh-CN"/>
        </w:rPr>
      </w:pPr>
    </w:p>
    <w:p w14:paraId="59DF9E5C">
      <w:pPr>
        <w:adjustRightInd w:val="0"/>
        <w:snapToGrid w:val="0"/>
        <w:spacing w:line="360" w:lineRule="auto"/>
        <w:ind w:firstLine="2240" w:firstLineChars="700"/>
        <w:rPr>
          <w:rFonts w:hint="eastAsia" w:ascii="黑体" w:eastAsia="黑体"/>
          <w:sz w:val="32"/>
          <w:szCs w:val="32"/>
          <w:highlight w:val="none"/>
        </w:rPr>
      </w:pPr>
    </w:p>
    <w:p w14:paraId="505039AC">
      <w:pPr>
        <w:pStyle w:val="4"/>
        <w:rPr>
          <w:rFonts w:hint="eastAsia"/>
          <w:sz w:val="24"/>
          <w:highlight w:val="none"/>
        </w:rPr>
      </w:pPr>
    </w:p>
    <w:p w14:paraId="39DAB704">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jc w:val="center"/>
        <w:textAlignment w:val="auto"/>
        <w:rPr>
          <w:rFonts w:hint="eastAsia" w:ascii="宋体" w:hAnsi="宋体" w:eastAsia="宋体" w:cs="宋体"/>
          <w:b/>
          <w:bCs w:val="0"/>
          <w:sz w:val="30"/>
          <w:szCs w:val="30"/>
          <w:highlight w:val="none"/>
          <w:lang w:val="en-US"/>
        </w:rPr>
      </w:pPr>
      <w:r>
        <w:rPr>
          <w:rFonts w:hint="eastAsia" w:ascii="宋体" w:hAnsi="宋体" w:cs="宋体"/>
          <w:b/>
          <w:bCs w:val="0"/>
          <w:kern w:val="2"/>
          <w:sz w:val="30"/>
          <w:szCs w:val="30"/>
          <w:highlight w:val="none"/>
          <w:lang w:val="en-US" w:eastAsia="zh-CN" w:bidi="ar"/>
        </w:rPr>
        <w:t>采购</w:t>
      </w:r>
      <w:r>
        <w:rPr>
          <w:rFonts w:hint="eastAsia" w:ascii="宋体" w:hAnsi="宋体" w:eastAsia="宋体" w:cs="宋体"/>
          <w:b/>
          <w:bCs w:val="0"/>
          <w:kern w:val="2"/>
          <w:sz w:val="30"/>
          <w:szCs w:val="30"/>
          <w:highlight w:val="none"/>
          <w:lang w:val="en-US" w:eastAsia="zh-CN" w:bidi="ar"/>
        </w:rPr>
        <w:t>合同</w:t>
      </w:r>
    </w:p>
    <w:p w14:paraId="338330A2">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360" w:lineRule="auto"/>
        <w:ind w:left="0" w:right="0" w:firstLine="488" w:firstLineChars="200"/>
        <w:jc w:val="both"/>
        <w:textAlignment w:val="auto"/>
        <w:rPr>
          <w:rFonts w:hint="eastAsia" w:ascii="宋体" w:hAnsi="宋体" w:cs="宋体"/>
          <w:bCs/>
          <w:spacing w:val="2"/>
          <w:sz w:val="24"/>
          <w:szCs w:val="24"/>
          <w:highlight w:val="none"/>
          <w:lang w:val="en-US" w:eastAsia="zh-CN"/>
        </w:rPr>
      </w:pPr>
      <w:r>
        <w:rPr>
          <w:rFonts w:hint="eastAsia" w:ascii="宋体" w:hAnsi="宋体" w:cs="宋体"/>
          <w:bCs/>
          <w:spacing w:val="2"/>
          <w:sz w:val="24"/>
          <w:szCs w:val="24"/>
          <w:highlight w:val="none"/>
          <w:lang w:val="en-US" w:eastAsia="zh-CN"/>
        </w:rPr>
        <w:t>甲方（需方）：陕西中医药大学附属医院</w:t>
      </w:r>
    </w:p>
    <w:p w14:paraId="627E5D31">
      <w:pPr>
        <w:pStyle w:val="3"/>
        <w:keepNext w:val="0"/>
        <w:keepLines w:val="0"/>
        <w:pageBreakBefore w:val="0"/>
        <w:kinsoku/>
        <w:wordWrap/>
        <w:overflowPunct/>
        <w:topLinePunct w:val="0"/>
        <w:autoSpaceDN/>
        <w:bidi w:val="0"/>
        <w:adjustRightInd w:val="0"/>
        <w:snapToGrid w:val="0"/>
        <w:spacing w:line="360" w:lineRule="auto"/>
        <w:ind w:firstLine="488" w:firstLineChars="200"/>
        <w:textAlignment w:val="auto"/>
        <w:rPr>
          <w:rFonts w:hint="default"/>
          <w:b w:val="0"/>
          <w:bCs w:val="0"/>
          <w:highlight w:val="none"/>
          <w:u w:val="single"/>
          <w:lang w:val="en-US" w:eastAsia="zh-CN"/>
        </w:rPr>
      </w:pPr>
      <w:r>
        <w:rPr>
          <w:rFonts w:hint="eastAsia" w:ascii="宋体" w:hAnsi="宋体" w:cs="宋体"/>
          <w:b w:val="0"/>
          <w:bCs w:val="0"/>
          <w:spacing w:val="2"/>
          <w:sz w:val="24"/>
          <w:szCs w:val="24"/>
          <w:highlight w:val="none"/>
          <w:lang w:val="en-US" w:eastAsia="zh-CN"/>
        </w:rPr>
        <w:t>乙方（供方）：</w:t>
      </w:r>
      <w:r>
        <w:rPr>
          <w:rFonts w:hint="eastAsia" w:ascii="宋体" w:hAnsi="宋体" w:cs="宋体"/>
          <w:b w:val="0"/>
          <w:bCs w:val="0"/>
          <w:spacing w:val="2"/>
          <w:sz w:val="24"/>
          <w:szCs w:val="24"/>
          <w:highlight w:val="none"/>
          <w:u w:val="single"/>
          <w:lang w:val="en-US" w:eastAsia="zh-CN"/>
        </w:rPr>
        <w:t xml:space="preserve">                      </w:t>
      </w:r>
    </w:p>
    <w:p w14:paraId="2953C8BB">
      <w:pPr>
        <w:keepNext w:val="0"/>
        <w:keepLines w:val="0"/>
        <w:pageBreakBefore w:val="0"/>
        <w:widowControl/>
        <w:suppressLineNumbers w:val="0"/>
        <w:kinsoku/>
        <w:wordWrap/>
        <w:overflowPunct/>
        <w:topLinePunct w:val="0"/>
        <w:autoSpaceDN/>
        <w:bidi w:val="0"/>
        <w:adjustRightInd w:val="0"/>
        <w:snapToGrid w:val="0"/>
        <w:spacing w:before="0" w:beforeAutospacing="0" w:after="0" w:afterAutospacing="0" w:line="360" w:lineRule="auto"/>
        <w:ind w:left="0" w:right="0" w:firstLine="482" w:firstLineChars="200"/>
        <w:jc w:val="both"/>
        <w:textAlignment w:val="auto"/>
        <w:rPr>
          <w:rFonts w:hint="default" w:ascii="宋体" w:hAnsi="宋体" w:eastAsia="宋体" w:cs="宋体"/>
          <w:b/>
          <w:bCs w:val="0"/>
          <w:sz w:val="24"/>
          <w:szCs w:val="24"/>
          <w:highlight w:val="none"/>
          <w:lang w:val="en-US"/>
        </w:rPr>
      </w:pPr>
      <w:r>
        <w:rPr>
          <w:rFonts w:hint="eastAsia" w:ascii="宋体" w:hAnsi="宋体" w:eastAsia="宋体" w:cs="宋体"/>
          <w:b/>
          <w:bCs w:val="0"/>
          <w:kern w:val="2"/>
          <w:sz w:val="24"/>
          <w:szCs w:val="24"/>
          <w:highlight w:val="none"/>
          <w:lang w:val="en-US" w:eastAsia="zh-CN" w:bidi="ar"/>
        </w:rPr>
        <w:t>一、所供产品清单</w:t>
      </w:r>
    </w:p>
    <w:tbl>
      <w:tblPr>
        <w:tblStyle w:val="5"/>
        <w:tblW w:w="936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0" w:type="dxa"/>
          <w:bottom w:w="0" w:type="dxa"/>
          <w:right w:w="0" w:type="dxa"/>
        </w:tblCellMar>
      </w:tblPr>
      <w:tblGrid>
        <w:gridCol w:w="1068"/>
        <w:gridCol w:w="976"/>
        <w:gridCol w:w="1020"/>
        <w:gridCol w:w="1320"/>
        <w:gridCol w:w="1070"/>
        <w:gridCol w:w="992"/>
        <w:gridCol w:w="992"/>
        <w:gridCol w:w="734"/>
        <w:gridCol w:w="1196"/>
      </w:tblGrid>
      <w:tr w14:paraId="252405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567" w:hRule="atLeast"/>
          <w:jc w:val="center"/>
        </w:trPr>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3F33E">
            <w:pPr>
              <w:pStyle w:val="8"/>
              <w:keepNext w:val="0"/>
              <w:keepLines w:val="0"/>
              <w:pageBreakBefore w:val="0"/>
              <w:widowControl/>
              <w:suppressLineNumbers w:val="0"/>
              <w:kinsoku/>
              <w:wordWrap/>
              <w:overflowPunct/>
              <w:topLinePunct w:val="0"/>
              <w:autoSpaceDE/>
              <w:autoSpaceDN/>
              <w:bidi w:val="0"/>
              <w:adjustRightInd w:val="0"/>
              <w:snapToGrid w:val="0"/>
              <w:spacing w:line="360" w:lineRule="auto"/>
              <w:ind w:firstLine="0" w:firstLineChars="0"/>
              <w:jc w:val="center"/>
              <w:textAlignment w:val="auto"/>
              <w:rPr>
                <w:sz w:val="24"/>
                <w:szCs w:val="24"/>
                <w:highlight w:val="none"/>
                <w:lang w:val="en-US"/>
              </w:rPr>
            </w:pPr>
            <w:r>
              <w:rPr>
                <w:sz w:val="24"/>
                <w:szCs w:val="24"/>
                <w:highlight w:val="none"/>
                <w:lang w:val="en-US"/>
              </w:rPr>
              <w:t>序号</w:t>
            </w:r>
          </w:p>
        </w:tc>
        <w:tc>
          <w:tcPr>
            <w:tcW w:w="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B611C">
            <w:pPr>
              <w:pStyle w:val="8"/>
              <w:keepNext w:val="0"/>
              <w:keepLines w:val="0"/>
              <w:pageBreakBefore w:val="0"/>
              <w:widowControl/>
              <w:suppressLineNumbers w:val="0"/>
              <w:kinsoku/>
              <w:wordWrap/>
              <w:overflowPunct/>
              <w:topLinePunct w:val="0"/>
              <w:autoSpaceDE/>
              <w:autoSpaceDN/>
              <w:bidi w:val="0"/>
              <w:adjustRightInd w:val="0"/>
              <w:snapToGrid w:val="0"/>
              <w:spacing w:line="360" w:lineRule="auto"/>
              <w:ind w:firstLine="0" w:firstLineChars="0"/>
              <w:jc w:val="center"/>
              <w:textAlignment w:val="auto"/>
              <w:rPr>
                <w:sz w:val="24"/>
                <w:szCs w:val="24"/>
                <w:highlight w:val="none"/>
                <w:lang w:val="en-US"/>
              </w:rPr>
            </w:pPr>
            <w:r>
              <w:rPr>
                <w:sz w:val="24"/>
                <w:szCs w:val="24"/>
                <w:highlight w:val="none"/>
                <w:lang w:val="en-US"/>
              </w:rPr>
              <w:t>名称</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889514">
            <w:pPr>
              <w:pStyle w:val="8"/>
              <w:keepNext w:val="0"/>
              <w:keepLines w:val="0"/>
              <w:pageBreakBefore w:val="0"/>
              <w:widowControl/>
              <w:suppressLineNumbers w:val="0"/>
              <w:kinsoku/>
              <w:wordWrap/>
              <w:overflowPunct/>
              <w:topLinePunct w:val="0"/>
              <w:autoSpaceDE/>
              <w:autoSpaceDN/>
              <w:bidi w:val="0"/>
              <w:adjustRightInd w:val="0"/>
              <w:snapToGrid w:val="0"/>
              <w:spacing w:line="360" w:lineRule="auto"/>
              <w:ind w:firstLine="0" w:firstLineChars="0"/>
              <w:jc w:val="center"/>
              <w:textAlignment w:val="auto"/>
              <w:rPr>
                <w:sz w:val="24"/>
                <w:szCs w:val="24"/>
                <w:highlight w:val="none"/>
                <w:lang w:val="en-US"/>
              </w:rPr>
            </w:pPr>
            <w:r>
              <w:rPr>
                <w:sz w:val="24"/>
                <w:szCs w:val="24"/>
                <w:highlight w:val="none"/>
                <w:lang w:val="en-US"/>
              </w:rPr>
              <w:t>品牌</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7926B">
            <w:pPr>
              <w:pStyle w:val="8"/>
              <w:keepNext w:val="0"/>
              <w:keepLines w:val="0"/>
              <w:pageBreakBefore w:val="0"/>
              <w:widowControl/>
              <w:suppressLineNumbers w:val="0"/>
              <w:kinsoku/>
              <w:wordWrap/>
              <w:overflowPunct/>
              <w:topLinePunct w:val="0"/>
              <w:autoSpaceDE/>
              <w:autoSpaceDN/>
              <w:bidi w:val="0"/>
              <w:adjustRightInd w:val="0"/>
              <w:snapToGrid w:val="0"/>
              <w:spacing w:line="360" w:lineRule="auto"/>
              <w:ind w:firstLine="0" w:firstLineChars="0"/>
              <w:jc w:val="center"/>
              <w:textAlignment w:val="auto"/>
              <w:rPr>
                <w:sz w:val="24"/>
                <w:szCs w:val="24"/>
                <w:highlight w:val="none"/>
                <w:lang w:val="en-US"/>
              </w:rPr>
            </w:pPr>
            <w:r>
              <w:rPr>
                <w:sz w:val="24"/>
                <w:szCs w:val="24"/>
                <w:highlight w:val="none"/>
                <w:lang w:val="en-US"/>
              </w:rPr>
              <w:t>规格型号</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568C9">
            <w:pPr>
              <w:pStyle w:val="8"/>
              <w:keepNext w:val="0"/>
              <w:keepLines w:val="0"/>
              <w:pageBreakBefore w:val="0"/>
              <w:widowControl/>
              <w:suppressLineNumbers w:val="0"/>
              <w:kinsoku/>
              <w:wordWrap/>
              <w:overflowPunct/>
              <w:topLinePunct w:val="0"/>
              <w:autoSpaceDE/>
              <w:autoSpaceDN/>
              <w:bidi w:val="0"/>
              <w:adjustRightInd w:val="0"/>
              <w:snapToGrid w:val="0"/>
              <w:spacing w:line="360" w:lineRule="auto"/>
              <w:ind w:firstLine="0" w:firstLineChars="0"/>
              <w:jc w:val="center"/>
              <w:textAlignment w:val="auto"/>
              <w:rPr>
                <w:sz w:val="24"/>
                <w:szCs w:val="24"/>
                <w:highlight w:val="none"/>
                <w:lang w:val="en-US"/>
              </w:rPr>
            </w:pPr>
            <w:r>
              <w:rPr>
                <w:sz w:val="24"/>
                <w:szCs w:val="24"/>
                <w:highlight w:val="none"/>
                <w:lang w:val="en-US"/>
              </w:rPr>
              <w:t>生产厂家</w:t>
            </w:r>
          </w:p>
        </w:tc>
        <w:tc>
          <w:tcPr>
            <w:tcW w:w="992" w:type="dxa"/>
            <w:tcBorders>
              <w:top w:val="single" w:color="000000" w:sz="4" w:space="0"/>
              <w:left w:val="single" w:color="000000" w:sz="4" w:space="0"/>
              <w:bottom w:val="single" w:color="000000" w:sz="4" w:space="0"/>
              <w:right w:val="single" w:color="auto" w:sz="4" w:space="0"/>
            </w:tcBorders>
            <w:shd w:val="clear" w:color="auto" w:fill="auto"/>
            <w:vAlign w:val="center"/>
          </w:tcPr>
          <w:p w14:paraId="4AE99233">
            <w:pPr>
              <w:pStyle w:val="8"/>
              <w:keepNext w:val="0"/>
              <w:keepLines w:val="0"/>
              <w:pageBreakBefore w:val="0"/>
              <w:widowControl/>
              <w:suppressLineNumbers w:val="0"/>
              <w:kinsoku/>
              <w:wordWrap/>
              <w:overflowPunct/>
              <w:topLinePunct w:val="0"/>
              <w:autoSpaceDE/>
              <w:autoSpaceDN/>
              <w:bidi w:val="0"/>
              <w:adjustRightInd w:val="0"/>
              <w:snapToGrid w:val="0"/>
              <w:spacing w:line="360" w:lineRule="auto"/>
              <w:ind w:firstLine="0" w:firstLineChars="0"/>
              <w:jc w:val="center"/>
              <w:textAlignment w:val="auto"/>
              <w:rPr>
                <w:sz w:val="24"/>
                <w:szCs w:val="24"/>
                <w:highlight w:val="none"/>
                <w:lang w:val="en-US"/>
              </w:rPr>
            </w:pPr>
            <w:r>
              <w:rPr>
                <w:sz w:val="24"/>
                <w:szCs w:val="24"/>
                <w:highlight w:val="none"/>
                <w:lang w:val="en-US"/>
              </w:rPr>
              <w:t>数量</w:t>
            </w:r>
          </w:p>
        </w:tc>
        <w:tc>
          <w:tcPr>
            <w:tcW w:w="992" w:type="dxa"/>
            <w:tcBorders>
              <w:top w:val="single" w:color="000000" w:sz="4" w:space="0"/>
              <w:left w:val="single" w:color="auto" w:sz="4" w:space="0"/>
              <w:bottom w:val="single" w:color="000000" w:sz="4" w:space="0"/>
              <w:right w:val="single" w:color="000000" w:sz="4" w:space="0"/>
            </w:tcBorders>
            <w:shd w:val="clear" w:color="auto" w:fill="auto"/>
            <w:vAlign w:val="center"/>
          </w:tcPr>
          <w:p w14:paraId="2416B35A">
            <w:pPr>
              <w:pStyle w:val="8"/>
              <w:keepNext w:val="0"/>
              <w:keepLines w:val="0"/>
              <w:pageBreakBefore w:val="0"/>
              <w:widowControl/>
              <w:suppressLineNumbers w:val="0"/>
              <w:kinsoku/>
              <w:wordWrap/>
              <w:overflowPunct/>
              <w:topLinePunct w:val="0"/>
              <w:autoSpaceDE/>
              <w:autoSpaceDN/>
              <w:bidi w:val="0"/>
              <w:adjustRightInd w:val="0"/>
              <w:snapToGrid w:val="0"/>
              <w:spacing w:line="360" w:lineRule="auto"/>
              <w:ind w:firstLine="0" w:firstLineChars="0"/>
              <w:jc w:val="center"/>
              <w:textAlignment w:val="auto"/>
              <w:rPr>
                <w:sz w:val="24"/>
                <w:szCs w:val="24"/>
                <w:highlight w:val="none"/>
                <w:lang w:val="en-US"/>
              </w:rPr>
            </w:pPr>
            <w:r>
              <w:rPr>
                <w:sz w:val="24"/>
                <w:szCs w:val="24"/>
                <w:highlight w:val="none"/>
                <w:lang w:val="en-US"/>
              </w:rPr>
              <w:t>单位</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4A709">
            <w:pPr>
              <w:pStyle w:val="8"/>
              <w:keepNext w:val="0"/>
              <w:keepLines w:val="0"/>
              <w:pageBreakBefore w:val="0"/>
              <w:widowControl/>
              <w:suppressLineNumbers w:val="0"/>
              <w:kinsoku/>
              <w:wordWrap/>
              <w:overflowPunct/>
              <w:topLinePunct w:val="0"/>
              <w:autoSpaceDE/>
              <w:autoSpaceDN/>
              <w:bidi w:val="0"/>
              <w:adjustRightInd w:val="0"/>
              <w:snapToGrid w:val="0"/>
              <w:spacing w:line="360" w:lineRule="auto"/>
              <w:ind w:firstLine="0" w:firstLineChars="0"/>
              <w:jc w:val="center"/>
              <w:textAlignment w:val="auto"/>
              <w:rPr>
                <w:sz w:val="24"/>
                <w:szCs w:val="24"/>
                <w:highlight w:val="none"/>
                <w:lang w:val="en-US"/>
              </w:rPr>
            </w:pPr>
            <w:r>
              <w:rPr>
                <w:sz w:val="24"/>
                <w:szCs w:val="24"/>
                <w:highlight w:val="none"/>
                <w:lang w:val="en-US"/>
              </w:rPr>
              <w:t>单价</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1B1E6">
            <w:pPr>
              <w:pStyle w:val="8"/>
              <w:keepNext w:val="0"/>
              <w:keepLines w:val="0"/>
              <w:pageBreakBefore w:val="0"/>
              <w:widowControl/>
              <w:suppressLineNumbers w:val="0"/>
              <w:kinsoku/>
              <w:wordWrap/>
              <w:overflowPunct/>
              <w:topLinePunct w:val="0"/>
              <w:autoSpaceDE/>
              <w:autoSpaceDN/>
              <w:bidi w:val="0"/>
              <w:adjustRightInd w:val="0"/>
              <w:snapToGrid w:val="0"/>
              <w:spacing w:line="360" w:lineRule="auto"/>
              <w:ind w:firstLine="0" w:firstLineChars="0"/>
              <w:jc w:val="center"/>
              <w:textAlignment w:val="auto"/>
              <w:rPr>
                <w:sz w:val="24"/>
                <w:szCs w:val="24"/>
                <w:highlight w:val="none"/>
                <w:lang w:val="en-US"/>
              </w:rPr>
            </w:pPr>
            <w:r>
              <w:rPr>
                <w:sz w:val="24"/>
                <w:szCs w:val="24"/>
                <w:highlight w:val="none"/>
                <w:lang w:val="en-US"/>
              </w:rPr>
              <w:t>总价</w:t>
            </w:r>
          </w:p>
        </w:tc>
      </w:tr>
      <w:tr w14:paraId="4F7869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74BA6">
            <w:pPr>
              <w:pStyle w:val="8"/>
              <w:keepNext w:val="0"/>
              <w:keepLines w:val="0"/>
              <w:pageBreakBefore w:val="0"/>
              <w:widowControl/>
              <w:suppressLineNumbers w:val="0"/>
              <w:kinsoku/>
              <w:wordWrap/>
              <w:overflowPunct/>
              <w:topLinePunct w:val="0"/>
              <w:autoSpaceDE/>
              <w:autoSpaceDN/>
              <w:bidi w:val="0"/>
              <w:adjustRightInd w:val="0"/>
              <w:snapToGrid w:val="0"/>
              <w:spacing w:line="360" w:lineRule="auto"/>
              <w:ind w:firstLine="0" w:firstLineChars="0"/>
              <w:jc w:val="center"/>
              <w:textAlignment w:val="auto"/>
              <w:rPr>
                <w:sz w:val="24"/>
                <w:szCs w:val="24"/>
                <w:highlight w:val="none"/>
              </w:rPr>
            </w:pPr>
            <w:r>
              <w:rPr>
                <w:sz w:val="24"/>
                <w:szCs w:val="24"/>
                <w:highlight w:val="none"/>
              </w:rPr>
              <w:t>1</w:t>
            </w:r>
          </w:p>
        </w:tc>
        <w:tc>
          <w:tcPr>
            <w:tcW w:w="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00170">
            <w:pPr>
              <w:pStyle w:val="8"/>
              <w:keepNext w:val="0"/>
              <w:keepLines w:val="0"/>
              <w:pageBreakBefore w:val="0"/>
              <w:widowControl/>
              <w:suppressLineNumbers w:val="0"/>
              <w:kinsoku/>
              <w:wordWrap/>
              <w:overflowPunct/>
              <w:topLinePunct w:val="0"/>
              <w:autoSpaceDE/>
              <w:autoSpaceDN/>
              <w:bidi w:val="0"/>
              <w:adjustRightInd w:val="0"/>
              <w:snapToGrid w:val="0"/>
              <w:spacing w:line="360" w:lineRule="auto"/>
              <w:ind w:left="0" w:firstLine="0" w:firstLineChars="0"/>
              <w:jc w:val="center"/>
              <w:textAlignment w:val="auto"/>
              <w:rPr>
                <w:sz w:val="24"/>
                <w:szCs w:val="24"/>
                <w:highlight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D2F9AC">
            <w:pPr>
              <w:pStyle w:val="8"/>
              <w:keepNext w:val="0"/>
              <w:keepLines w:val="0"/>
              <w:pageBreakBefore w:val="0"/>
              <w:widowControl/>
              <w:suppressLineNumbers w:val="0"/>
              <w:kinsoku/>
              <w:wordWrap/>
              <w:overflowPunct/>
              <w:topLinePunct w:val="0"/>
              <w:autoSpaceDE/>
              <w:autoSpaceDN/>
              <w:bidi w:val="0"/>
              <w:adjustRightInd w:val="0"/>
              <w:snapToGrid w:val="0"/>
              <w:spacing w:line="360" w:lineRule="auto"/>
              <w:ind w:left="0" w:firstLine="0" w:firstLineChars="0"/>
              <w:jc w:val="center"/>
              <w:textAlignment w:val="auto"/>
              <w:rPr>
                <w:sz w:val="24"/>
                <w:szCs w:val="24"/>
                <w:highlight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B8E88">
            <w:pPr>
              <w:pStyle w:val="8"/>
              <w:keepNext w:val="0"/>
              <w:keepLines w:val="0"/>
              <w:pageBreakBefore w:val="0"/>
              <w:widowControl/>
              <w:suppressLineNumbers w:val="0"/>
              <w:kinsoku/>
              <w:wordWrap/>
              <w:overflowPunct/>
              <w:topLinePunct w:val="0"/>
              <w:autoSpaceDE/>
              <w:autoSpaceDN/>
              <w:bidi w:val="0"/>
              <w:adjustRightInd w:val="0"/>
              <w:snapToGrid w:val="0"/>
              <w:spacing w:line="360" w:lineRule="auto"/>
              <w:ind w:left="0" w:firstLine="0" w:firstLineChars="0"/>
              <w:jc w:val="center"/>
              <w:textAlignment w:val="auto"/>
              <w:rPr>
                <w:sz w:val="24"/>
                <w:szCs w:val="24"/>
                <w:highlight w:val="none"/>
              </w:rPr>
            </w:pP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F7255">
            <w:pPr>
              <w:pStyle w:val="8"/>
              <w:keepNext w:val="0"/>
              <w:keepLines w:val="0"/>
              <w:pageBreakBefore w:val="0"/>
              <w:widowControl/>
              <w:suppressLineNumbers w:val="0"/>
              <w:kinsoku/>
              <w:wordWrap/>
              <w:overflowPunct/>
              <w:topLinePunct w:val="0"/>
              <w:autoSpaceDE/>
              <w:autoSpaceDN/>
              <w:bidi w:val="0"/>
              <w:adjustRightInd w:val="0"/>
              <w:snapToGrid w:val="0"/>
              <w:spacing w:line="360" w:lineRule="auto"/>
              <w:ind w:left="0" w:firstLine="0" w:firstLineChars="0"/>
              <w:jc w:val="center"/>
              <w:textAlignment w:val="auto"/>
              <w:rPr>
                <w:sz w:val="24"/>
                <w:szCs w:val="24"/>
                <w:highlight w:val="none"/>
              </w:rPr>
            </w:pPr>
          </w:p>
        </w:tc>
        <w:tc>
          <w:tcPr>
            <w:tcW w:w="992" w:type="dxa"/>
            <w:tcBorders>
              <w:top w:val="single" w:color="000000" w:sz="4" w:space="0"/>
              <w:left w:val="single" w:color="000000" w:sz="4" w:space="0"/>
              <w:bottom w:val="single" w:color="000000" w:sz="4" w:space="0"/>
              <w:right w:val="single" w:color="auto" w:sz="4" w:space="0"/>
            </w:tcBorders>
            <w:shd w:val="clear" w:color="auto" w:fill="auto"/>
            <w:vAlign w:val="center"/>
          </w:tcPr>
          <w:p w14:paraId="6F0D2012">
            <w:pPr>
              <w:pStyle w:val="8"/>
              <w:keepNext w:val="0"/>
              <w:keepLines w:val="0"/>
              <w:pageBreakBefore w:val="0"/>
              <w:widowControl/>
              <w:suppressLineNumbers w:val="0"/>
              <w:kinsoku/>
              <w:wordWrap/>
              <w:overflowPunct/>
              <w:topLinePunct w:val="0"/>
              <w:autoSpaceDE/>
              <w:autoSpaceDN/>
              <w:bidi w:val="0"/>
              <w:adjustRightInd w:val="0"/>
              <w:snapToGrid w:val="0"/>
              <w:spacing w:line="360" w:lineRule="auto"/>
              <w:ind w:left="0" w:firstLine="0" w:firstLineChars="0"/>
              <w:jc w:val="center"/>
              <w:textAlignment w:val="auto"/>
              <w:rPr>
                <w:sz w:val="24"/>
                <w:szCs w:val="24"/>
                <w:highlight w:val="none"/>
              </w:rPr>
            </w:pPr>
          </w:p>
        </w:tc>
        <w:tc>
          <w:tcPr>
            <w:tcW w:w="992" w:type="dxa"/>
            <w:tcBorders>
              <w:top w:val="single" w:color="000000" w:sz="4" w:space="0"/>
              <w:left w:val="single" w:color="auto" w:sz="4" w:space="0"/>
              <w:bottom w:val="single" w:color="000000" w:sz="4" w:space="0"/>
              <w:right w:val="single" w:color="000000" w:sz="4" w:space="0"/>
            </w:tcBorders>
            <w:shd w:val="clear" w:color="auto" w:fill="auto"/>
            <w:vAlign w:val="center"/>
          </w:tcPr>
          <w:p w14:paraId="06924554">
            <w:pPr>
              <w:pStyle w:val="8"/>
              <w:keepNext w:val="0"/>
              <w:keepLines w:val="0"/>
              <w:pageBreakBefore w:val="0"/>
              <w:widowControl/>
              <w:suppressLineNumbers w:val="0"/>
              <w:kinsoku/>
              <w:wordWrap/>
              <w:overflowPunct/>
              <w:topLinePunct w:val="0"/>
              <w:autoSpaceDE/>
              <w:autoSpaceDN/>
              <w:bidi w:val="0"/>
              <w:adjustRightInd w:val="0"/>
              <w:snapToGrid w:val="0"/>
              <w:spacing w:line="360" w:lineRule="auto"/>
              <w:ind w:left="0" w:firstLine="0" w:firstLineChars="0"/>
              <w:jc w:val="center"/>
              <w:textAlignment w:val="auto"/>
              <w:rPr>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A6907">
            <w:pPr>
              <w:pStyle w:val="8"/>
              <w:keepNext w:val="0"/>
              <w:keepLines w:val="0"/>
              <w:pageBreakBefore w:val="0"/>
              <w:widowControl/>
              <w:suppressLineNumbers w:val="0"/>
              <w:kinsoku/>
              <w:wordWrap/>
              <w:overflowPunct/>
              <w:topLinePunct w:val="0"/>
              <w:autoSpaceDE/>
              <w:autoSpaceDN/>
              <w:bidi w:val="0"/>
              <w:adjustRightInd w:val="0"/>
              <w:snapToGrid w:val="0"/>
              <w:spacing w:line="360" w:lineRule="auto"/>
              <w:ind w:left="0" w:firstLine="0" w:firstLineChars="0"/>
              <w:jc w:val="center"/>
              <w:textAlignment w:val="auto"/>
              <w:rPr>
                <w:sz w:val="24"/>
                <w:szCs w:val="24"/>
                <w:highlight w:val="none"/>
              </w:rPr>
            </w:pP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F31EC7">
            <w:pPr>
              <w:pStyle w:val="8"/>
              <w:keepNext w:val="0"/>
              <w:keepLines w:val="0"/>
              <w:pageBreakBefore w:val="0"/>
              <w:widowControl/>
              <w:suppressLineNumbers w:val="0"/>
              <w:kinsoku/>
              <w:wordWrap/>
              <w:overflowPunct/>
              <w:topLinePunct w:val="0"/>
              <w:autoSpaceDE/>
              <w:autoSpaceDN/>
              <w:bidi w:val="0"/>
              <w:adjustRightInd w:val="0"/>
              <w:snapToGrid w:val="0"/>
              <w:spacing w:line="360" w:lineRule="auto"/>
              <w:ind w:left="0" w:firstLine="0" w:firstLineChars="0"/>
              <w:jc w:val="center"/>
              <w:textAlignment w:val="auto"/>
              <w:rPr>
                <w:sz w:val="24"/>
                <w:szCs w:val="24"/>
                <w:highlight w:val="none"/>
              </w:rPr>
            </w:pPr>
          </w:p>
        </w:tc>
      </w:tr>
      <w:tr w14:paraId="4459D5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62904">
            <w:pPr>
              <w:pStyle w:val="8"/>
              <w:keepNext w:val="0"/>
              <w:keepLines w:val="0"/>
              <w:pageBreakBefore w:val="0"/>
              <w:widowControl/>
              <w:suppressLineNumbers w:val="0"/>
              <w:kinsoku/>
              <w:wordWrap/>
              <w:overflowPunct/>
              <w:topLinePunct w:val="0"/>
              <w:autoSpaceDE/>
              <w:autoSpaceDN/>
              <w:bidi w:val="0"/>
              <w:adjustRightInd w:val="0"/>
              <w:snapToGrid w:val="0"/>
              <w:spacing w:line="360" w:lineRule="auto"/>
              <w:ind w:left="0" w:firstLine="0" w:firstLineChars="0"/>
              <w:jc w:val="center"/>
              <w:textAlignment w:val="auto"/>
              <w:rPr>
                <w:sz w:val="24"/>
                <w:szCs w:val="24"/>
                <w:highlight w:val="none"/>
              </w:rPr>
            </w:pPr>
          </w:p>
        </w:tc>
        <w:tc>
          <w:tcPr>
            <w:tcW w:w="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EC32E">
            <w:pPr>
              <w:pStyle w:val="8"/>
              <w:keepNext w:val="0"/>
              <w:keepLines w:val="0"/>
              <w:pageBreakBefore w:val="0"/>
              <w:widowControl/>
              <w:suppressLineNumbers w:val="0"/>
              <w:kinsoku/>
              <w:wordWrap/>
              <w:overflowPunct/>
              <w:topLinePunct w:val="0"/>
              <w:autoSpaceDE/>
              <w:autoSpaceDN/>
              <w:bidi w:val="0"/>
              <w:adjustRightInd w:val="0"/>
              <w:snapToGrid w:val="0"/>
              <w:spacing w:line="360" w:lineRule="auto"/>
              <w:ind w:firstLine="0" w:firstLineChars="0"/>
              <w:jc w:val="center"/>
              <w:textAlignment w:val="auto"/>
              <w:rPr>
                <w:sz w:val="24"/>
                <w:szCs w:val="24"/>
                <w:highlight w:val="none"/>
              </w:rPr>
            </w:pPr>
            <w:r>
              <w:rPr>
                <w:sz w:val="24"/>
                <w:szCs w:val="24"/>
                <w:highlight w:val="none"/>
              </w:rPr>
              <w:t>合计</w:t>
            </w:r>
          </w:p>
        </w:tc>
        <w:tc>
          <w:tcPr>
            <w:tcW w:w="732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601AF5F9">
            <w:pPr>
              <w:pStyle w:val="8"/>
              <w:keepNext w:val="0"/>
              <w:keepLines w:val="0"/>
              <w:pageBreakBefore w:val="0"/>
              <w:widowControl/>
              <w:suppressLineNumbers w:val="0"/>
              <w:kinsoku/>
              <w:wordWrap/>
              <w:overflowPunct/>
              <w:topLinePunct w:val="0"/>
              <w:autoSpaceDE/>
              <w:autoSpaceDN/>
              <w:bidi w:val="0"/>
              <w:adjustRightInd w:val="0"/>
              <w:snapToGrid w:val="0"/>
              <w:spacing w:line="360" w:lineRule="auto"/>
              <w:ind w:left="0" w:firstLine="0" w:firstLineChars="0"/>
              <w:jc w:val="center"/>
              <w:textAlignment w:val="auto"/>
              <w:rPr>
                <w:sz w:val="24"/>
                <w:szCs w:val="24"/>
                <w:highlight w:val="none"/>
              </w:rPr>
            </w:pPr>
          </w:p>
        </w:tc>
      </w:tr>
    </w:tbl>
    <w:p w14:paraId="259BA3ED">
      <w:pPr>
        <w:pStyle w:val="9"/>
        <w:keepNext w:val="0"/>
        <w:keepLines w:val="0"/>
        <w:pageBreakBefore w:val="0"/>
        <w:widowControl/>
        <w:numPr>
          <w:ilvl w:val="0"/>
          <w:numId w:val="1"/>
        </w:numPr>
        <w:suppressLineNumbers w:val="0"/>
        <w:kinsoku/>
        <w:wordWrap/>
        <w:overflowPunct/>
        <w:topLinePunct w:val="0"/>
        <w:autoSpaceDN/>
        <w:bidi w:val="0"/>
        <w:adjustRightInd w:val="0"/>
        <w:snapToGrid w:val="0"/>
        <w:spacing w:line="360" w:lineRule="auto"/>
        <w:ind w:left="497" w:leftChars="0" w:right="0" w:rightChars="0" w:firstLine="0" w:firstLineChars="0"/>
        <w:textAlignment w:val="auto"/>
        <w:rPr>
          <w:rFonts w:hint="eastAsia" w:ascii="宋体" w:hAnsi="宋体" w:cs="宋体"/>
          <w:b/>
          <w:bCs w:val="0"/>
          <w:spacing w:val="2"/>
          <w:sz w:val="24"/>
          <w:szCs w:val="24"/>
          <w:highlight w:val="none"/>
          <w:lang w:val="en-US" w:eastAsia="zh-CN"/>
        </w:rPr>
      </w:pPr>
      <w:r>
        <w:rPr>
          <w:rFonts w:hint="eastAsia" w:ascii="宋体" w:hAnsi="宋体" w:cs="宋体"/>
          <w:b/>
          <w:bCs w:val="0"/>
          <w:spacing w:val="2"/>
          <w:sz w:val="24"/>
          <w:szCs w:val="24"/>
          <w:highlight w:val="none"/>
          <w:lang w:val="en-US" w:eastAsia="zh-CN"/>
        </w:rPr>
        <w:t>软件功能清单</w:t>
      </w:r>
    </w:p>
    <w:tbl>
      <w:tblPr>
        <w:tblStyle w:val="5"/>
        <w:tblW w:w="936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Layout w:type="fixed"/>
        <w:tblCellMar>
          <w:top w:w="0" w:type="dxa"/>
          <w:left w:w="0" w:type="dxa"/>
          <w:bottom w:w="0" w:type="dxa"/>
          <w:right w:w="0" w:type="dxa"/>
        </w:tblCellMar>
      </w:tblPr>
      <w:tblGrid>
        <w:gridCol w:w="1068"/>
        <w:gridCol w:w="976"/>
        <w:gridCol w:w="1020"/>
        <w:gridCol w:w="1320"/>
        <w:gridCol w:w="1070"/>
        <w:gridCol w:w="992"/>
        <w:gridCol w:w="992"/>
        <w:gridCol w:w="734"/>
        <w:gridCol w:w="1196"/>
      </w:tblGrid>
      <w:tr w14:paraId="6C6D14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0" w:type="dxa"/>
            <w:bottom w:w="0" w:type="dxa"/>
            <w:right w:w="0" w:type="dxa"/>
          </w:tblCellMar>
        </w:tblPrEx>
        <w:trPr>
          <w:trHeight w:val="567" w:hRule="atLeast"/>
          <w:jc w:val="center"/>
        </w:trPr>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B8780">
            <w:pPr>
              <w:pStyle w:val="8"/>
              <w:keepNext w:val="0"/>
              <w:keepLines w:val="0"/>
              <w:pageBreakBefore w:val="0"/>
              <w:widowControl/>
              <w:suppressLineNumbers w:val="0"/>
              <w:kinsoku/>
              <w:wordWrap/>
              <w:overflowPunct/>
              <w:topLinePunct w:val="0"/>
              <w:autoSpaceDE/>
              <w:autoSpaceDN/>
              <w:bidi w:val="0"/>
              <w:adjustRightInd w:val="0"/>
              <w:snapToGrid w:val="0"/>
              <w:spacing w:line="360" w:lineRule="auto"/>
              <w:ind w:firstLine="0" w:firstLineChars="0"/>
              <w:jc w:val="center"/>
              <w:textAlignment w:val="auto"/>
              <w:rPr>
                <w:sz w:val="24"/>
                <w:szCs w:val="24"/>
                <w:highlight w:val="none"/>
                <w:lang w:val="en-US"/>
              </w:rPr>
            </w:pPr>
            <w:r>
              <w:rPr>
                <w:sz w:val="24"/>
                <w:szCs w:val="24"/>
                <w:highlight w:val="none"/>
                <w:lang w:val="en-US"/>
              </w:rPr>
              <w:t>序号</w:t>
            </w:r>
          </w:p>
        </w:tc>
        <w:tc>
          <w:tcPr>
            <w:tcW w:w="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CA3168">
            <w:pPr>
              <w:pStyle w:val="8"/>
              <w:keepNext w:val="0"/>
              <w:keepLines w:val="0"/>
              <w:pageBreakBefore w:val="0"/>
              <w:widowControl/>
              <w:suppressLineNumbers w:val="0"/>
              <w:kinsoku/>
              <w:wordWrap/>
              <w:overflowPunct/>
              <w:topLinePunct w:val="0"/>
              <w:autoSpaceDE/>
              <w:autoSpaceDN/>
              <w:bidi w:val="0"/>
              <w:adjustRightInd w:val="0"/>
              <w:snapToGrid w:val="0"/>
              <w:spacing w:line="360" w:lineRule="auto"/>
              <w:ind w:firstLine="0" w:firstLineChars="0"/>
              <w:jc w:val="center"/>
              <w:textAlignment w:val="auto"/>
              <w:rPr>
                <w:sz w:val="24"/>
                <w:szCs w:val="24"/>
                <w:highlight w:val="none"/>
                <w:lang w:val="en-US"/>
              </w:rPr>
            </w:pPr>
            <w:r>
              <w:rPr>
                <w:sz w:val="24"/>
                <w:szCs w:val="24"/>
                <w:highlight w:val="none"/>
                <w:lang w:val="en-US"/>
              </w:rPr>
              <w:t>名称</w:t>
            </w: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7A765">
            <w:pPr>
              <w:pStyle w:val="8"/>
              <w:keepNext w:val="0"/>
              <w:keepLines w:val="0"/>
              <w:pageBreakBefore w:val="0"/>
              <w:widowControl/>
              <w:suppressLineNumbers w:val="0"/>
              <w:kinsoku/>
              <w:wordWrap/>
              <w:overflowPunct/>
              <w:topLinePunct w:val="0"/>
              <w:autoSpaceDE/>
              <w:autoSpaceDN/>
              <w:bidi w:val="0"/>
              <w:adjustRightInd w:val="0"/>
              <w:snapToGrid w:val="0"/>
              <w:spacing w:line="360" w:lineRule="auto"/>
              <w:ind w:firstLine="0" w:firstLineChars="0"/>
              <w:jc w:val="center"/>
              <w:textAlignment w:val="auto"/>
              <w:rPr>
                <w:rFonts w:hint="default" w:eastAsia="宋体"/>
                <w:sz w:val="24"/>
                <w:szCs w:val="24"/>
                <w:highlight w:val="none"/>
                <w:lang w:val="en-US" w:eastAsia="zh-CN"/>
              </w:rPr>
            </w:pPr>
            <w:r>
              <w:rPr>
                <w:rFonts w:hint="eastAsia"/>
                <w:sz w:val="24"/>
                <w:szCs w:val="24"/>
                <w:highlight w:val="none"/>
                <w:lang w:val="en-US" w:eastAsia="zh-CN"/>
              </w:rPr>
              <w:t>产品功能</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7CDC5">
            <w:pPr>
              <w:pStyle w:val="8"/>
              <w:keepNext w:val="0"/>
              <w:keepLines w:val="0"/>
              <w:pageBreakBefore w:val="0"/>
              <w:widowControl/>
              <w:suppressLineNumbers w:val="0"/>
              <w:kinsoku/>
              <w:wordWrap/>
              <w:overflowPunct/>
              <w:topLinePunct w:val="0"/>
              <w:autoSpaceDE/>
              <w:autoSpaceDN/>
              <w:bidi w:val="0"/>
              <w:adjustRightInd w:val="0"/>
              <w:snapToGrid w:val="0"/>
              <w:spacing w:line="360" w:lineRule="auto"/>
              <w:ind w:firstLine="0" w:firstLineChars="0"/>
              <w:jc w:val="center"/>
              <w:textAlignment w:val="auto"/>
              <w:rPr>
                <w:sz w:val="24"/>
                <w:szCs w:val="24"/>
                <w:highlight w:val="none"/>
                <w:lang w:val="en-US"/>
              </w:rPr>
            </w:pPr>
            <w:r>
              <w:rPr>
                <w:rFonts w:hint="eastAsia"/>
                <w:sz w:val="24"/>
                <w:szCs w:val="24"/>
                <w:highlight w:val="none"/>
                <w:lang w:val="en-US" w:eastAsia="zh-CN"/>
              </w:rPr>
              <w:t>品牌</w:t>
            </w:r>
            <w:r>
              <w:rPr>
                <w:sz w:val="24"/>
                <w:szCs w:val="24"/>
                <w:highlight w:val="none"/>
                <w:lang w:val="en-US"/>
              </w:rPr>
              <w:t>型号</w:t>
            </w: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558D2">
            <w:pPr>
              <w:pStyle w:val="8"/>
              <w:keepNext w:val="0"/>
              <w:keepLines w:val="0"/>
              <w:pageBreakBefore w:val="0"/>
              <w:widowControl/>
              <w:suppressLineNumbers w:val="0"/>
              <w:kinsoku/>
              <w:wordWrap/>
              <w:overflowPunct/>
              <w:topLinePunct w:val="0"/>
              <w:autoSpaceDE/>
              <w:autoSpaceDN/>
              <w:bidi w:val="0"/>
              <w:adjustRightInd w:val="0"/>
              <w:snapToGrid w:val="0"/>
              <w:spacing w:line="360" w:lineRule="auto"/>
              <w:ind w:firstLine="0" w:firstLineChars="0"/>
              <w:jc w:val="center"/>
              <w:textAlignment w:val="auto"/>
              <w:rPr>
                <w:sz w:val="24"/>
                <w:szCs w:val="24"/>
                <w:highlight w:val="none"/>
                <w:lang w:val="en-US"/>
              </w:rPr>
            </w:pPr>
            <w:r>
              <w:rPr>
                <w:sz w:val="24"/>
                <w:szCs w:val="24"/>
                <w:highlight w:val="none"/>
                <w:lang w:val="en-US"/>
              </w:rPr>
              <w:t>生产厂家</w:t>
            </w:r>
          </w:p>
        </w:tc>
        <w:tc>
          <w:tcPr>
            <w:tcW w:w="992" w:type="dxa"/>
            <w:tcBorders>
              <w:top w:val="single" w:color="000000" w:sz="4" w:space="0"/>
              <w:left w:val="single" w:color="000000" w:sz="4" w:space="0"/>
              <w:bottom w:val="single" w:color="000000" w:sz="4" w:space="0"/>
              <w:right w:val="single" w:color="auto" w:sz="4" w:space="0"/>
            </w:tcBorders>
            <w:shd w:val="clear" w:color="auto" w:fill="auto"/>
            <w:vAlign w:val="center"/>
          </w:tcPr>
          <w:p w14:paraId="1054DDFB">
            <w:pPr>
              <w:pStyle w:val="8"/>
              <w:keepNext w:val="0"/>
              <w:keepLines w:val="0"/>
              <w:pageBreakBefore w:val="0"/>
              <w:widowControl/>
              <w:suppressLineNumbers w:val="0"/>
              <w:kinsoku/>
              <w:wordWrap/>
              <w:overflowPunct/>
              <w:topLinePunct w:val="0"/>
              <w:autoSpaceDE/>
              <w:autoSpaceDN/>
              <w:bidi w:val="0"/>
              <w:adjustRightInd w:val="0"/>
              <w:snapToGrid w:val="0"/>
              <w:spacing w:line="360" w:lineRule="auto"/>
              <w:ind w:firstLine="0" w:firstLineChars="0"/>
              <w:jc w:val="center"/>
              <w:textAlignment w:val="auto"/>
              <w:rPr>
                <w:sz w:val="24"/>
                <w:szCs w:val="24"/>
                <w:highlight w:val="none"/>
                <w:lang w:val="en-US"/>
              </w:rPr>
            </w:pPr>
            <w:r>
              <w:rPr>
                <w:sz w:val="24"/>
                <w:szCs w:val="24"/>
                <w:highlight w:val="none"/>
                <w:lang w:val="en-US"/>
              </w:rPr>
              <w:t>数量</w:t>
            </w:r>
          </w:p>
        </w:tc>
        <w:tc>
          <w:tcPr>
            <w:tcW w:w="992" w:type="dxa"/>
            <w:tcBorders>
              <w:top w:val="single" w:color="000000" w:sz="4" w:space="0"/>
              <w:left w:val="single" w:color="auto" w:sz="4" w:space="0"/>
              <w:bottom w:val="single" w:color="000000" w:sz="4" w:space="0"/>
              <w:right w:val="single" w:color="000000" w:sz="4" w:space="0"/>
            </w:tcBorders>
            <w:shd w:val="clear" w:color="auto" w:fill="auto"/>
            <w:vAlign w:val="center"/>
          </w:tcPr>
          <w:p w14:paraId="7851945E">
            <w:pPr>
              <w:pStyle w:val="8"/>
              <w:keepNext w:val="0"/>
              <w:keepLines w:val="0"/>
              <w:pageBreakBefore w:val="0"/>
              <w:widowControl/>
              <w:suppressLineNumbers w:val="0"/>
              <w:kinsoku/>
              <w:wordWrap/>
              <w:overflowPunct/>
              <w:topLinePunct w:val="0"/>
              <w:autoSpaceDE/>
              <w:autoSpaceDN/>
              <w:bidi w:val="0"/>
              <w:adjustRightInd w:val="0"/>
              <w:snapToGrid w:val="0"/>
              <w:spacing w:line="360" w:lineRule="auto"/>
              <w:ind w:firstLine="0" w:firstLineChars="0"/>
              <w:jc w:val="center"/>
              <w:textAlignment w:val="auto"/>
              <w:rPr>
                <w:sz w:val="24"/>
                <w:szCs w:val="24"/>
                <w:highlight w:val="none"/>
                <w:lang w:val="en-US"/>
              </w:rPr>
            </w:pPr>
            <w:r>
              <w:rPr>
                <w:sz w:val="24"/>
                <w:szCs w:val="24"/>
                <w:highlight w:val="none"/>
                <w:lang w:val="en-US"/>
              </w:rPr>
              <w:t>单位</w:t>
            </w: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C304E7">
            <w:pPr>
              <w:pStyle w:val="8"/>
              <w:keepNext w:val="0"/>
              <w:keepLines w:val="0"/>
              <w:pageBreakBefore w:val="0"/>
              <w:widowControl/>
              <w:suppressLineNumbers w:val="0"/>
              <w:kinsoku/>
              <w:wordWrap/>
              <w:overflowPunct/>
              <w:topLinePunct w:val="0"/>
              <w:autoSpaceDE/>
              <w:autoSpaceDN/>
              <w:bidi w:val="0"/>
              <w:adjustRightInd w:val="0"/>
              <w:snapToGrid w:val="0"/>
              <w:spacing w:line="360" w:lineRule="auto"/>
              <w:ind w:firstLine="0" w:firstLineChars="0"/>
              <w:jc w:val="center"/>
              <w:textAlignment w:val="auto"/>
              <w:rPr>
                <w:sz w:val="24"/>
                <w:szCs w:val="24"/>
                <w:highlight w:val="none"/>
                <w:lang w:val="en-US"/>
              </w:rPr>
            </w:pPr>
            <w:r>
              <w:rPr>
                <w:sz w:val="24"/>
                <w:szCs w:val="24"/>
                <w:highlight w:val="none"/>
                <w:lang w:val="en-US"/>
              </w:rPr>
              <w:t>单价</w:t>
            </w: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912D04">
            <w:pPr>
              <w:pStyle w:val="8"/>
              <w:keepNext w:val="0"/>
              <w:keepLines w:val="0"/>
              <w:pageBreakBefore w:val="0"/>
              <w:widowControl/>
              <w:suppressLineNumbers w:val="0"/>
              <w:kinsoku/>
              <w:wordWrap/>
              <w:overflowPunct/>
              <w:topLinePunct w:val="0"/>
              <w:autoSpaceDE/>
              <w:autoSpaceDN/>
              <w:bidi w:val="0"/>
              <w:adjustRightInd w:val="0"/>
              <w:snapToGrid w:val="0"/>
              <w:spacing w:line="360" w:lineRule="auto"/>
              <w:ind w:firstLine="0" w:firstLineChars="0"/>
              <w:jc w:val="center"/>
              <w:textAlignment w:val="auto"/>
              <w:rPr>
                <w:sz w:val="24"/>
                <w:szCs w:val="24"/>
                <w:highlight w:val="none"/>
                <w:lang w:val="en-US"/>
              </w:rPr>
            </w:pPr>
            <w:r>
              <w:rPr>
                <w:sz w:val="24"/>
                <w:szCs w:val="24"/>
                <w:highlight w:val="none"/>
                <w:lang w:val="en-US"/>
              </w:rPr>
              <w:t>总价</w:t>
            </w:r>
          </w:p>
        </w:tc>
      </w:tr>
      <w:tr w14:paraId="0E738B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09729">
            <w:pPr>
              <w:pStyle w:val="8"/>
              <w:keepNext w:val="0"/>
              <w:keepLines w:val="0"/>
              <w:pageBreakBefore w:val="0"/>
              <w:widowControl/>
              <w:suppressLineNumbers w:val="0"/>
              <w:kinsoku/>
              <w:wordWrap/>
              <w:overflowPunct/>
              <w:topLinePunct w:val="0"/>
              <w:autoSpaceDE/>
              <w:autoSpaceDN/>
              <w:bidi w:val="0"/>
              <w:adjustRightInd w:val="0"/>
              <w:snapToGrid w:val="0"/>
              <w:spacing w:line="360" w:lineRule="auto"/>
              <w:ind w:firstLine="0" w:firstLineChars="0"/>
              <w:jc w:val="center"/>
              <w:textAlignment w:val="auto"/>
              <w:rPr>
                <w:sz w:val="24"/>
                <w:szCs w:val="24"/>
                <w:highlight w:val="none"/>
              </w:rPr>
            </w:pPr>
            <w:r>
              <w:rPr>
                <w:sz w:val="24"/>
                <w:szCs w:val="24"/>
                <w:highlight w:val="none"/>
              </w:rPr>
              <w:t>1</w:t>
            </w:r>
          </w:p>
        </w:tc>
        <w:tc>
          <w:tcPr>
            <w:tcW w:w="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9DFB2">
            <w:pPr>
              <w:pStyle w:val="8"/>
              <w:keepNext w:val="0"/>
              <w:keepLines w:val="0"/>
              <w:pageBreakBefore w:val="0"/>
              <w:widowControl/>
              <w:suppressLineNumbers w:val="0"/>
              <w:kinsoku/>
              <w:wordWrap/>
              <w:overflowPunct/>
              <w:topLinePunct w:val="0"/>
              <w:autoSpaceDE/>
              <w:autoSpaceDN/>
              <w:bidi w:val="0"/>
              <w:adjustRightInd w:val="0"/>
              <w:snapToGrid w:val="0"/>
              <w:spacing w:line="360" w:lineRule="auto"/>
              <w:ind w:left="0" w:firstLine="0" w:firstLineChars="0"/>
              <w:jc w:val="center"/>
              <w:textAlignment w:val="auto"/>
              <w:rPr>
                <w:sz w:val="24"/>
                <w:szCs w:val="24"/>
                <w:highlight w:val="none"/>
              </w:rPr>
            </w:pPr>
          </w:p>
        </w:tc>
        <w:tc>
          <w:tcPr>
            <w:tcW w:w="10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EE893">
            <w:pPr>
              <w:pStyle w:val="8"/>
              <w:keepNext w:val="0"/>
              <w:keepLines w:val="0"/>
              <w:pageBreakBefore w:val="0"/>
              <w:widowControl/>
              <w:suppressLineNumbers w:val="0"/>
              <w:kinsoku/>
              <w:wordWrap/>
              <w:overflowPunct/>
              <w:topLinePunct w:val="0"/>
              <w:autoSpaceDE/>
              <w:autoSpaceDN/>
              <w:bidi w:val="0"/>
              <w:adjustRightInd w:val="0"/>
              <w:snapToGrid w:val="0"/>
              <w:spacing w:line="360" w:lineRule="auto"/>
              <w:ind w:left="0" w:firstLine="0" w:firstLineChars="0"/>
              <w:jc w:val="center"/>
              <w:textAlignment w:val="auto"/>
              <w:rPr>
                <w:sz w:val="24"/>
                <w:szCs w:val="24"/>
                <w:highlight w:val="none"/>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7CF29">
            <w:pPr>
              <w:pStyle w:val="8"/>
              <w:keepNext w:val="0"/>
              <w:keepLines w:val="0"/>
              <w:pageBreakBefore w:val="0"/>
              <w:widowControl/>
              <w:suppressLineNumbers w:val="0"/>
              <w:kinsoku/>
              <w:wordWrap/>
              <w:overflowPunct/>
              <w:topLinePunct w:val="0"/>
              <w:autoSpaceDE/>
              <w:autoSpaceDN/>
              <w:bidi w:val="0"/>
              <w:adjustRightInd w:val="0"/>
              <w:snapToGrid w:val="0"/>
              <w:spacing w:line="360" w:lineRule="auto"/>
              <w:ind w:left="0" w:firstLine="0" w:firstLineChars="0"/>
              <w:jc w:val="center"/>
              <w:textAlignment w:val="auto"/>
              <w:rPr>
                <w:sz w:val="24"/>
                <w:szCs w:val="24"/>
                <w:highlight w:val="none"/>
              </w:rPr>
            </w:pPr>
          </w:p>
        </w:tc>
        <w:tc>
          <w:tcPr>
            <w:tcW w:w="10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08261">
            <w:pPr>
              <w:pStyle w:val="8"/>
              <w:keepNext w:val="0"/>
              <w:keepLines w:val="0"/>
              <w:pageBreakBefore w:val="0"/>
              <w:widowControl/>
              <w:suppressLineNumbers w:val="0"/>
              <w:kinsoku/>
              <w:wordWrap/>
              <w:overflowPunct/>
              <w:topLinePunct w:val="0"/>
              <w:autoSpaceDE/>
              <w:autoSpaceDN/>
              <w:bidi w:val="0"/>
              <w:adjustRightInd w:val="0"/>
              <w:snapToGrid w:val="0"/>
              <w:spacing w:line="360" w:lineRule="auto"/>
              <w:ind w:left="0" w:firstLine="0" w:firstLineChars="0"/>
              <w:jc w:val="center"/>
              <w:textAlignment w:val="auto"/>
              <w:rPr>
                <w:sz w:val="24"/>
                <w:szCs w:val="24"/>
                <w:highlight w:val="none"/>
              </w:rPr>
            </w:pPr>
          </w:p>
        </w:tc>
        <w:tc>
          <w:tcPr>
            <w:tcW w:w="992" w:type="dxa"/>
            <w:tcBorders>
              <w:top w:val="single" w:color="000000" w:sz="4" w:space="0"/>
              <w:left w:val="single" w:color="000000" w:sz="4" w:space="0"/>
              <w:bottom w:val="single" w:color="000000" w:sz="4" w:space="0"/>
              <w:right w:val="single" w:color="auto" w:sz="4" w:space="0"/>
            </w:tcBorders>
            <w:shd w:val="clear" w:color="auto" w:fill="auto"/>
            <w:vAlign w:val="center"/>
          </w:tcPr>
          <w:p w14:paraId="7A0DDC0D">
            <w:pPr>
              <w:pStyle w:val="8"/>
              <w:keepNext w:val="0"/>
              <w:keepLines w:val="0"/>
              <w:pageBreakBefore w:val="0"/>
              <w:widowControl/>
              <w:suppressLineNumbers w:val="0"/>
              <w:kinsoku/>
              <w:wordWrap/>
              <w:overflowPunct/>
              <w:topLinePunct w:val="0"/>
              <w:autoSpaceDE/>
              <w:autoSpaceDN/>
              <w:bidi w:val="0"/>
              <w:adjustRightInd w:val="0"/>
              <w:snapToGrid w:val="0"/>
              <w:spacing w:line="360" w:lineRule="auto"/>
              <w:ind w:left="0" w:firstLine="0" w:firstLineChars="0"/>
              <w:jc w:val="center"/>
              <w:textAlignment w:val="auto"/>
              <w:rPr>
                <w:sz w:val="24"/>
                <w:szCs w:val="24"/>
                <w:highlight w:val="none"/>
              </w:rPr>
            </w:pPr>
          </w:p>
        </w:tc>
        <w:tc>
          <w:tcPr>
            <w:tcW w:w="992" w:type="dxa"/>
            <w:tcBorders>
              <w:top w:val="single" w:color="000000" w:sz="4" w:space="0"/>
              <w:left w:val="single" w:color="auto" w:sz="4" w:space="0"/>
              <w:bottom w:val="single" w:color="000000" w:sz="4" w:space="0"/>
              <w:right w:val="single" w:color="000000" w:sz="4" w:space="0"/>
            </w:tcBorders>
            <w:shd w:val="clear" w:color="auto" w:fill="auto"/>
            <w:vAlign w:val="center"/>
          </w:tcPr>
          <w:p w14:paraId="3D20D762">
            <w:pPr>
              <w:pStyle w:val="8"/>
              <w:keepNext w:val="0"/>
              <w:keepLines w:val="0"/>
              <w:pageBreakBefore w:val="0"/>
              <w:widowControl/>
              <w:suppressLineNumbers w:val="0"/>
              <w:kinsoku/>
              <w:wordWrap/>
              <w:overflowPunct/>
              <w:topLinePunct w:val="0"/>
              <w:autoSpaceDE/>
              <w:autoSpaceDN/>
              <w:bidi w:val="0"/>
              <w:adjustRightInd w:val="0"/>
              <w:snapToGrid w:val="0"/>
              <w:spacing w:line="360" w:lineRule="auto"/>
              <w:ind w:left="0" w:firstLine="0" w:firstLineChars="0"/>
              <w:jc w:val="center"/>
              <w:textAlignment w:val="auto"/>
              <w:rPr>
                <w:sz w:val="24"/>
                <w:szCs w:val="24"/>
                <w:highlight w:val="none"/>
              </w:rPr>
            </w:pPr>
          </w:p>
        </w:tc>
        <w:tc>
          <w:tcPr>
            <w:tcW w:w="73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C242B">
            <w:pPr>
              <w:pStyle w:val="8"/>
              <w:keepNext w:val="0"/>
              <w:keepLines w:val="0"/>
              <w:pageBreakBefore w:val="0"/>
              <w:widowControl/>
              <w:suppressLineNumbers w:val="0"/>
              <w:kinsoku/>
              <w:wordWrap/>
              <w:overflowPunct/>
              <w:topLinePunct w:val="0"/>
              <w:autoSpaceDE/>
              <w:autoSpaceDN/>
              <w:bidi w:val="0"/>
              <w:adjustRightInd w:val="0"/>
              <w:snapToGrid w:val="0"/>
              <w:spacing w:line="360" w:lineRule="auto"/>
              <w:ind w:left="0" w:firstLine="0" w:firstLineChars="0"/>
              <w:jc w:val="center"/>
              <w:textAlignment w:val="auto"/>
              <w:rPr>
                <w:sz w:val="24"/>
                <w:szCs w:val="24"/>
                <w:highlight w:val="none"/>
              </w:rPr>
            </w:pPr>
          </w:p>
        </w:tc>
        <w:tc>
          <w:tcPr>
            <w:tcW w:w="119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8D0E2">
            <w:pPr>
              <w:pStyle w:val="8"/>
              <w:keepNext w:val="0"/>
              <w:keepLines w:val="0"/>
              <w:pageBreakBefore w:val="0"/>
              <w:widowControl/>
              <w:suppressLineNumbers w:val="0"/>
              <w:kinsoku/>
              <w:wordWrap/>
              <w:overflowPunct/>
              <w:topLinePunct w:val="0"/>
              <w:autoSpaceDE/>
              <w:autoSpaceDN/>
              <w:bidi w:val="0"/>
              <w:adjustRightInd w:val="0"/>
              <w:snapToGrid w:val="0"/>
              <w:spacing w:line="360" w:lineRule="auto"/>
              <w:ind w:left="0" w:firstLine="0" w:firstLineChars="0"/>
              <w:jc w:val="center"/>
              <w:textAlignment w:val="auto"/>
              <w:rPr>
                <w:sz w:val="24"/>
                <w:szCs w:val="24"/>
                <w:highlight w:val="none"/>
              </w:rPr>
            </w:pPr>
          </w:p>
        </w:tc>
      </w:tr>
      <w:tr w14:paraId="3FFDB6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7" w:hRule="atLeast"/>
          <w:jc w:val="center"/>
        </w:trPr>
        <w:tc>
          <w:tcPr>
            <w:tcW w:w="10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AC862">
            <w:pPr>
              <w:pStyle w:val="8"/>
              <w:keepNext w:val="0"/>
              <w:keepLines w:val="0"/>
              <w:pageBreakBefore w:val="0"/>
              <w:widowControl/>
              <w:suppressLineNumbers w:val="0"/>
              <w:kinsoku/>
              <w:wordWrap/>
              <w:overflowPunct/>
              <w:topLinePunct w:val="0"/>
              <w:autoSpaceDE/>
              <w:autoSpaceDN/>
              <w:bidi w:val="0"/>
              <w:adjustRightInd w:val="0"/>
              <w:snapToGrid w:val="0"/>
              <w:spacing w:line="360" w:lineRule="auto"/>
              <w:ind w:left="0" w:firstLine="0" w:firstLineChars="0"/>
              <w:jc w:val="center"/>
              <w:textAlignment w:val="auto"/>
              <w:rPr>
                <w:sz w:val="24"/>
                <w:szCs w:val="24"/>
                <w:highlight w:val="none"/>
              </w:rPr>
            </w:pPr>
          </w:p>
        </w:tc>
        <w:tc>
          <w:tcPr>
            <w:tcW w:w="97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AC0F3">
            <w:pPr>
              <w:pStyle w:val="8"/>
              <w:keepNext w:val="0"/>
              <w:keepLines w:val="0"/>
              <w:pageBreakBefore w:val="0"/>
              <w:widowControl/>
              <w:suppressLineNumbers w:val="0"/>
              <w:kinsoku/>
              <w:wordWrap/>
              <w:overflowPunct/>
              <w:topLinePunct w:val="0"/>
              <w:autoSpaceDE/>
              <w:autoSpaceDN/>
              <w:bidi w:val="0"/>
              <w:adjustRightInd w:val="0"/>
              <w:snapToGrid w:val="0"/>
              <w:spacing w:line="360" w:lineRule="auto"/>
              <w:ind w:firstLine="0" w:firstLineChars="0"/>
              <w:jc w:val="center"/>
              <w:textAlignment w:val="auto"/>
              <w:rPr>
                <w:sz w:val="24"/>
                <w:szCs w:val="24"/>
                <w:highlight w:val="none"/>
              </w:rPr>
            </w:pPr>
            <w:r>
              <w:rPr>
                <w:sz w:val="24"/>
                <w:szCs w:val="24"/>
                <w:highlight w:val="none"/>
              </w:rPr>
              <w:t>合计</w:t>
            </w:r>
          </w:p>
        </w:tc>
        <w:tc>
          <w:tcPr>
            <w:tcW w:w="7324"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5E375D3">
            <w:pPr>
              <w:pStyle w:val="8"/>
              <w:keepNext w:val="0"/>
              <w:keepLines w:val="0"/>
              <w:pageBreakBefore w:val="0"/>
              <w:widowControl/>
              <w:suppressLineNumbers w:val="0"/>
              <w:kinsoku/>
              <w:wordWrap/>
              <w:overflowPunct/>
              <w:topLinePunct w:val="0"/>
              <w:autoSpaceDE/>
              <w:autoSpaceDN/>
              <w:bidi w:val="0"/>
              <w:adjustRightInd w:val="0"/>
              <w:snapToGrid w:val="0"/>
              <w:spacing w:line="360" w:lineRule="auto"/>
              <w:ind w:left="0" w:firstLine="0" w:firstLineChars="0"/>
              <w:jc w:val="center"/>
              <w:textAlignment w:val="auto"/>
              <w:rPr>
                <w:sz w:val="24"/>
                <w:szCs w:val="24"/>
                <w:highlight w:val="none"/>
              </w:rPr>
            </w:pPr>
          </w:p>
        </w:tc>
      </w:tr>
    </w:tbl>
    <w:p w14:paraId="556EE1E0">
      <w:pPr>
        <w:pStyle w:val="9"/>
        <w:keepNext w:val="0"/>
        <w:keepLines w:val="0"/>
        <w:pageBreakBefore w:val="0"/>
        <w:widowControl/>
        <w:numPr>
          <w:ilvl w:val="0"/>
          <w:numId w:val="0"/>
        </w:numPr>
        <w:suppressLineNumbers w:val="0"/>
        <w:kinsoku/>
        <w:wordWrap/>
        <w:overflowPunct/>
        <w:topLinePunct w:val="0"/>
        <w:autoSpaceDN/>
        <w:bidi w:val="0"/>
        <w:adjustRightInd w:val="0"/>
        <w:snapToGrid w:val="0"/>
        <w:spacing w:line="360" w:lineRule="auto"/>
        <w:ind w:right="0" w:rightChars="0" w:firstLine="490" w:firstLineChars="200"/>
        <w:textAlignment w:val="auto"/>
        <w:rPr>
          <w:rFonts w:hint="eastAsia" w:ascii="宋体" w:hAnsi="宋体" w:eastAsia="宋体" w:cs="宋体"/>
          <w:bCs/>
          <w:spacing w:val="2"/>
          <w:sz w:val="24"/>
          <w:szCs w:val="24"/>
          <w:highlight w:val="none"/>
          <w:lang w:val="en-US"/>
        </w:rPr>
      </w:pPr>
      <w:r>
        <w:rPr>
          <w:rFonts w:hint="eastAsia" w:ascii="宋体" w:hAnsi="宋体" w:cs="宋体"/>
          <w:b/>
          <w:bCs w:val="0"/>
          <w:spacing w:val="2"/>
          <w:sz w:val="24"/>
          <w:szCs w:val="24"/>
          <w:highlight w:val="none"/>
          <w:lang w:val="en-US" w:eastAsia="zh-CN"/>
        </w:rPr>
        <w:t>三、</w:t>
      </w:r>
      <w:r>
        <w:rPr>
          <w:rFonts w:hint="eastAsia" w:ascii="宋体" w:hAnsi="宋体" w:eastAsia="宋体" w:cs="宋体"/>
          <w:b/>
          <w:bCs w:val="0"/>
          <w:spacing w:val="2"/>
          <w:sz w:val="24"/>
          <w:szCs w:val="24"/>
          <w:highlight w:val="none"/>
          <w:lang w:eastAsia="zh-CN"/>
        </w:rPr>
        <w:t>合同金额</w:t>
      </w:r>
      <w:r>
        <w:rPr>
          <w:rFonts w:hint="eastAsia" w:ascii="宋体" w:hAnsi="宋体" w:eastAsia="宋体" w:cs="宋体"/>
          <w:bCs/>
          <w:spacing w:val="2"/>
          <w:sz w:val="24"/>
          <w:szCs w:val="24"/>
          <w:highlight w:val="none"/>
          <w:lang w:eastAsia="zh-CN"/>
        </w:rPr>
        <w:t>：</w:t>
      </w:r>
      <w:r>
        <w:rPr>
          <w:rFonts w:hint="eastAsia" w:ascii="宋体" w:hAnsi="宋体" w:eastAsia="宋体" w:cs="宋体"/>
          <w:bCs/>
          <w:spacing w:val="2"/>
          <w:sz w:val="24"/>
          <w:szCs w:val="24"/>
          <w:highlight w:val="none"/>
          <w:u w:val="single"/>
          <w:lang w:val="en-US"/>
        </w:rPr>
        <w:t xml:space="preserve">       </w:t>
      </w:r>
      <w:r>
        <w:rPr>
          <w:rFonts w:hint="eastAsia" w:ascii="宋体" w:hAnsi="宋体" w:eastAsia="宋体" w:cs="宋体"/>
          <w:bCs/>
          <w:spacing w:val="2"/>
          <w:sz w:val="24"/>
          <w:szCs w:val="24"/>
          <w:highlight w:val="none"/>
          <w:lang w:eastAsia="zh-CN"/>
        </w:rPr>
        <w:t>元 ，大写：</w:t>
      </w:r>
      <w:r>
        <w:rPr>
          <w:rFonts w:hint="eastAsia" w:ascii="宋体" w:hAnsi="宋体" w:eastAsia="宋体" w:cs="宋体"/>
          <w:bCs/>
          <w:spacing w:val="2"/>
          <w:sz w:val="24"/>
          <w:szCs w:val="24"/>
          <w:highlight w:val="none"/>
          <w:u w:val="single"/>
          <w:lang w:val="en-US"/>
        </w:rPr>
        <w:t xml:space="preserve">      </w:t>
      </w:r>
      <w:r>
        <w:rPr>
          <w:rFonts w:hint="eastAsia" w:ascii="宋体" w:hAnsi="宋体" w:eastAsia="宋体" w:cs="宋体"/>
          <w:bCs/>
          <w:spacing w:val="2"/>
          <w:sz w:val="24"/>
          <w:szCs w:val="24"/>
          <w:highlight w:val="none"/>
          <w:lang w:eastAsia="zh-CN"/>
        </w:rPr>
        <w:t>。上述价格是指乙方货物的交</w:t>
      </w:r>
    </w:p>
    <w:p w14:paraId="79FBD47B">
      <w:pPr>
        <w:pStyle w:val="9"/>
        <w:keepNext w:val="0"/>
        <w:keepLines w:val="0"/>
        <w:pageBreakBefore w:val="0"/>
        <w:widowControl/>
        <w:numPr>
          <w:ilvl w:val="0"/>
          <w:numId w:val="0"/>
        </w:numPr>
        <w:suppressLineNumbers w:val="0"/>
        <w:kinsoku/>
        <w:wordWrap/>
        <w:overflowPunct/>
        <w:topLinePunct w:val="0"/>
        <w:autoSpaceDN/>
        <w:bidi w:val="0"/>
        <w:adjustRightInd w:val="0"/>
        <w:snapToGrid w:val="0"/>
        <w:spacing w:line="360" w:lineRule="auto"/>
        <w:ind w:leftChars="200" w:right="0" w:rightChars="0"/>
        <w:textAlignment w:val="auto"/>
        <w:rPr>
          <w:rFonts w:hint="eastAsia" w:ascii="宋体" w:hAnsi="宋体" w:eastAsia="宋体" w:cs="宋体"/>
          <w:bCs/>
          <w:spacing w:val="2"/>
          <w:sz w:val="24"/>
          <w:szCs w:val="24"/>
          <w:highlight w:val="none"/>
          <w:lang w:val="en-US"/>
        </w:rPr>
      </w:pPr>
      <w:r>
        <w:rPr>
          <w:rFonts w:hint="eastAsia" w:ascii="宋体" w:hAnsi="宋体" w:eastAsia="宋体" w:cs="宋体"/>
          <w:bCs/>
          <w:spacing w:val="2"/>
          <w:sz w:val="24"/>
          <w:szCs w:val="24"/>
          <w:highlight w:val="none"/>
          <w:lang w:eastAsia="zh-CN"/>
        </w:rPr>
        <w:t>货价格，包括</w:t>
      </w:r>
      <w:r>
        <w:rPr>
          <w:rFonts w:hint="eastAsia" w:ascii="宋体" w:hAnsi="宋体" w:cs="宋体"/>
          <w:bCs/>
          <w:spacing w:val="2"/>
          <w:sz w:val="24"/>
          <w:szCs w:val="24"/>
          <w:highlight w:val="none"/>
          <w:lang w:val="en-US" w:eastAsia="zh-CN"/>
        </w:rPr>
        <w:t>产品供应价、运杂费（含仓储费、运费、装卸费、保险费）、安装调试费、培训费、验收费、税金及其他不可预见费用，该总金额为固定价款，不受市场变化影响。</w:t>
      </w:r>
    </w:p>
    <w:p w14:paraId="5562DA82">
      <w:pPr>
        <w:keepNext w:val="0"/>
        <w:keepLines w:val="0"/>
        <w:pageBreakBefore w:val="0"/>
        <w:kinsoku/>
        <w:wordWrap/>
        <w:overflowPunct/>
        <w:topLinePunct w:val="0"/>
        <w:autoSpaceDE/>
        <w:autoSpaceDN/>
        <w:bidi w:val="0"/>
        <w:adjustRightInd w:val="0"/>
        <w:snapToGrid w:val="0"/>
        <w:spacing w:before="0" w:after="0" w:line="360" w:lineRule="auto"/>
        <w:ind w:firstLine="482" w:firstLineChars="200"/>
        <w:jc w:val="left"/>
        <w:textAlignment w:val="auto"/>
        <w:rPr>
          <w:rFonts w:hint="eastAsia" w:ascii="宋体" w:hAnsi="宋体" w:eastAsia="宋体" w:cs="宋体"/>
          <w:b/>
          <w:bCs/>
          <w:kern w:val="2"/>
          <w:sz w:val="24"/>
          <w:szCs w:val="24"/>
          <w:highlight w:val="none"/>
          <w:lang w:val="en-US" w:eastAsia="zh-CN" w:bidi="ar"/>
        </w:rPr>
      </w:pPr>
      <w:r>
        <w:rPr>
          <w:rFonts w:hint="eastAsia" w:ascii="宋体" w:hAnsi="宋体" w:eastAsia="宋体" w:cs="宋体"/>
          <w:b/>
          <w:bCs/>
          <w:kern w:val="2"/>
          <w:sz w:val="24"/>
          <w:szCs w:val="24"/>
          <w:highlight w:val="none"/>
          <w:lang w:val="en-US" w:eastAsia="zh-CN" w:bidi="ar"/>
        </w:rPr>
        <w:t>四、付款方式：</w:t>
      </w:r>
    </w:p>
    <w:p w14:paraId="6914A6B6">
      <w:pPr>
        <w:keepNext w:val="0"/>
        <w:keepLines w:val="0"/>
        <w:pageBreakBefore w:val="0"/>
        <w:kinsoku/>
        <w:wordWrap/>
        <w:overflowPunct/>
        <w:topLinePunct w:val="0"/>
        <w:autoSpaceDE/>
        <w:autoSpaceDN/>
        <w:bidi w:val="0"/>
        <w:adjustRightInd w:val="0"/>
        <w:snapToGrid w:val="0"/>
        <w:spacing w:before="0" w:after="0" w:line="360" w:lineRule="auto"/>
        <w:ind w:firstLine="480" w:firstLineChars="200"/>
        <w:jc w:val="left"/>
        <w:textAlignment w:val="auto"/>
        <w:rPr>
          <w:rFonts w:hint="eastAsia" w:ascii="宋体" w:hAnsi="宋体" w:eastAsia="宋体" w:cs="宋体"/>
          <w:kern w:val="2"/>
          <w:sz w:val="24"/>
          <w:szCs w:val="24"/>
          <w:highlight w:val="none"/>
          <w:lang w:val="en-US" w:eastAsia="zh-CN" w:bidi="ar"/>
        </w:rPr>
      </w:pPr>
      <w:r>
        <w:rPr>
          <w:rFonts w:hint="eastAsia" w:ascii="宋体" w:hAnsi="宋体" w:eastAsia="宋体" w:cs="宋体"/>
          <w:kern w:val="2"/>
          <w:sz w:val="24"/>
          <w:szCs w:val="24"/>
          <w:highlight w:val="none"/>
          <w:lang w:val="en-US" w:eastAsia="zh-CN" w:bidi="ar"/>
        </w:rPr>
        <w:t>1.验收合格后一个月后支付合同款的60%。</w:t>
      </w:r>
    </w:p>
    <w:p w14:paraId="2D156F2C">
      <w:pPr>
        <w:keepNext w:val="0"/>
        <w:keepLines w:val="0"/>
        <w:pageBreakBefore w:val="0"/>
        <w:kinsoku/>
        <w:wordWrap/>
        <w:overflowPunct/>
        <w:topLinePunct w:val="0"/>
        <w:autoSpaceDE/>
        <w:autoSpaceDN/>
        <w:bidi w:val="0"/>
        <w:adjustRightInd w:val="0"/>
        <w:snapToGrid w:val="0"/>
        <w:spacing w:before="0" w:after="0" w:line="360" w:lineRule="auto"/>
        <w:ind w:firstLine="480" w:firstLineChars="200"/>
        <w:jc w:val="left"/>
        <w:textAlignment w:val="auto"/>
        <w:rPr>
          <w:rFonts w:hint="eastAsia" w:ascii="宋体" w:hAnsi="宋体" w:eastAsia="宋体" w:cs="宋体"/>
          <w:kern w:val="2"/>
          <w:sz w:val="24"/>
          <w:szCs w:val="24"/>
          <w:highlight w:val="none"/>
          <w:lang w:val="en-US" w:eastAsia="zh-CN" w:bidi="ar"/>
        </w:rPr>
      </w:pPr>
      <w:r>
        <w:rPr>
          <w:rFonts w:hint="eastAsia" w:ascii="宋体" w:hAnsi="宋体" w:eastAsia="宋体" w:cs="宋体"/>
          <w:kern w:val="2"/>
          <w:sz w:val="24"/>
          <w:szCs w:val="24"/>
          <w:highlight w:val="none"/>
          <w:lang w:val="en-US" w:eastAsia="zh-CN" w:bidi="ar"/>
        </w:rPr>
        <w:t>2.验收合格后一年后支付合同款的30%。</w:t>
      </w:r>
    </w:p>
    <w:p w14:paraId="6DE6B0BF">
      <w:pPr>
        <w:keepNext w:val="0"/>
        <w:keepLines w:val="0"/>
        <w:pageBreakBefore w:val="0"/>
        <w:kinsoku/>
        <w:wordWrap/>
        <w:overflowPunct/>
        <w:topLinePunct w:val="0"/>
        <w:autoSpaceDE/>
        <w:autoSpaceDN/>
        <w:bidi w:val="0"/>
        <w:adjustRightInd w:val="0"/>
        <w:snapToGrid w:val="0"/>
        <w:spacing w:before="0" w:after="0" w:line="360" w:lineRule="auto"/>
        <w:ind w:firstLine="480" w:firstLineChars="200"/>
        <w:jc w:val="left"/>
        <w:textAlignment w:val="auto"/>
        <w:rPr>
          <w:rFonts w:hint="eastAsia" w:ascii="宋体" w:hAnsi="宋体" w:eastAsia="宋体" w:cs="宋体"/>
          <w:kern w:val="2"/>
          <w:sz w:val="24"/>
          <w:szCs w:val="24"/>
          <w:highlight w:val="none"/>
          <w:lang w:val="en-US" w:eastAsia="zh-CN" w:bidi="ar"/>
        </w:rPr>
      </w:pPr>
      <w:r>
        <w:rPr>
          <w:rFonts w:hint="eastAsia" w:ascii="宋体" w:hAnsi="宋体" w:eastAsia="宋体" w:cs="宋体"/>
          <w:kern w:val="2"/>
          <w:sz w:val="24"/>
          <w:szCs w:val="24"/>
          <w:highlight w:val="none"/>
          <w:lang w:val="en-US" w:eastAsia="zh-CN" w:bidi="ar"/>
        </w:rPr>
        <w:t>3.验收合格、正常使用满五年后支付10%。</w:t>
      </w:r>
    </w:p>
    <w:p w14:paraId="6C2A24F0">
      <w:pPr>
        <w:keepNext w:val="0"/>
        <w:keepLines w:val="0"/>
        <w:pageBreakBefore w:val="0"/>
        <w:kinsoku/>
        <w:wordWrap/>
        <w:overflowPunct/>
        <w:topLinePunct w:val="0"/>
        <w:autoSpaceDE/>
        <w:autoSpaceDN/>
        <w:bidi w:val="0"/>
        <w:adjustRightInd w:val="0"/>
        <w:snapToGrid w:val="0"/>
        <w:spacing w:before="0" w:after="0" w:line="360" w:lineRule="auto"/>
        <w:ind w:firstLine="480" w:firstLineChars="200"/>
        <w:jc w:val="left"/>
        <w:textAlignment w:val="auto"/>
        <w:rPr>
          <w:rFonts w:hint="eastAsia" w:ascii="宋体" w:hAnsi="宋体" w:eastAsia="宋体" w:cs="宋体"/>
          <w:kern w:val="2"/>
          <w:sz w:val="24"/>
          <w:szCs w:val="24"/>
          <w:highlight w:val="none"/>
          <w:lang w:val="en-US" w:eastAsia="zh-CN" w:bidi="ar"/>
        </w:rPr>
      </w:pPr>
      <w:r>
        <w:rPr>
          <w:rFonts w:hint="eastAsia" w:ascii="宋体" w:hAnsi="宋体" w:eastAsia="宋体" w:cs="宋体"/>
          <w:kern w:val="2"/>
          <w:sz w:val="24"/>
          <w:szCs w:val="24"/>
          <w:highlight w:val="none"/>
          <w:lang w:val="en-US" w:eastAsia="zh-CN" w:bidi="ar"/>
        </w:rPr>
        <w:t>4.乙方需在甲方付款前向甲方开具全额的增值税普通发票。</w:t>
      </w:r>
    </w:p>
    <w:p w14:paraId="14CBC825">
      <w:pPr>
        <w:keepNext w:val="0"/>
        <w:keepLines w:val="0"/>
        <w:pageBreakBefore w:val="0"/>
        <w:kinsoku/>
        <w:wordWrap/>
        <w:overflowPunct/>
        <w:topLinePunct w:val="0"/>
        <w:autoSpaceDE/>
        <w:autoSpaceDN/>
        <w:bidi w:val="0"/>
        <w:adjustRightInd w:val="0"/>
        <w:snapToGrid w:val="0"/>
        <w:spacing w:before="0" w:after="0" w:line="360" w:lineRule="auto"/>
        <w:ind w:firstLine="480" w:firstLineChars="200"/>
        <w:jc w:val="left"/>
        <w:textAlignment w:val="auto"/>
        <w:rPr>
          <w:rFonts w:hint="eastAsia" w:ascii="宋体" w:hAnsi="宋体" w:eastAsia="宋体" w:cs="宋体"/>
          <w:kern w:val="2"/>
          <w:sz w:val="24"/>
          <w:szCs w:val="24"/>
          <w:highlight w:val="none"/>
          <w:lang w:val="en-US" w:eastAsia="zh-CN" w:bidi="ar"/>
        </w:rPr>
      </w:pPr>
      <w:r>
        <w:rPr>
          <w:rFonts w:hint="eastAsia" w:ascii="宋体" w:hAnsi="宋体" w:eastAsia="宋体" w:cs="宋体"/>
          <w:kern w:val="2"/>
          <w:sz w:val="24"/>
          <w:szCs w:val="24"/>
          <w:highlight w:val="none"/>
          <w:lang w:val="en-US" w:eastAsia="zh-CN" w:bidi="ar"/>
        </w:rPr>
        <w:t>5.甲方通过银行转账的方式向乙方支付协议款项，乙方提供银行账号。</w:t>
      </w:r>
    </w:p>
    <w:p w14:paraId="1710A3E2">
      <w:pPr>
        <w:keepNext w:val="0"/>
        <w:keepLines w:val="0"/>
        <w:pageBreakBefore w:val="0"/>
        <w:kinsoku/>
        <w:wordWrap/>
        <w:overflowPunct/>
        <w:topLinePunct w:val="0"/>
        <w:autoSpaceDE/>
        <w:autoSpaceDN/>
        <w:bidi w:val="0"/>
        <w:adjustRightInd w:val="0"/>
        <w:snapToGrid w:val="0"/>
        <w:spacing w:before="0" w:after="0" w:line="360" w:lineRule="auto"/>
        <w:ind w:firstLine="480" w:firstLineChars="200"/>
        <w:jc w:val="left"/>
        <w:textAlignment w:val="auto"/>
        <w:rPr>
          <w:rFonts w:hint="eastAsia" w:ascii="宋体" w:hAnsi="宋体" w:eastAsia="宋体" w:cs="宋体"/>
          <w:kern w:val="2"/>
          <w:sz w:val="24"/>
          <w:szCs w:val="24"/>
          <w:highlight w:val="none"/>
          <w:lang w:val="en-US" w:eastAsia="zh-CN" w:bidi="ar"/>
        </w:rPr>
      </w:pPr>
      <w:r>
        <w:rPr>
          <w:rFonts w:hint="eastAsia" w:ascii="宋体" w:hAnsi="宋体" w:eastAsia="宋体" w:cs="宋体"/>
          <w:kern w:val="2"/>
          <w:sz w:val="24"/>
          <w:szCs w:val="24"/>
          <w:highlight w:val="none"/>
          <w:lang w:val="en-US" w:eastAsia="zh-CN" w:bidi="ar"/>
        </w:rPr>
        <w:t>6.支付方式：银行转账。</w:t>
      </w:r>
    </w:p>
    <w:p w14:paraId="5941D2A5">
      <w:pPr>
        <w:pStyle w:val="9"/>
        <w:keepNext w:val="0"/>
        <w:keepLines w:val="0"/>
        <w:pageBreakBefore w:val="0"/>
        <w:widowControl/>
        <w:suppressLineNumbers w:val="0"/>
        <w:kinsoku/>
        <w:wordWrap/>
        <w:overflowPunct/>
        <w:topLinePunct w:val="0"/>
        <w:autoSpaceDE/>
        <w:autoSpaceDN/>
        <w:bidi w:val="0"/>
        <w:adjustRightInd w:val="0"/>
        <w:snapToGrid w:val="0"/>
        <w:spacing w:before="0" w:after="0" w:line="360" w:lineRule="auto"/>
        <w:ind w:left="0" w:firstLine="490" w:firstLineChars="200"/>
        <w:textAlignment w:val="auto"/>
        <w:rPr>
          <w:rFonts w:hint="eastAsia" w:ascii="宋体" w:hAnsi="宋体" w:eastAsia="宋体" w:cs="宋体"/>
          <w:b w:val="0"/>
          <w:bCs/>
          <w:spacing w:val="2"/>
          <w:sz w:val="24"/>
          <w:szCs w:val="24"/>
          <w:highlight w:val="none"/>
          <w:lang w:val="en-US"/>
        </w:rPr>
      </w:pPr>
      <w:r>
        <w:rPr>
          <w:rFonts w:hint="eastAsia" w:ascii="宋体" w:hAnsi="宋体" w:cs="宋体"/>
          <w:b/>
          <w:bCs w:val="0"/>
          <w:spacing w:val="2"/>
          <w:sz w:val="24"/>
          <w:szCs w:val="24"/>
          <w:highlight w:val="none"/>
          <w:lang w:val="en-US" w:eastAsia="zh-CN"/>
        </w:rPr>
        <w:t>五、</w:t>
      </w:r>
      <w:r>
        <w:rPr>
          <w:rFonts w:hint="eastAsia" w:ascii="宋体" w:hAnsi="宋体" w:eastAsia="宋体" w:cs="宋体"/>
          <w:b/>
          <w:bCs w:val="0"/>
          <w:spacing w:val="2"/>
          <w:sz w:val="24"/>
          <w:szCs w:val="24"/>
          <w:highlight w:val="none"/>
          <w:lang w:eastAsia="zh-CN"/>
        </w:rPr>
        <w:t>交货期：</w:t>
      </w:r>
      <w:r>
        <w:rPr>
          <w:rFonts w:hint="eastAsia" w:ascii="宋体" w:hAnsi="宋体" w:eastAsia="宋体" w:cs="宋体"/>
          <w:b w:val="0"/>
          <w:bCs/>
          <w:spacing w:val="2"/>
          <w:sz w:val="24"/>
          <w:szCs w:val="24"/>
          <w:highlight w:val="none"/>
          <w:lang w:eastAsia="zh-CN"/>
        </w:rPr>
        <w:t>自合同签订之日起</w:t>
      </w:r>
      <w:r>
        <w:rPr>
          <w:rFonts w:hint="eastAsia" w:ascii="宋体" w:hAnsi="宋体" w:cs="宋体"/>
          <w:b w:val="0"/>
          <w:bCs/>
          <w:spacing w:val="2"/>
          <w:sz w:val="24"/>
          <w:szCs w:val="24"/>
          <w:highlight w:val="none"/>
          <w:u w:val="single"/>
          <w:lang w:val="en-US" w:eastAsia="zh-CN"/>
        </w:rPr>
        <w:t xml:space="preserve">     </w:t>
      </w:r>
      <w:r>
        <w:rPr>
          <w:rFonts w:hint="eastAsia" w:ascii="宋体" w:hAnsi="宋体" w:eastAsia="宋体" w:cs="宋体"/>
          <w:b w:val="0"/>
          <w:bCs/>
          <w:spacing w:val="2"/>
          <w:sz w:val="24"/>
          <w:szCs w:val="24"/>
          <w:highlight w:val="none"/>
          <w:lang w:eastAsia="zh-CN"/>
        </w:rPr>
        <w:t>个日历日内完成</w:t>
      </w:r>
      <w:r>
        <w:rPr>
          <w:rFonts w:hint="eastAsia" w:ascii="宋体" w:hAnsi="宋体" w:cs="宋体"/>
          <w:b w:val="0"/>
          <w:bCs/>
          <w:spacing w:val="2"/>
          <w:sz w:val="24"/>
          <w:szCs w:val="24"/>
          <w:highlight w:val="none"/>
          <w:lang w:eastAsia="zh-CN"/>
        </w:rPr>
        <w:t>。</w:t>
      </w:r>
    </w:p>
    <w:p w14:paraId="0BC88BF5">
      <w:pPr>
        <w:pStyle w:val="9"/>
        <w:keepNext w:val="0"/>
        <w:keepLines w:val="0"/>
        <w:pageBreakBefore w:val="0"/>
        <w:widowControl/>
        <w:suppressLineNumbers w:val="0"/>
        <w:kinsoku/>
        <w:wordWrap/>
        <w:overflowPunct/>
        <w:topLinePunct w:val="0"/>
        <w:autoSpaceDE/>
        <w:autoSpaceDN/>
        <w:bidi w:val="0"/>
        <w:adjustRightInd w:val="0"/>
        <w:snapToGrid w:val="0"/>
        <w:spacing w:before="0" w:after="0" w:line="360" w:lineRule="auto"/>
        <w:ind w:left="0" w:firstLine="490" w:firstLineChars="200"/>
        <w:textAlignment w:val="auto"/>
        <w:rPr>
          <w:rFonts w:hint="eastAsia" w:ascii="宋体" w:hAnsi="宋体" w:cs="宋体"/>
          <w:b w:val="0"/>
          <w:bCs/>
          <w:spacing w:val="2"/>
          <w:sz w:val="24"/>
          <w:szCs w:val="24"/>
          <w:highlight w:val="none"/>
          <w:lang w:eastAsia="zh-CN"/>
        </w:rPr>
      </w:pPr>
      <w:r>
        <w:rPr>
          <w:rFonts w:hint="eastAsia" w:ascii="宋体" w:hAnsi="宋体" w:cs="宋体"/>
          <w:b/>
          <w:bCs w:val="0"/>
          <w:spacing w:val="2"/>
          <w:sz w:val="24"/>
          <w:szCs w:val="24"/>
          <w:highlight w:val="none"/>
          <w:lang w:val="en-US" w:eastAsia="zh-CN"/>
        </w:rPr>
        <w:t>六</w:t>
      </w:r>
      <w:r>
        <w:rPr>
          <w:rFonts w:hint="eastAsia" w:ascii="宋体" w:hAnsi="宋体" w:eastAsia="宋体" w:cs="宋体"/>
          <w:b/>
          <w:bCs w:val="0"/>
          <w:spacing w:val="2"/>
          <w:sz w:val="24"/>
          <w:szCs w:val="24"/>
          <w:highlight w:val="none"/>
          <w:lang w:eastAsia="zh-CN"/>
        </w:rPr>
        <w:t>、交货地点</w:t>
      </w:r>
      <w:r>
        <w:rPr>
          <w:rFonts w:hint="eastAsia" w:ascii="宋体" w:hAnsi="宋体" w:eastAsia="宋体" w:cs="宋体"/>
          <w:b w:val="0"/>
          <w:bCs/>
          <w:spacing w:val="2"/>
          <w:sz w:val="24"/>
          <w:szCs w:val="24"/>
          <w:highlight w:val="none"/>
          <w:lang w:eastAsia="zh-CN"/>
        </w:rPr>
        <w:t>：</w:t>
      </w:r>
      <w:r>
        <w:rPr>
          <w:rFonts w:hint="eastAsia" w:ascii="宋体" w:hAnsi="宋体" w:cs="宋体"/>
          <w:b w:val="0"/>
          <w:bCs/>
          <w:spacing w:val="2"/>
          <w:sz w:val="24"/>
          <w:szCs w:val="24"/>
          <w:highlight w:val="none"/>
          <w:lang w:val="en-US" w:eastAsia="zh-CN"/>
        </w:rPr>
        <w:t>陕西中医药大学附属</w:t>
      </w:r>
      <w:r>
        <w:rPr>
          <w:rFonts w:hint="eastAsia" w:ascii="宋体" w:hAnsi="宋体" w:cs="宋体"/>
          <w:b w:val="0"/>
          <w:bCs/>
          <w:spacing w:val="2"/>
          <w:sz w:val="24"/>
          <w:szCs w:val="24"/>
          <w:highlight w:val="none"/>
          <w:lang w:eastAsia="zh-CN"/>
        </w:rPr>
        <w:t>医院</w:t>
      </w:r>
    </w:p>
    <w:p w14:paraId="09520438">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90" w:firstLineChars="200"/>
        <w:textAlignment w:val="auto"/>
        <w:rPr>
          <w:rFonts w:hint="eastAsia" w:ascii="宋体" w:hAnsi="宋体" w:eastAsia="宋体" w:cs="宋体"/>
          <w:b w:val="0"/>
          <w:bCs/>
          <w:spacing w:val="2"/>
          <w:sz w:val="24"/>
          <w:szCs w:val="24"/>
          <w:highlight w:val="none"/>
          <w:lang w:val="en-US"/>
        </w:rPr>
      </w:pPr>
      <w:r>
        <w:rPr>
          <w:rFonts w:hint="eastAsia" w:ascii="宋体" w:hAnsi="宋体" w:cs="宋体"/>
          <w:b/>
          <w:bCs w:val="0"/>
          <w:spacing w:val="2"/>
          <w:sz w:val="24"/>
          <w:szCs w:val="24"/>
          <w:highlight w:val="none"/>
          <w:lang w:val="en-US" w:eastAsia="zh-CN"/>
        </w:rPr>
        <w:t>七</w:t>
      </w:r>
      <w:r>
        <w:rPr>
          <w:rFonts w:hint="eastAsia" w:ascii="宋体" w:hAnsi="宋体" w:eastAsia="宋体" w:cs="宋体"/>
          <w:b/>
          <w:bCs w:val="0"/>
          <w:spacing w:val="2"/>
          <w:sz w:val="24"/>
          <w:szCs w:val="24"/>
          <w:highlight w:val="none"/>
          <w:lang w:eastAsia="zh-CN"/>
        </w:rPr>
        <w:t>、</w:t>
      </w:r>
      <w:r>
        <w:rPr>
          <w:rFonts w:hint="eastAsia" w:ascii="宋体" w:hAnsi="宋体" w:cs="宋体"/>
          <w:b/>
          <w:bCs w:val="0"/>
          <w:spacing w:val="2"/>
          <w:sz w:val="24"/>
          <w:szCs w:val="24"/>
          <w:highlight w:val="none"/>
          <w:lang w:eastAsia="zh-CN"/>
        </w:rPr>
        <w:t>质量保证</w:t>
      </w:r>
      <w:r>
        <w:rPr>
          <w:rFonts w:hint="eastAsia" w:ascii="宋体" w:hAnsi="宋体" w:eastAsia="宋体" w:cs="宋体"/>
          <w:b/>
          <w:bCs w:val="0"/>
          <w:spacing w:val="2"/>
          <w:sz w:val="24"/>
          <w:szCs w:val="24"/>
          <w:highlight w:val="none"/>
          <w:lang w:eastAsia="zh-CN"/>
        </w:rPr>
        <w:t>期：</w:t>
      </w:r>
      <w:r>
        <w:rPr>
          <w:rFonts w:hint="eastAsia" w:ascii="宋体" w:hAnsi="宋体" w:eastAsia="宋体" w:cs="宋体"/>
          <w:b w:val="0"/>
          <w:bCs/>
          <w:spacing w:val="2"/>
          <w:sz w:val="24"/>
          <w:szCs w:val="24"/>
          <w:highlight w:val="none"/>
          <w:lang w:eastAsia="zh-CN"/>
        </w:rPr>
        <w:t>自验收合格之日起</w:t>
      </w:r>
      <w:r>
        <w:rPr>
          <w:rFonts w:hint="eastAsia" w:ascii="宋体" w:hAnsi="宋体" w:cs="宋体"/>
          <w:b w:val="0"/>
          <w:bCs/>
          <w:spacing w:val="2"/>
          <w:sz w:val="24"/>
          <w:szCs w:val="24"/>
          <w:highlight w:val="none"/>
          <w:u w:val="single"/>
          <w:lang w:val="en-US" w:eastAsia="zh-CN"/>
        </w:rPr>
        <w:t xml:space="preserve">   </w:t>
      </w:r>
      <w:r>
        <w:rPr>
          <w:rFonts w:hint="eastAsia" w:ascii="宋体" w:hAnsi="宋体" w:eastAsia="宋体" w:cs="宋体"/>
          <w:b w:val="0"/>
          <w:bCs/>
          <w:spacing w:val="2"/>
          <w:sz w:val="24"/>
          <w:szCs w:val="24"/>
          <w:highlight w:val="none"/>
          <w:lang w:eastAsia="zh-CN"/>
        </w:rPr>
        <w:t>年；。</w:t>
      </w:r>
    </w:p>
    <w:p w14:paraId="6A143F39">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90" w:firstLineChars="200"/>
        <w:textAlignment w:val="auto"/>
        <w:rPr>
          <w:rFonts w:hint="eastAsia" w:ascii="宋体" w:hAnsi="宋体" w:eastAsia="宋体" w:cs="宋体"/>
          <w:b/>
          <w:bCs w:val="0"/>
          <w:spacing w:val="2"/>
          <w:sz w:val="24"/>
          <w:szCs w:val="24"/>
          <w:highlight w:val="none"/>
          <w:lang w:val="en-US"/>
        </w:rPr>
      </w:pPr>
      <w:r>
        <w:rPr>
          <w:rFonts w:hint="eastAsia" w:ascii="宋体" w:hAnsi="宋体" w:cs="宋体"/>
          <w:b/>
          <w:bCs w:val="0"/>
          <w:spacing w:val="2"/>
          <w:sz w:val="24"/>
          <w:szCs w:val="24"/>
          <w:highlight w:val="none"/>
          <w:lang w:val="en-US" w:eastAsia="zh-CN"/>
        </w:rPr>
        <w:t>八</w:t>
      </w:r>
      <w:r>
        <w:rPr>
          <w:rFonts w:hint="eastAsia" w:ascii="宋体" w:hAnsi="宋体" w:eastAsia="宋体" w:cs="宋体"/>
          <w:b/>
          <w:bCs w:val="0"/>
          <w:spacing w:val="2"/>
          <w:sz w:val="24"/>
          <w:szCs w:val="24"/>
          <w:highlight w:val="none"/>
          <w:lang w:eastAsia="zh-CN"/>
        </w:rPr>
        <w:t>、验收标准：</w:t>
      </w:r>
    </w:p>
    <w:p w14:paraId="60C5EC4C">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80" w:firstLineChars="200"/>
        <w:textAlignment w:val="auto"/>
        <w:rPr>
          <w:rFonts w:hint="eastAsia" w:ascii="宋体" w:hAnsi="宋体" w:eastAsia="宋体" w:cs="宋体"/>
          <w:sz w:val="24"/>
          <w:szCs w:val="24"/>
          <w:highlight w:val="none"/>
          <w:lang w:val="en-US"/>
        </w:rPr>
      </w:pPr>
      <w:r>
        <w:rPr>
          <w:rFonts w:hint="eastAsia" w:ascii="宋体" w:hAnsi="宋体" w:eastAsia="宋体" w:cs="宋体"/>
          <w:sz w:val="24"/>
          <w:szCs w:val="24"/>
          <w:highlight w:val="none"/>
          <w:lang w:val="en-US"/>
        </w:rPr>
        <w:t>1.</w:t>
      </w:r>
      <w:r>
        <w:rPr>
          <w:rFonts w:hint="eastAsia" w:ascii="宋体" w:hAnsi="宋体" w:eastAsia="宋体" w:cs="宋体"/>
          <w:sz w:val="24"/>
          <w:szCs w:val="24"/>
          <w:highlight w:val="none"/>
          <w:lang w:eastAsia="zh-CN"/>
        </w:rPr>
        <w:t>乙方负责货物的安装和调试，在货物安装和调试结束后，由甲乙双方按照国家、行业及地方的相关标准、根据招标文件中每项技术、服务、安全标准的情况及投标文件的响应情况，在货物使用现场进行共同验收，验收合格后进入保修期（如需要技术监督局进行检测，相关检测费用由乙方承担）。</w:t>
      </w:r>
    </w:p>
    <w:p w14:paraId="06A79794">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88" w:firstLineChars="200"/>
        <w:textAlignment w:val="auto"/>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eastAsia="zh-CN"/>
        </w:rPr>
        <w:t>本合同项下货物的免费保修期或与质量相关的其它期限均按照本合同约定方式完成最终验收（最终验收指以甲方与乙方签订最终验收文件之日）开始计算。</w:t>
      </w:r>
    </w:p>
    <w:p w14:paraId="31178F7F">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88" w:firstLineChars="200"/>
        <w:textAlignment w:val="auto"/>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val="en-US"/>
        </w:rPr>
        <w:t>2.</w:t>
      </w:r>
      <w:r>
        <w:rPr>
          <w:rFonts w:hint="eastAsia" w:ascii="宋体" w:hAnsi="宋体" w:eastAsia="宋体" w:cs="宋体"/>
          <w:spacing w:val="2"/>
          <w:sz w:val="24"/>
          <w:szCs w:val="24"/>
          <w:highlight w:val="none"/>
          <w:lang w:eastAsia="zh-CN"/>
        </w:rPr>
        <w:t>乙方提供的货物抵达甲方指定地点后的开箱清点及初步检验，应依据乙方提供的开箱要求和环境要求进行。乙方应在收到甲方的验货通知后到现场参加开箱清点及初步检验，开箱清点及初步检验时双方均应派人员参加，并签署书面验收单，以此作为乙方履约进度的依据。</w:t>
      </w:r>
    </w:p>
    <w:p w14:paraId="168DA0F5">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88" w:firstLineChars="200"/>
        <w:textAlignment w:val="auto"/>
        <w:rPr>
          <w:rFonts w:hint="eastAsia" w:ascii="宋体" w:hAnsi="宋体" w:eastAsia="宋体" w:cs="宋体"/>
          <w:spacing w:val="2"/>
          <w:sz w:val="24"/>
          <w:szCs w:val="24"/>
          <w:highlight w:val="none"/>
          <w:lang w:eastAsia="zh-CN"/>
        </w:rPr>
      </w:pPr>
      <w:r>
        <w:rPr>
          <w:rFonts w:hint="eastAsia" w:ascii="宋体" w:hAnsi="宋体" w:eastAsia="宋体" w:cs="宋体"/>
          <w:spacing w:val="2"/>
          <w:sz w:val="24"/>
          <w:szCs w:val="24"/>
          <w:highlight w:val="none"/>
          <w:lang w:val="en-US"/>
        </w:rPr>
        <w:t>3.</w:t>
      </w:r>
      <w:r>
        <w:rPr>
          <w:rFonts w:hint="eastAsia" w:ascii="宋体" w:hAnsi="宋体" w:eastAsia="宋体" w:cs="宋体"/>
          <w:spacing w:val="2"/>
          <w:sz w:val="24"/>
          <w:szCs w:val="24"/>
          <w:highlight w:val="none"/>
          <w:lang w:eastAsia="zh-CN"/>
        </w:rPr>
        <w:t>甲方对合同货物的数量、规格和质量的检验，应依据本项目招标文件、投标文件、答疑澄清中的有关规定进行。</w:t>
      </w:r>
    </w:p>
    <w:p w14:paraId="1FD0F1BF">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88" w:firstLineChars="200"/>
        <w:textAlignment w:val="auto"/>
        <w:rPr>
          <w:rFonts w:hint="default" w:ascii="宋体" w:hAnsi="宋体" w:eastAsia="宋体" w:cs="宋体"/>
          <w:spacing w:val="2"/>
          <w:sz w:val="24"/>
          <w:szCs w:val="24"/>
          <w:highlight w:val="none"/>
          <w:lang w:val="en-US" w:eastAsia="zh-CN"/>
        </w:rPr>
      </w:pPr>
      <w:r>
        <w:rPr>
          <w:rFonts w:hint="eastAsia" w:ascii="宋体" w:hAnsi="宋体" w:cs="宋体"/>
          <w:spacing w:val="2"/>
          <w:sz w:val="24"/>
          <w:szCs w:val="24"/>
          <w:highlight w:val="none"/>
          <w:lang w:val="en-US" w:eastAsia="zh-CN"/>
        </w:rPr>
        <w:t>4.该软件必须符合互联互通4级</w:t>
      </w:r>
      <w:r>
        <w:rPr>
          <w:rFonts w:hint="eastAsia" w:ascii="宋体" w:hAnsi="宋体" w:cs="宋体"/>
          <w:spacing w:val="2"/>
          <w:sz w:val="24"/>
          <w:szCs w:val="24"/>
          <w:highlight w:val="none"/>
          <w:lang w:val="en-US" w:eastAsia="zh-CN"/>
        </w:rPr>
        <w:t>甲等</w:t>
      </w:r>
      <w:r>
        <w:rPr>
          <w:rFonts w:hint="eastAsia" w:ascii="宋体" w:hAnsi="宋体" w:cs="宋体"/>
          <w:spacing w:val="2"/>
          <w:sz w:val="24"/>
          <w:szCs w:val="24"/>
          <w:highlight w:val="none"/>
          <w:lang w:val="en-US" w:eastAsia="zh-CN"/>
        </w:rPr>
        <w:t>、电子病历5级</w:t>
      </w:r>
      <w:r>
        <w:rPr>
          <w:rFonts w:hint="eastAsia" w:ascii="宋体" w:hAnsi="宋体" w:cs="宋体"/>
          <w:spacing w:val="2"/>
          <w:sz w:val="24"/>
          <w:szCs w:val="24"/>
          <w:highlight w:val="none"/>
          <w:lang w:val="en-US" w:eastAsia="zh-CN"/>
        </w:rPr>
        <w:t>要求</w:t>
      </w:r>
      <w:r>
        <w:rPr>
          <w:rFonts w:hint="eastAsia" w:ascii="宋体" w:hAnsi="宋体" w:cs="宋体"/>
          <w:spacing w:val="2"/>
          <w:sz w:val="24"/>
          <w:szCs w:val="24"/>
          <w:highlight w:val="none"/>
          <w:lang w:val="en-US" w:eastAsia="zh-CN"/>
        </w:rPr>
        <w:t>。</w:t>
      </w:r>
    </w:p>
    <w:p w14:paraId="407497A5">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90" w:firstLineChars="200"/>
        <w:textAlignment w:val="auto"/>
        <w:rPr>
          <w:rFonts w:hint="eastAsia" w:ascii="宋体" w:hAnsi="宋体" w:eastAsia="宋体" w:cs="宋体"/>
          <w:b/>
          <w:bCs w:val="0"/>
          <w:spacing w:val="2"/>
          <w:sz w:val="24"/>
          <w:szCs w:val="24"/>
          <w:highlight w:val="none"/>
          <w:lang w:val="en-US"/>
        </w:rPr>
      </w:pPr>
      <w:r>
        <w:rPr>
          <w:rFonts w:hint="eastAsia" w:ascii="宋体" w:hAnsi="宋体" w:cs="宋体"/>
          <w:b/>
          <w:bCs w:val="0"/>
          <w:spacing w:val="2"/>
          <w:sz w:val="24"/>
          <w:szCs w:val="24"/>
          <w:highlight w:val="none"/>
          <w:lang w:val="en-US" w:eastAsia="zh-CN"/>
        </w:rPr>
        <w:t>九</w:t>
      </w:r>
      <w:r>
        <w:rPr>
          <w:rFonts w:hint="eastAsia" w:ascii="宋体" w:hAnsi="宋体" w:eastAsia="宋体" w:cs="宋体"/>
          <w:b/>
          <w:bCs w:val="0"/>
          <w:spacing w:val="2"/>
          <w:sz w:val="24"/>
          <w:szCs w:val="24"/>
          <w:highlight w:val="none"/>
          <w:lang w:eastAsia="zh-CN"/>
        </w:rPr>
        <w:t>、售后服务</w:t>
      </w:r>
    </w:p>
    <w:p w14:paraId="74AF3CF4">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88" w:firstLineChars="200"/>
        <w:textAlignment w:val="auto"/>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val="en-US"/>
        </w:rPr>
        <w:t>1.</w:t>
      </w:r>
      <w:r>
        <w:rPr>
          <w:rFonts w:hint="eastAsia" w:ascii="宋体" w:hAnsi="宋体" w:eastAsia="宋体" w:cs="宋体"/>
          <w:spacing w:val="2"/>
          <w:sz w:val="24"/>
          <w:szCs w:val="24"/>
          <w:highlight w:val="none"/>
          <w:lang w:eastAsia="zh-CN"/>
        </w:rPr>
        <w:t>在质保期内所发生的一切非人为损坏费用由乙方承担。</w:t>
      </w:r>
    </w:p>
    <w:p w14:paraId="0A4BEC59">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88" w:firstLineChars="200"/>
        <w:textAlignment w:val="auto"/>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val="en-US"/>
        </w:rPr>
        <w:t>2.</w:t>
      </w:r>
      <w:r>
        <w:rPr>
          <w:rFonts w:hint="eastAsia" w:ascii="宋体" w:hAnsi="宋体" w:eastAsia="宋体" w:cs="宋体"/>
          <w:spacing w:val="2"/>
          <w:sz w:val="24"/>
          <w:szCs w:val="24"/>
          <w:highlight w:val="none"/>
          <w:lang w:eastAsia="zh-CN"/>
        </w:rPr>
        <w:t>乙方应提供维修工程师的联系电话和地址。提供正规的备品备件价格表。</w:t>
      </w:r>
    </w:p>
    <w:p w14:paraId="5365E1F7">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88" w:firstLineChars="200"/>
        <w:textAlignment w:val="auto"/>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val="en-US"/>
        </w:rPr>
        <w:t>2.1</w:t>
      </w:r>
      <w:r>
        <w:rPr>
          <w:rFonts w:hint="eastAsia" w:ascii="宋体" w:hAnsi="宋体" w:eastAsia="宋体" w:cs="宋体"/>
          <w:spacing w:val="2"/>
          <w:sz w:val="24"/>
          <w:szCs w:val="24"/>
          <w:highlight w:val="none"/>
          <w:lang w:eastAsia="zh-CN"/>
        </w:rPr>
        <w:t>工程师电话及地址：</w:t>
      </w:r>
    </w:p>
    <w:p w14:paraId="1E9EB8C8">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88" w:firstLineChars="200"/>
        <w:textAlignment w:val="auto"/>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val="en-US"/>
        </w:rPr>
        <w:t>2.2</w:t>
      </w:r>
      <w:r>
        <w:rPr>
          <w:rFonts w:hint="eastAsia" w:ascii="宋体" w:hAnsi="宋体" w:eastAsia="宋体" w:cs="宋体"/>
          <w:spacing w:val="2"/>
          <w:sz w:val="24"/>
          <w:szCs w:val="24"/>
          <w:highlight w:val="none"/>
          <w:lang w:eastAsia="zh-CN"/>
        </w:rPr>
        <w:t>备品备件、耗材价格表</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266"/>
        <w:gridCol w:w="1854"/>
        <w:gridCol w:w="810"/>
        <w:gridCol w:w="975"/>
        <w:gridCol w:w="945"/>
        <w:gridCol w:w="1204"/>
        <w:gridCol w:w="1272"/>
      </w:tblGrid>
      <w:tr w14:paraId="2BB83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266" w:type="dxa"/>
            <w:tcBorders>
              <w:top w:val="single" w:color="auto" w:sz="4" w:space="0"/>
              <w:left w:val="single" w:color="auto" w:sz="4" w:space="0"/>
              <w:bottom w:val="single" w:color="auto" w:sz="4" w:space="0"/>
              <w:right w:val="single" w:color="auto" w:sz="4" w:space="0"/>
            </w:tcBorders>
            <w:shd w:val="clear" w:color="auto" w:fill="auto"/>
            <w:vAlign w:val="top"/>
          </w:tcPr>
          <w:p w14:paraId="34355BFF">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jc w:val="both"/>
              <w:textAlignment w:val="auto"/>
              <w:rPr>
                <w:rFonts w:hint="eastAsia" w:ascii="宋体" w:hAnsi="宋体" w:eastAsia="宋体" w:cs="宋体"/>
                <w:b/>
                <w:bCs w:val="0"/>
                <w:sz w:val="24"/>
                <w:szCs w:val="24"/>
                <w:highlight w:val="none"/>
                <w:lang w:val="en-US"/>
              </w:rPr>
            </w:pPr>
            <w:r>
              <w:rPr>
                <w:rFonts w:hint="eastAsia" w:ascii="宋体" w:hAnsi="宋体" w:eastAsia="宋体" w:cs="宋体"/>
                <w:b/>
                <w:bCs w:val="0"/>
                <w:kern w:val="2"/>
                <w:sz w:val="24"/>
                <w:szCs w:val="24"/>
                <w:highlight w:val="none"/>
                <w:lang w:val="en-US" w:eastAsia="zh-CN" w:bidi="ar"/>
              </w:rPr>
              <w:t>序号</w:t>
            </w:r>
          </w:p>
        </w:tc>
        <w:tc>
          <w:tcPr>
            <w:tcW w:w="1854" w:type="dxa"/>
            <w:tcBorders>
              <w:top w:val="single" w:color="auto" w:sz="4" w:space="0"/>
              <w:left w:val="single" w:color="auto" w:sz="4" w:space="0"/>
              <w:bottom w:val="single" w:color="auto" w:sz="4" w:space="0"/>
              <w:right w:val="single" w:color="auto" w:sz="4" w:space="0"/>
            </w:tcBorders>
            <w:shd w:val="clear" w:color="auto" w:fill="auto"/>
            <w:vAlign w:val="top"/>
          </w:tcPr>
          <w:p w14:paraId="2AA29216">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firstLine="482" w:firstLineChars="200"/>
              <w:jc w:val="both"/>
              <w:textAlignment w:val="auto"/>
              <w:rPr>
                <w:rFonts w:hint="eastAsia" w:ascii="宋体" w:hAnsi="宋体" w:eastAsia="宋体" w:cs="宋体"/>
                <w:b/>
                <w:bCs w:val="0"/>
                <w:sz w:val="24"/>
                <w:szCs w:val="24"/>
                <w:highlight w:val="none"/>
                <w:lang w:val="en-US"/>
              </w:rPr>
            </w:pPr>
            <w:r>
              <w:rPr>
                <w:rFonts w:hint="eastAsia" w:ascii="宋体" w:hAnsi="宋体" w:eastAsia="宋体" w:cs="宋体"/>
                <w:b/>
                <w:bCs w:val="0"/>
                <w:kern w:val="2"/>
                <w:sz w:val="24"/>
                <w:szCs w:val="24"/>
                <w:highlight w:val="none"/>
                <w:lang w:val="en-US" w:eastAsia="zh-CN" w:bidi="ar"/>
              </w:rPr>
              <w:t>名称</w:t>
            </w:r>
          </w:p>
        </w:tc>
        <w:tc>
          <w:tcPr>
            <w:tcW w:w="810" w:type="dxa"/>
            <w:tcBorders>
              <w:top w:val="single" w:color="auto" w:sz="4" w:space="0"/>
              <w:left w:val="single" w:color="auto" w:sz="4" w:space="0"/>
              <w:bottom w:val="single" w:color="auto" w:sz="4" w:space="0"/>
              <w:right w:val="single" w:color="auto" w:sz="4" w:space="0"/>
            </w:tcBorders>
            <w:shd w:val="clear" w:color="auto" w:fill="auto"/>
            <w:vAlign w:val="top"/>
          </w:tcPr>
          <w:p w14:paraId="4983A8DD">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jc w:val="both"/>
              <w:textAlignment w:val="auto"/>
              <w:rPr>
                <w:rFonts w:hint="eastAsia" w:ascii="宋体" w:hAnsi="宋体" w:eastAsia="宋体" w:cs="宋体"/>
                <w:b/>
                <w:bCs w:val="0"/>
                <w:sz w:val="24"/>
                <w:szCs w:val="24"/>
                <w:highlight w:val="none"/>
                <w:lang w:val="en-US"/>
              </w:rPr>
            </w:pPr>
            <w:r>
              <w:rPr>
                <w:rFonts w:hint="eastAsia" w:ascii="宋体" w:hAnsi="宋体" w:eastAsia="宋体" w:cs="宋体"/>
                <w:b/>
                <w:bCs w:val="0"/>
                <w:kern w:val="2"/>
                <w:sz w:val="24"/>
                <w:szCs w:val="24"/>
                <w:highlight w:val="none"/>
                <w:lang w:val="en-US" w:eastAsia="zh-CN" w:bidi="ar"/>
              </w:rPr>
              <w:t>品牌</w:t>
            </w:r>
          </w:p>
        </w:tc>
        <w:tc>
          <w:tcPr>
            <w:tcW w:w="975" w:type="dxa"/>
            <w:tcBorders>
              <w:top w:val="single" w:color="auto" w:sz="4" w:space="0"/>
              <w:left w:val="single" w:color="auto" w:sz="4" w:space="0"/>
              <w:bottom w:val="single" w:color="auto" w:sz="4" w:space="0"/>
              <w:right w:val="single" w:color="auto" w:sz="4" w:space="0"/>
            </w:tcBorders>
            <w:shd w:val="clear" w:color="auto" w:fill="auto"/>
            <w:vAlign w:val="top"/>
          </w:tcPr>
          <w:p w14:paraId="6FF95E34">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jc w:val="both"/>
              <w:textAlignment w:val="auto"/>
              <w:rPr>
                <w:rFonts w:hint="eastAsia" w:ascii="宋体" w:hAnsi="宋体" w:eastAsia="宋体" w:cs="宋体"/>
                <w:b/>
                <w:bCs w:val="0"/>
                <w:sz w:val="24"/>
                <w:szCs w:val="24"/>
                <w:highlight w:val="none"/>
                <w:lang w:val="en-US"/>
              </w:rPr>
            </w:pPr>
            <w:r>
              <w:rPr>
                <w:rFonts w:hint="eastAsia" w:ascii="宋体" w:hAnsi="宋体" w:eastAsia="宋体" w:cs="宋体"/>
                <w:b/>
                <w:bCs w:val="0"/>
                <w:kern w:val="2"/>
                <w:sz w:val="24"/>
                <w:szCs w:val="24"/>
                <w:highlight w:val="none"/>
                <w:lang w:val="en-US" w:eastAsia="zh-CN" w:bidi="ar"/>
              </w:rPr>
              <w:t>型号</w:t>
            </w:r>
          </w:p>
        </w:tc>
        <w:tc>
          <w:tcPr>
            <w:tcW w:w="945" w:type="dxa"/>
            <w:tcBorders>
              <w:top w:val="single" w:color="auto" w:sz="4" w:space="0"/>
              <w:left w:val="single" w:color="auto" w:sz="4" w:space="0"/>
              <w:bottom w:val="single" w:color="auto" w:sz="4" w:space="0"/>
              <w:right w:val="single" w:color="auto" w:sz="4" w:space="0"/>
            </w:tcBorders>
            <w:shd w:val="clear" w:color="auto" w:fill="auto"/>
            <w:vAlign w:val="top"/>
          </w:tcPr>
          <w:p w14:paraId="42AA77AF">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jc w:val="both"/>
              <w:textAlignment w:val="auto"/>
              <w:rPr>
                <w:rFonts w:hint="eastAsia" w:ascii="宋体" w:hAnsi="宋体" w:eastAsia="宋体" w:cs="宋体"/>
                <w:b/>
                <w:bCs w:val="0"/>
                <w:sz w:val="24"/>
                <w:szCs w:val="24"/>
                <w:highlight w:val="none"/>
                <w:lang w:val="en-US"/>
              </w:rPr>
            </w:pPr>
            <w:r>
              <w:rPr>
                <w:rFonts w:hint="eastAsia" w:ascii="宋体" w:hAnsi="宋体" w:eastAsia="宋体" w:cs="宋体"/>
                <w:b/>
                <w:bCs w:val="0"/>
                <w:kern w:val="2"/>
                <w:sz w:val="24"/>
                <w:szCs w:val="24"/>
                <w:highlight w:val="none"/>
                <w:lang w:val="en-US" w:eastAsia="zh-CN" w:bidi="ar"/>
              </w:rPr>
              <w:t>产地</w:t>
            </w:r>
          </w:p>
        </w:tc>
        <w:tc>
          <w:tcPr>
            <w:tcW w:w="1204" w:type="dxa"/>
            <w:tcBorders>
              <w:top w:val="single" w:color="auto" w:sz="4" w:space="0"/>
              <w:left w:val="single" w:color="auto" w:sz="4" w:space="0"/>
              <w:bottom w:val="single" w:color="auto" w:sz="4" w:space="0"/>
              <w:right w:val="single" w:color="auto" w:sz="4" w:space="0"/>
            </w:tcBorders>
            <w:shd w:val="clear" w:color="auto" w:fill="auto"/>
            <w:vAlign w:val="top"/>
          </w:tcPr>
          <w:p w14:paraId="0DD64651">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jc w:val="center"/>
              <w:textAlignment w:val="auto"/>
              <w:rPr>
                <w:rFonts w:hint="eastAsia" w:ascii="宋体" w:hAnsi="宋体" w:eastAsia="宋体" w:cs="宋体"/>
                <w:b/>
                <w:bCs w:val="0"/>
                <w:sz w:val="24"/>
                <w:szCs w:val="24"/>
                <w:highlight w:val="none"/>
                <w:lang w:val="en-US"/>
              </w:rPr>
            </w:pPr>
            <w:r>
              <w:rPr>
                <w:rFonts w:hint="eastAsia" w:ascii="宋体" w:hAnsi="宋体" w:eastAsia="宋体" w:cs="宋体"/>
                <w:b/>
                <w:bCs w:val="0"/>
                <w:kern w:val="2"/>
                <w:sz w:val="24"/>
                <w:szCs w:val="24"/>
                <w:highlight w:val="none"/>
                <w:lang w:val="en-US" w:eastAsia="zh-CN" w:bidi="ar"/>
              </w:rPr>
              <w:t>单价</w:t>
            </w:r>
          </w:p>
        </w:tc>
        <w:tc>
          <w:tcPr>
            <w:tcW w:w="1272" w:type="dxa"/>
            <w:tcBorders>
              <w:top w:val="single" w:color="auto" w:sz="4" w:space="0"/>
              <w:left w:val="single" w:color="auto" w:sz="4" w:space="0"/>
              <w:bottom w:val="single" w:color="auto" w:sz="4" w:space="0"/>
              <w:right w:val="single" w:color="auto" w:sz="4" w:space="0"/>
            </w:tcBorders>
            <w:shd w:val="clear" w:color="auto" w:fill="auto"/>
            <w:vAlign w:val="top"/>
          </w:tcPr>
          <w:p w14:paraId="7B2D3D0C">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firstLine="482" w:firstLineChars="200"/>
              <w:jc w:val="both"/>
              <w:textAlignment w:val="auto"/>
              <w:rPr>
                <w:rFonts w:hint="eastAsia" w:ascii="宋体" w:hAnsi="宋体" w:eastAsia="宋体" w:cs="宋体"/>
                <w:b/>
                <w:bCs w:val="0"/>
                <w:sz w:val="24"/>
                <w:szCs w:val="24"/>
                <w:highlight w:val="none"/>
                <w:lang w:val="en-US"/>
              </w:rPr>
            </w:pPr>
            <w:r>
              <w:rPr>
                <w:rFonts w:hint="eastAsia" w:ascii="宋体" w:hAnsi="宋体" w:eastAsia="宋体" w:cs="宋体"/>
                <w:b/>
                <w:bCs w:val="0"/>
                <w:kern w:val="2"/>
                <w:sz w:val="24"/>
                <w:szCs w:val="24"/>
                <w:highlight w:val="none"/>
                <w:lang w:val="en-US" w:eastAsia="zh-CN" w:bidi="ar"/>
              </w:rPr>
              <w:t>备注</w:t>
            </w:r>
          </w:p>
        </w:tc>
      </w:tr>
      <w:tr w14:paraId="3AC1C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6" w:type="dxa"/>
            <w:tcBorders>
              <w:top w:val="single" w:color="auto" w:sz="4" w:space="0"/>
              <w:left w:val="single" w:color="auto" w:sz="4" w:space="0"/>
              <w:bottom w:val="single" w:color="auto" w:sz="4" w:space="0"/>
              <w:right w:val="single" w:color="auto" w:sz="4" w:space="0"/>
            </w:tcBorders>
            <w:shd w:val="clear" w:color="auto" w:fill="auto"/>
            <w:vAlign w:val="top"/>
          </w:tcPr>
          <w:p w14:paraId="76E1DA43">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firstLine="482" w:firstLineChars="200"/>
              <w:jc w:val="both"/>
              <w:textAlignment w:val="auto"/>
              <w:rPr>
                <w:rFonts w:hint="eastAsia" w:ascii="宋体" w:hAnsi="宋体" w:eastAsia="宋体" w:cs="宋体"/>
                <w:b/>
                <w:bCs w:val="0"/>
                <w:sz w:val="24"/>
                <w:szCs w:val="24"/>
                <w:highlight w:val="none"/>
                <w:lang w:val="en-US"/>
              </w:rPr>
            </w:pPr>
          </w:p>
        </w:tc>
        <w:tc>
          <w:tcPr>
            <w:tcW w:w="1854" w:type="dxa"/>
            <w:tcBorders>
              <w:top w:val="single" w:color="auto" w:sz="4" w:space="0"/>
              <w:left w:val="single" w:color="auto" w:sz="4" w:space="0"/>
              <w:bottom w:val="single" w:color="auto" w:sz="4" w:space="0"/>
              <w:right w:val="single" w:color="auto" w:sz="4" w:space="0"/>
            </w:tcBorders>
            <w:shd w:val="clear" w:color="auto" w:fill="auto"/>
            <w:vAlign w:val="top"/>
          </w:tcPr>
          <w:p w14:paraId="0923B60A">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firstLine="482" w:firstLineChars="200"/>
              <w:jc w:val="both"/>
              <w:textAlignment w:val="auto"/>
              <w:rPr>
                <w:rFonts w:hint="eastAsia" w:ascii="宋体" w:hAnsi="宋体" w:eastAsia="宋体" w:cs="宋体"/>
                <w:b/>
                <w:bCs w:val="0"/>
                <w:sz w:val="24"/>
                <w:szCs w:val="24"/>
                <w:highlight w:val="none"/>
                <w:lang w:val="en-US"/>
              </w:rPr>
            </w:pPr>
          </w:p>
        </w:tc>
        <w:tc>
          <w:tcPr>
            <w:tcW w:w="810" w:type="dxa"/>
            <w:tcBorders>
              <w:top w:val="single" w:color="auto" w:sz="4" w:space="0"/>
              <w:left w:val="single" w:color="auto" w:sz="4" w:space="0"/>
              <w:bottom w:val="single" w:color="auto" w:sz="4" w:space="0"/>
              <w:right w:val="single" w:color="auto" w:sz="4" w:space="0"/>
            </w:tcBorders>
            <w:shd w:val="clear" w:color="auto" w:fill="auto"/>
            <w:vAlign w:val="top"/>
          </w:tcPr>
          <w:p w14:paraId="487E07E0">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firstLine="482" w:firstLineChars="200"/>
              <w:jc w:val="both"/>
              <w:textAlignment w:val="auto"/>
              <w:rPr>
                <w:rFonts w:hint="eastAsia" w:ascii="宋体" w:hAnsi="宋体" w:eastAsia="宋体" w:cs="宋体"/>
                <w:b/>
                <w:bCs w:val="0"/>
                <w:sz w:val="24"/>
                <w:szCs w:val="24"/>
                <w:highlight w:val="none"/>
                <w:lang w:val="en-US"/>
              </w:rPr>
            </w:pPr>
          </w:p>
        </w:tc>
        <w:tc>
          <w:tcPr>
            <w:tcW w:w="975" w:type="dxa"/>
            <w:tcBorders>
              <w:top w:val="single" w:color="auto" w:sz="4" w:space="0"/>
              <w:left w:val="single" w:color="auto" w:sz="4" w:space="0"/>
              <w:bottom w:val="single" w:color="auto" w:sz="4" w:space="0"/>
              <w:right w:val="single" w:color="auto" w:sz="4" w:space="0"/>
            </w:tcBorders>
            <w:shd w:val="clear" w:color="auto" w:fill="auto"/>
            <w:vAlign w:val="top"/>
          </w:tcPr>
          <w:p w14:paraId="2966AC5B">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firstLine="482" w:firstLineChars="200"/>
              <w:jc w:val="both"/>
              <w:textAlignment w:val="auto"/>
              <w:rPr>
                <w:rFonts w:hint="eastAsia" w:ascii="宋体" w:hAnsi="宋体" w:eastAsia="宋体" w:cs="宋体"/>
                <w:b/>
                <w:bCs w:val="0"/>
                <w:sz w:val="24"/>
                <w:szCs w:val="24"/>
                <w:highlight w:val="none"/>
                <w:lang w:val="en-US"/>
              </w:rPr>
            </w:pPr>
          </w:p>
        </w:tc>
        <w:tc>
          <w:tcPr>
            <w:tcW w:w="945" w:type="dxa"/>
            <w:tcBorders>
              <w:top w:val="single" w:color="auto" w:sz="4" w:space="0"/>
              <w:left w:val="single" w:color="auto" w:sz="4" w:space="0"/>
              <w:bottom w:val="single" w:color="auto" w:sz="4" w:space="0"/>
              <w:right w:val="single" w:color="auto" w:sz="4" w:space="0"/>
            </w:tcBorders>
            <w:shd w:val="clear" w:color="auto" w:fill="auto"/>
            <w:vAlign w:val="top"/>
          </w:tcPr>
          <w:p w14:paraId="43347C8E">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firstLine="482" w:firstLineChars="200"/>
              <w:jc w:val="both"/>
              <w:textAlignment w:val="auto"/>
              <w:rPr>
                <w:rFonts w:hint="eastAsia" w:ascii="宋体" w:hAnsi="宋体" w:eastAsia="宋体" w:cs="宋体"/>
                <w:b/>
                <w:bCs w:val="0"/>
                <w:sz w:val="24"/>
                <w:szCs w:val="24"/>
                <w:highlight w:val="none"/>
                <w:lang w:val="en-US"/>
              </w:rPr>
            </w:pPr>
          </w:p>
        </w:tc>
        <w:tc>
          <w:tcPr>
            <w:tcW w:w="1204" w:type="dxa"/>
            <w:tcBorders>
              <w:top w:val="single" w:color="auto" w:sz="4" w:space="0"/>
              <w:left w:val="single" w:color="auto" w:sz="4" w:space="0"/>
              <w:bottom w:val="single" w:color="auto" w:sz="4" w:space="0"/>
              <w:right w:val="single" w:color="auto" w:sz="4" w:space="0"/>
            </w:tcBorders>
            <w:shd w:val="clear" w:color="auto" w:fill="auto"/>
            <w:vAlign w:val="top"/>
          </w:tcPr>
          <w:p w14:paraId="0F8D1CCC">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firstLine="482" w:firstLineChars="200"/>
              <w:jc w:val="both"/>
              <w:textAlignment w:val="auto"/>
              <w:rPr>
                <w:rFonts w:hint="eastAsia" w:ascii="宋体" w:hAnsi="宋体" w:eastAsia="宋体" w:cs="宋体"/>
                <w:b/>
                <w:bCs w:val="0"/>
                <w:sz w:val="24"/>
                <w:szCs w:val="24"/>
                <w:highlight w:val="none"/>
                <w:lang w:val="en-US"/>
              </w:rPr>
            </w:pPr>
          </w:p>
        </w:tc>
        <w:tc>
          <w:tcPr>
            <w:tcW w:w="1272" w:type="dxa"/>
            <w:tcBorders>
              <w:top w:val="single" w:color="auto" w:sz="4" w:space="0"/>
              <w:left w:val="single" w:color="auto" w:sz="4" w:space="0"/>
              <w:bottom w:val="single" w:color="auto" w:sz="4" w:space="0"/>
              <w:right w:val="single" w:color="auto" w:sz="4" w:space="0"/>
            </w:tcBorders>
            <w:shd w:val="clear" w:color="auto" w:fill="auto"/>
            <w:vAlign w:val="top"/>
          </w:tcPr>
          <w:p w14:paraId="6287E908">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firstLine="482" w:firstLineChars="200"/>
              <w:jc w:val="both"/>
              <w:textAlignment w:val="auto"/>
              <w:rPr>
                <w:rFonts w:hint="eastAsia" w:ascii="宋体" w:hAnsi="宋体" w:eastAsia="宋体" w:cs="宋体"/>
                <w:b/>
                <w:bCs w:val="0"/>
                <w:sz w:val="24"/>
                <w:szCs w:val="24"/>
                <w:highlight w:val="none"/>
                <w:lang w:val="en-US"/>
              </w:rPr>
            </w:pPr>
          </w:p>
        </w:tc>
      </w:tr>
      <w:tr w14:paraId="71E3D1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66" w:type="dxa"/>
            <w:tcBorders>
              <w:top w:val="single" w:color="auto" w:sz="4" w:space="0"/>
              <w:left w:val="single" w:color="auto" w:sz="4" w:space="0"/>
              <w:bottom w:val="single" w:color="auto" w:sz="4" w:space="0"/>
              <w:right w:val="single" w:color="auto" w:sz="4" w:space="0"/>
            </w:tcBorders>
            <w:shd w:val="clear" w:color="auto" w:fill="auto"/>
            <w:vAlign w:val="top"/>
          </w:tcPr>
          <w:p w14:paraId="0352E976">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firstLine="482" w:firstLineChars="200"/>
              <w:jc w:val="both"/>
              <w:textAlignment w:val="auto"/>
              <w:rPr>
                <w:rFonts w:hint="eastAsia" w:ascii="宋体" w:hAnsi="宋体" w:eastAsia="宋体" w:cs="宋体"/>
                <w:b/>
                <w:bCs w:val="0"/>
                <w:sz w:val="24"/>
                <w:szCs w:val="24"/>
                <w:highlight w:val="none"/>
                <w:lang w:val="en-US"/>
              </w:rPr>
            </w:pPr>
          </w:p>
        </w:tc>
        <w:tc>
          <w:tcPr>
            <w:tcW w:w="1854" w:type="dxa"/>
            <w:tcBorders>
              <w:top w:val="single" w:color="auto" w:sz="4" w:space="0"/>
              <w:left w:val="single" w:color="auto" w:sz="4" w:space="0"/>
              <w:bottom w:val="single" w:color="auto" w:sz="4" w:space="0"/>
              <w:right w:val="single" w:color="auto" w:sz="4" w:space="0"/>
            </w:tcBorders>
            <w:shd w:val="clear" w:color="auto" w:fill="auto"/>
            <w:vAlign w:val="top"/>
          </w:tcPr>
          <w:p w14:paraId="286DCD4E">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firstLine="482" w:firstLineChars="200"/>
              <w:jc w:val="both"/>
              <w:textAlignment w:val="auto"/>
              <w:rPr>
                <w:rFonts w:hint="eastAsia" w:ascii="宋体" w:hAnsi="宋体" w:eastAsia="宋体" w:cs="宋体"/>
                <w:b/>
                <w:bCs w:val="0"/>
                <w:sz w:val="24"/>
                <w:szCs w:val="24"/>
                <w:highlight w:val="none"/>
                <w:lang w:val="en-US"/>
              </w:rPr>
            </w:pPr>
          </w:p>
        </w:tc>
        <w:tc>
          <w:tcPr>
            <w:tcW w:w="810" w:type="dxa"/>
            <w:tcBorders>
              <w:top w:val="single" w:color="auto" w:sz="4" w:space="0"/>
              <w:left w:val="single" w:color="auto" w:sz="4" w:space="0"/>
              <w:bottom w:val="single" w:color="auto" w:sz="4" w:space="0"/>
              <w:right w:val="single" w:color="auto" w:sz="4" w:space="0"/>
            </w:tcBorders>
            <w:shd w:val="clear" w:color="auto" w:fill="auto"/>
            <w:vAlign w:val="top"/>
          </w:tcPr>
          <w:p w14:paraId="3278F019">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firstLine="482" w:firstLineChars="200"/>
              <w:jc w:val="both"/>
              <w:textAlignment w:val="auto"/>
              <w:rPr>
                <w:rFonts w:hint="eastAsia" w:ascii="宋体" w:hAnsi="宋体" w:eastAsia="宋体" w:cs="宋体"/>
                <w:b/>
                <w:bCs w:val="0"/>
                <w:sz w:val="24"/>
                <w:szCs w:val="24"/>
                <w:highlight w:val="none"/>
                <w:lang w:val="en-US"/>
              </w:rPr>
            </w:pPr>
          </w:p>
        </w:tc>
        <w:tc>
          <w:tcPr>
            <w:tcW w:w="975" w:type="dxa"/>
            <w:tcBorders>
              <w:top w:val="single" w:color="auto" w:sz="4" w:space="0"/>
              <w:left w:val="single" w:color="auto" w:sz="4" w:space="0"/>
              <w:bottom w:val="single" w:color="auto" w:sz="4" w:space="0"/>
              <w:right w:val="single" w:color="auto" w:sz="4" w:space="0"/>
            </w:tcBorders>
            <w:shd w:val="clear" w:color="auto" w:fill="auto"/>
            <w:vAlign w:val="top"/>
          </w:tcPr>
          <w:p w14:paraId="6AC42BD6">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firstLine="482" w:firstLineChars="200"/>
              <w:jc w:val="both"/>
              <w:textAlignment w:val="auto"/>
              <w:rPr>
                <w:rFonts w:hint="eastAsia" w:ascii="宋体" w:hAnsi="宋体" w:eastAsia="宋体" w:cs="宋体"/>
                <w:b/>
                <w:bCs w:val="0"/>
                <w:sz w:val="24"/>
                <w:szCs w:val="24"/>
                <w:highlight w:val="none"/>
                <w:lang w:val="en-US"/>
              </w:rPr>
            </w:pPr>
          </w:p>
        </w:tc>
        <w:tc>
          <w:tcPr>
            <w:tcW w:w="945" w:type="dxa"/>
            <w:tcBorders>
              <w:top w:val="single" w:color="auto" w:sz="4" w:space="0"/>
              <w:left w:val="single" w:color="auto" w:sz="4" w:space="0"/>
              <w:bottom w:val="single" w:color="auto" w:sz="4" w:space="0"/>
              <w:right w:val="single" w:color="auto" w:sz="4" w:space="0"/>
            </w:tcBorders>
            <w:shd w:val="clear" w:color="auto" w:fill="auto"/>
            <w:vAlign w:val="top"/>
          </w:tcPr>
          <w:p w14:paraId="0DDEA1A6">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firstLine="482" w:firstLineChars="200"/>
              <w:jc w:val="both"/>
              <w:textAlignment w:val="auto"/>
              <w:rPr>
                <w:rFonts w:hint="eastAsia" w:ascii="宋体" w:hAnsi="宋体" w:eastAsia="宋体" w:cs="宋体"/>
                <w:b/>
                <w:bCs w:val="0"/>
                <w:sz w:val="24"/>
                <w:szCs w:val="24"/>
                <w:highlight w:val="none"/>
                <w:lang w:val="en-US"/>
              </w:rPr>
            </w:pPr>
          </w:p>
        </w:tc>
        <w:tc>
          <w:tcPr>
            <w:tcW w:w="1204" w:type="dxa"/>
            <w:tcBorders>
              <w:top w:val="single" w:color="auto" w:sz="4" w:space="0"/>
              <w:left w:val="single" w:color="auto" w:sz="4" w:space="0"/>
              <w:bottom w:val="single" w:color="auto" w:sz="4" w:space="0"/>
              <w:right w:val="single" w:color="auto" w:sz="4" w:space="0"/>
            </w:tcBorders>
            <w:shd w:val="clear" w:color="auto" w:fill="auto"/>
            <w:vAlign w:val="top"/>
          </w:tcPr>
          <w:p w14:paraId="4CB2034A">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firstLine="482" w:firstLineChars="200"/>
              <w:jc w:val="both"/>
              <w:textAlignment w:val="auto"/>
              <w:rPr>
                <w:rFonts w:hint="eastAsia" w:ascii="宋体" w:hAnsi="宋体" w:eastAsia="宋体" w:cs="宋体"/>
                <w:b/>
                <w:bCs w:val="0"/>
                <w:sz w:val="24"/>
                <w:szCs w:val="24"/>
                <w:highlight w:val="none"/>
                <w:lang w:val="en-US"/>
              </w:rPr>
            </w:pPr>
          </w:p>
        </w:tc>
        <w:tc>
          <w:tcPr>
            <w:tcW w:w="1272" w:type="dxa"/>
            <w:tcBorders>
              <w:top w:val="single" w:color="auto" w:sz="4" w:space="0"/>
              <w:left w:val="single" w:color="auto" w:sz="4" w:space="0"/>
              <w:bottom w:val="single" w:color="auto" w:sz="4" w:space="0"/>
              <w:right w:val="single" w:color="auto" w:sz="4" w:space="0"/>
            </w:tcBorders>
            <w:shd w:val="clear" w:color="auto" w:fill="auto"/>
            <w:vAlign w:val="top"/>
          </w:tcPr>
          <w:p w14:paraId="6F5F4804">
            <w:pPr>
              <w:keepNext w:val="0"/>
              <w:keepLines w:val="0"/>
              <w:pageBreakBefore w:val="0"/>
              <w:widowControl w:val="0"/>
              <w:suppressLineNumbers w:val="0"/>
              <w:kinsoku/>
              <w:wordWrap/>
              <w:overflowPunct/>
              <w:topLinePunct w:val="0"/>
              <w:autoSpaceDN/>
              <w:bidi w:val="0"/>
              <w:adjustRightInd w:val="0"/>
              <w:snapToGrid w:val="0"/>
              <w:spacing w:before="0" w:beforeAutospacing="0" w:after="0" w:afterAutospacing="0" w:line="360" w:lineRule="auto"/>
              <w:ind w:left="0" w:right="0" w:firstLine="482" w:firstLineChars="200"/>
              <w:jc w:val="both"/>
              <w:textAlignment w:val="auto"/>
              <w:rPr>
                <w:rFonts w:hint="eastAsia" w:ascii="宋体" w:hAnsi="宋体" w:eastAsia="宋体" w:cs="宋体"/>
                <w:b/>
                <w:bCs w:val="0"/>
                <w:sz w:val="24"/>
                <w:szCs w:val="24"/>
                <w:highlight w:val="none"/>
                <w:lang w:val="en-US"/>
              </w:rPr>
            </w:pPr>
          </w:p>
        </w:tc>
      </w:tr>
    </w:tbl>
    <w:p w14:paraId="3E53F7AC">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88" w:firstLineChars="200"/>
        <w:textAlignment w:val="auto"/>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val="en-US"/>
        </w:rPr>
        <w:t>3.</w:t>
      </w:r>
      <w:r>
        <w:rPr>
          <w:rFonts w:hint="eastAsia" w:ascii="宋体" w:hAnsi="宋体" w:eastAsia="宋体" w:cs="宋体"/>
          <w:spacing w:val="2"/>
          <w:sz w:val="24"/>
          <w:szCs w:val="24"/>
          <w:highlight w:val="none"/>
          <w:lang w:eastAsia="zh-CN"/>
        </w:rPr>
        <w:t>货物故障响应时间</w:t>
      </w:r>
      <w:r>
        <w:rPr>
          <w:rFonts w:hint="eastAsia" w:ascii="宋体" w:hAnsi="宋体" w:eastAsia="宋体" w:cs="宋体"/>
          <w:spacing w:val="2"/>
          <w:sz w:val="24"/>
          <w:szCs w:val="24"/>
          <w:highlight w:val="none"/>
          <w:lang w:val="en-US"/>
        </w:rPr>
        <w:t>:2</w:t>
      </w:r>
      <w:r>
        <w:rPr>
          <w:rFonts w:hint="eastAsia" w:ascii="宋体" w:hAnsi="宋体" w:eastAsia="宋体" w:cs="宋体"/>
          <w:spacing w:val="2"/>
          <w:sz w:val="24"/>
          <w:szCs w:val="24"/>
          <w:highlight w:val="none"/>
          <w:lang w:eastAsia="zh-CN"/>
        </w:rPr>
        <w:t>小时；乙方维修工程师应于</w:t>
      </w:r>
      <w:r>
        <w:rPr>
          <w:rFonts w:hint="eastAsia" w:ascii="宋体" w:hAnsi="宋体" w:eastAsia="宋体" w:cs="宋体"/>
          <w:spacing w:val="2"/>
          <w:sz w:val="24"/>
          <w:szCs w:val="24"/>
          <w:highlight w:val="none"/>
          <w:lang w:val="en-US"/>
        </w:rPr>
        <w:t>4</w:t>
      </w:r>
      <w:r>
        <w:rPr>
          <w:rFonts w:hint="eastAsia" w:ascii="宋体" w:hAnsi="宋体" w:eastAsia="宋体" w:cs="宋体"/>
          <w:spacing w:val="2"/>
          <w:sz w:val="24"/>
          <w:szCs w:val="24"/>
          <w:highlight w:val="none"/>
          <w:lang w:eastAsia="zh-CN"/>
        </w:rPr>
        <w:t>小时内到达故障现场；故障货物修复期限自报修之日计算</w:t>
      </w:r>
      <w:r>
        <w:rPr>
          <w:rFonts w:hint="eastAsia" w:ascii="宋体" w:hAnsi="宋体" w:eastAsia="宋体" w:cs="宋体"/>
          <w:spacing w:val="2"/>
          <w:sz w:val="24"/>
          <w:szCs w:val="24"/>
          <w:highlight w:val="none"/>
          <w:lang w:val="en-US"/>
        </w:rPr>
        <w:t>,</w:t>
      </w:r>
      <w:r>
        <w:rPr>
          <w:rFonts w:hint="eastAsia" w:ascii="宋体" w:hAnsi="宋体" w:eastAsia="宋体" w:cs="宋体"/>
          <w:spacing w:val="2"/>
          <w:sz w:val="24"/>
          <w:szCs w:val="24"/>
          <w:highlight w:val="none"/>
          <w:lang w:eastAsia="zh-CN"/>
        </w:rPr>
        <w:t>不超过</w:t>
      </w:r>
      <w:r>
        <w:rPr>
          <w:rFonts w:hint="eastAsia" w:ascii="宋体" w:hAnsi="宋体" w:eastAsia="宋体" w:cs="宋体"/>
          <w:spacing w:val="2"/>
          <w:sz w:val="24"/>
          <w:szCs w:val="24"/>
          <w:highlight w:val="none"/>
          <w:lang w:val="en-US"/>
        </w:rPr>
        <w:t>2</w:t>
      </w:r>
      <w:r>
        <w:rPr>
          <w:rFonts w:hint="eastAsia" w:ascii="宋体" w:hAnsi="宋体" w:eastAsia="宋体" w:cs="宋体"/>
          <w:spacing w:val="2"/>
          <w:sz w:val="24"/>
          <w:szCs w:val="24"/>
          <w:highlight w:val="none"/>
          <w:lang w:eastAsia="zh-CN"/>
        </w:rPr>
        <w:t>日</w:t>
      </w:r>
      <w:r>
        <w:rPr>
          <w:rFonts w:hint="eastAsia" w:ascii="宋体" w:hAnsi="宋体" w:eastAsia="宋体" w:cs="宋体"/>
          <w:spacing w:val="2"/>
          <w:sz w:val="24"/>
          <w:szCs w:val="24"/>
          <w:highlight w:val="none"/>
          <w:lang w:val="en-US"/>
        </w:rPr>
        <w:t>,</w:t>
      </w:r>
      <w:r>
        <w:rPr>
          <w:rFonts w:hint="eastAsia" w:ascii="宋体" w:hAnsi="宋体" w:eastAsia="宋体" w:cs="宋体"/>
          <w:spacing w:val="2"/>
          <w:sz w:val="24"/>
          <w:szCs w:val="24"/>
          <w:highlight w:val="none"/>
          <w:lang w:eastAsia="zh-CN"/>
        </w:rPr>
        <w:t>逾期由乙方提供备用机</w:t>
      </w:r>
      <w:r>
        <w:rPr>
          <w:rFonts w:hint="eastAsia" w:ascii="宋体" w:hAnsi="宋体" w:eastAsia="宋体" w:cs="宋体"/>
          <w:spacing w:val="2"/>
          <w:sz w:val="24"/>
          <w:szCs w:val="24"/>
          <w:highlight w:val="none"/>
          <w:lang w:val="en-US"/>
        </w:rPr>
        <w:t>,</w:t>
      </w:r>
      <w:r>
        <w:rPr>
          <w:rFonts w:hint="eastAsia" w:ascii="宋体" w:hAnsi="宋体" w:eastAsia="宋体" w:cs="宋体"/>
          <w:spacing w:val="2"/>
          <w:sz w:val="24"/>
          <w:szCs w:val="24"/>
          <w:highlight w:val="none"/>
          <w:lang w:eastAsia="zh-CN"/>
        </w:rPr>
        <w:t>同时质保期顺延。质保期内</w:t>
      </w:r>
      <w:r>
        <w:rPr>
          <w:rFonts w:hint="eastAsia" w:ascii="宋体" w:hAnsi="宋体" w:eastAsia="宋体" w:cs="宋体"/>
          <w:spacing w:val="2"/>
          <w:sz w:val="24"/>
          <w:szCs w:val="24"/>
          <w:highlight w:val="none"/>
          <w:lang w:val="en-US"/>
        </w:rPr>
        <w:t>,</w:t>
      </w:r>
      <w:r>
        <w:rPr>
          <w:rFonts w:hint="eastAsia" w:ascii="宋体" w:hAnsi="宋体" w:eastAsia="宋体" w:cs="宋体"/>
          <w:spacing w:val="2"/>
          <w:sz w:val="24"/>
          <w:szCs w:val="24"/>
          <w:highlight w:val="none"/>
          <w:lang w:eastAsia="zh-CN"/>
        </w:rPr>
        <w:t>乙方应按甲方要求随时提供现场服务</w:t>
      </w:r>
      <w:r>
        <w:rPr>
          <w:rFonts w:hint="eastAsia" w:ascii="宋体" w:hAnsi="宋体" w:eastAsia="宋体" w:cs="宋体"/>
          <w:spacing w:val="2"/>
          <w:sz w:val="24"/>
          <w:szCs w:val="24"/>
          <w:highlight w:val="none"/>
          <w:lang w:val="en-US"/>
        </w:rPr>
        <w:t>,</w:t>
      </w:r>
      <w:r>
        <w:rPr>
          <w:rFonts w:hint="eastAsia" w:ascii="宋体" w:hAnsi="宋体" w:eastAsia="宋体" w:cs="宋体"/>
          <w:spacing w:val="2"/>
          <w:sz w:val="24"/>
          <w:szCs w:val="24"/>
          <w:highlight w:val="none"/>
          <w:lang w:eastAsia="zh-CN"/>
        </w:rPr>
        <w:t>同时必须提供货物定期巡检服务</w:t>
      </w:r>
      <w:r>
        <w:rPr>
          <w:rFonts w:hint="eastAsia" w:ascii="宋体" w:hAnsi="宋体" w:eastAsia="宋体" w:cs="宋体"/>
          <w:spacing w:val="2"/>
          <w:sz w:val="24"/>
          <w:szCs w:val="24"/>
          <w:highlight w:val="none"/>
          <w:lang w:val="en-US"/>
        </w:rPr>
        <w:t>,</w:t>
      </w:r>
      <w:r>
        <w:rPr>
          <w:rFonts w:hint="eastAsia" w:ascii="宋体" w:hAnsi="宋体" w:eastAsia="宋体" w:cs="宋体"/>
          <w:spacing w:val="2"/>
          <w:sz w:val="24"/>
          <w:szCs w:val="24"/>
          <w:highlight w:val="none"/>
          <w:lang w:eastAsia="zh-CN"/>
        </w:rPr>
        <w:t>巡检周期为自货物验收合格之日起每两个月一次</w:t>
      </w:r>
      <w:r>
        <w:rPr>
          <w:rFonts w:hint="eastAsia" w:ascii="宋体" w:hAnsi="宋体" w:eastAsia="宋体" w:cs="宋体"/>
          <w:spacing w:val="2"/>
          <w:sz w:val="24"/>
          <w:szCs w:val="24"/>
          <w:highlight w:val="none"/>
          <w:lang w:val="en-US"/>
        </w:rPr>
        <w:t>,</w:t>
      </w:r>
      <w:r>
        <w:rPr>
          <w:rFonts w:hint="eastAsia" w:ascii="宋体" w:hAnsi="宋体" w:eastAsia="宋体" w:cs="宋体"/>
          <w:spacing w:val="2"/>
          <w:sz w:val="24"/>
          <w:szCs w:val="24"/>
          <w:highlight w:val="none"/>
          <w:lang w:eastAsia="zh-CN"/>
        </w:rPr>
        <w:t>须由专业技术工程师完成；乙方在提供货物定期巡检服务时必须留存服务单据</w:t>
      </w:r>
      <w:r>
        <w:rPr>
          <w:rFonts w:hint="eastAsia" w:ascii="宋体" w:hAnsi="宋体" w:eastAsia="宋体" w:cs="宋体"/>
          <w:spacing w:val="2"/>
          <w:sz w:val="24"/>
          <w:szCs w:val="24"/>
          <w:highlight w:val="none"/>
          <w:lang w:val="en-US"/>
        </w:rPr>
        <w:t>,</w:t>
      </w:r>
      <w:r>
        <w:rPr>
          <w:rFonts w:hint="eastAsia" w:ascii="宋体" w:hAnsi="宋体" w:eastAsia="宋体" w:cs="宋体"/>
          <w:spacing w:val="2"/>
          <w:sz w:val="24"/>
          <w:szCs w:val="24"/>
          <w:highlight w:val="none"/>
          <w:lang w:eastAsia="zh-CN"/>
        </w:rPr>
        <w:t>并有每次服务现场甲方科室人员及甲方工程师确认签字</w:t>
      </w:r>
      <w:r>
        <w:rPr>
          <w:rFonts w:hint="eastAsia" w:ascii="宋体" w:hAnsi="宋体" w:eastAsia="宋体" w:cs="宋体"/>
          <w:spacing w:val="2"/>
          <w:sz w:val="24"/>
          <w:szCs w:val="24"/>
          <w:highlight w:val="none"/>
          <w:lang w:val="en-US"/>
        </w:rPr>
        <w:t>,</w:t>
      </w:r>
      <w:r>
        <w:rPr>
          <w:rFonts w:hint="eastAsia" w:ascii="宋体" w:hAnsi="宋体" w:eastAsia="宋体" w:cs="宋体"/>
          <w:spacing w:val="2"/>
          <w:sz w:val="24"/>
          <w:szCs w:val="24"/>
          <w:highlight w:val="none"/>
          <w:lang w:eastAsia="zh-CN"/>
        </w:rPr>
        <w:t>以作为货物维保款结款依据；如有维修响应超时、故障货物修复期限超过</w:t>
      </w:r>
      <w:r>
        <w:rPr>
          <w:rFonts w:hint="eastAsia" w:ascii="宋体" w:hAnsi="宋体" w:eastAsia="宋体" w:cs="宋体"/>
          <w:spacing w:val="2"/>
          <w:sz w:val="24"/>
          <w:szCs w:val="24"/>
          <w:highlight w:val="none"/>
          <w:lang w:val="en-US"/>
        </w:rPr>
        <w:t>2</w:t>
      </w:r>
      <w:r>
        <w:rPr>
          <w:rFonts w:hint="eastAsia" w:ascii="宋体" w:hAnsi="宋体" w:eastAsia="宋体" w:cs="宋体"/>
          <w:spacing w:val="2"/>
          <w:sz w:val="24"/>
          <w:szCs w:val="24"/>
          <w:highlight w:val="none"/>
          <w:lang w:eastAsia="zh-CN"/>
        </w:rPr>
        <w:t>日而未提出解决办法、未按规定提供巡检服务、或缺少服务确认单据等情况</w:t>
      </w:r>
      <w:r>
        <w:rPr>
          <w:rFonts w:hint="eastAsia" w:ascii="宋体" w:hAnsi="宋体" w:eastAsia="宋体" w:cs="宋体"/>
          <w:spacing w:val="2"/>
          <w:sz w:val="24"/>
          <w:szCs w:val="24"/>
          <w:highlight w:val="none"/>
          <w:lang w:val="en-US"/>
        </w:rPr>
        <w:t>,</w:t>
      </w:r>
      <w:r>
        <w:rPr>
          <w:rFonts w:hint="eastAsia" w:ascii="宋体" w:hAnsi="宋体" w:eastAsia="宋体" w:cs="宋体"/>
          <w:spacing w:val="2"/>
          <w:sz w:val="24"/>
          <w:szCs w:val="24"/>
          <w:highlight w:val="none"/>
          <w:lang w:eastAsia="zh-CN"/>
        </w:rPr>
        <w:t>甲方可认定乙方违约追究乙方的责任。乙方提供全方位的售后服务</w:t>
      </w:r>
      <w:r>
        <w:rPr>
          <w:rFonts w:hint="eastAsia" w:ascii="宋体" w:hAnsi="宋体" w:eastAsia="宋体" w:cs="宋体"/>
          <w:spacing w:val="2"/>
          <w:sz w:val="24"/>
          <w:szCs w:val="24"/>
          <w:highlight w:val="none"/>
          <w:lang w:val="en-US"/>
        </w:rPr>
        <w:t>:</w:t>
      </w:r>
      <w:r>
        <w:rPr>
          <w:rFonts w:hint="eastAsia" w:ascii="宋体" w:hAnsi="宋体" w:eastAsia="宋体" w:cs="宋体"/>
          <w:spacing w:val="2"/>
          <w:sz w:val="24"/>
          <w:szCs w:val="24"/>
          <w:highlight w:val="none"/>
          <w:lang w:eastAsia="zh-CN"/>
        </w:rPr>
        <w:t>专职的售后服务人员</w:t>
      </w:r>
      <w:r>
        <w:rPr>
          <w:rFonts w:hint="eastAsia" w:ascii="宋体" w:hAnsi="宋体" w:eastAsia="宋体" w:cs="宋体"/>
          <w:spacing w:val="2"/>
          <w:sz w:val="24"/>
          <w:szCs w:val="24"/>
          <w:highlight w:val="none"/>
          <w:lang w:val="en-US"/>
        </w:rPr>
        <w:t>,</w:t>
      </w:r>
      <w:r>
        <w:rPr>
          <w:rFonts w:hint="eastAsia" w:ascii="宋体" w:hAnsi="宋体" w:eastAsia="宋体" w:cs="宋体"/>
          <w:spacing w:val="2"/>
          <w:sz w:val="24"/>
          <w:szCs w:val="24"/>
          <w:highlight w:val="none"/>
          <w:lang w:eastAsia="zh-CN"/>
        </w:rPr>
        <w:t>提供售前咨询、售中指导和售后服务。</w:t>
      </w:r>
    </w:p>
    <w:p w14:paraId="1E3E79A3">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88" w:firstLineChars="200"/>
        <w:textAlignment w:val="auto"/>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val="en-US"/>
        </w:rPr>
        <w:t>4.</w:t>
      </w:r>
      <w:r>
        <w:rPr>
          <w:rFonts w:hint="eastAsia" w:ascii="宋体" w:hAnsi="宋体" w:eastAsia="宋体" w:cs="宋体"/>
          <w:spacing w:val="2"/>
          <w:sz w:val="24"/>
          <w:szCs w:val="24"/>
          <w:highlight w:val="none"/>
          <w:lang w:eastAsia="zh-CN"/>
        </w:rPr>
        <w:t>本合同签订后及货物使用中，如涉及增加系统软件、功能性软件或安全性软件升级问题，无论甲方是否知晓或是否向乙方提出，乙方均应当在其刚开始应用该软件时的第一时间内，立即主动地、无条件地给与免费更新并调试完好（甲方终身享受免费升级服务、免费升级软件</w:t>
      </w:r>
      <w:r>
        <w:rPr>
          <w:rFonts w:hint="eastAsia" w:ascii="宋体" w:hAnsi="宋体" w:eastAsia="宋体" w:cs="宋体"/>
          <w:spacing w:val="2"/>
          <w:sz w:val="24"/>
          <w:szCs w:val="24"/>
          <w:highlight w:val="none"/>
          <w:lang w:val="en-US"/>
        </w:rPr>
        <w:t>,</w:t>
      </w:r>
      <w:r>
        <w:rPr>
          <w:rFonts w:hint="eastAsia" w:ascii="宋体" w:hAnsi="宋体" w:eastAsia="宋体" w:cs="宋体"/>
          <w:spacing w:val="2"/>
          <w:sz w:val="24"/>
          <w:szCs w:val="24"/>
          <w:highlight w:val="none"/>
          <w:lang w:eastAsia="zh-CN"/>
        </w:rPr>
        <w:t>及时提供货物最新技术资料与技术支持）。</w:t>
      </w:r>
    </w:p>
    <w:p w14:paraId="420E0BCB">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88" w:firstLineChars="200"/>
        <w:textAlignment w:val="auto"/>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val="en-US"/>
        </w:rPr>
        <w:t>5.</w:t>
      </w:r>
      <w:r>
        <w:rPr>
          <w:rFonts w:hint="eastAsia" w:ascii="宋体" w:hAnsi="宋体" w:eastAsia="宋体" w:cs="宋体"/>
          <w:spacing w:val="2"/>
          <w:sz w:val="24"/>
          <w:szCs w:val="24"/>
          <w:highlight w:val="none"/>
          <w:lang w:eastAsia="zh-CN"/>
        </w:rPr>
        <w:t>乙方保证，乙方依据本合同提供的货物、服务及相关的软件和技术资料，乙方均已得到有关知识产权的权利人的合法授权，如发生涉及到专利权、著作权、商标权等争议，乙方负责处理，并承担由此引起的全部法律及经济责任。</w:t>
      </w:r>
    </w:p>
    <w:p w14:paraId="2EA01FE4">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80" w:firstLineChars="200"/>
        <w:textAlignment w:val="auto"/>
        <w:rPr>
          <w:rFonts w:hint="eastAsia" w:ascii="宋体" w:hAnsi="宋体" w:eastAsia="宋体" w:cs="宋体"/>
          <w:color w:val="000000"/>
          <w:kern w:val="0"/>
          <w:sz w:val="24"/>
          <w:szCs w:val="24"/>
          <w:highlight w:val="none"/>
          <w:lang w:val="en-US"/>
        </w:rPr>
      </w:pPr>
      <w:r>
        <w:rPr>
          <w:rFonts w:hint="eastAsia" w:ascii="宋体" w:hAnsi="宋体" w:eastAsia="宋体" w:cs="宋体"/>
          <w:color w:val="000000"/>
          <w:kern w:val="0"/>
          <w:sz w:val="24"/>
          <w:szCs w:val="24"/>
          <w:highlight w:val="none"/>
          <w:lang w:val="en-US"/>
        </w:rPr>
        <w:t>6.</w:t>
      </w:r>
      <w:r>
        <w:rPr>
          <w:rFonts w:hint="eastAsia" w:ascii="宋体" w:hAnsi="宋体" w:eastAsia="宋体" w:cs="宋体"/>
          <w:color w:val="000000"/>
          <w:kern w:val="0"/>
          <w:sz w:val="24"/>
          <w:szCs w:val="24"/>
          <w:highlight w:val="none"/>
          <w:lang w:eastAsia="zh-CN"/>
        </w:rPr>
        <w:t>在保修期结束前，需由原货物制造厂家或乙方技术人员代表和甲方代表对货物进行一次全面检查，任何缺陷由乙方负责修理，在修理之后，乙方应将缺陷原因、修理内容、完成修理及恢复正常的时间和日期等形成一份书面报告交甲方。</w:t>
      </w:r>
    </w:p>
    <w:p w14:paraId="2A38C6F5">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88" w:firstLineChars="200"/>
        <w:textAlignment w:val="auto"/>
        <w:rPr>
          <w:rFonts w:hint="eastAsia" w:ascii="宋体" w:hAnsi="宋体" w:eastAsia="宋体" w:cs="宋体"/>
          <w:spacing w:val="2"/>
          <w:sz w:val="24"/>
          <w:szCs w:val="24"/>
          <w:highlight w:val="none"/>
          <w:lang w:eastAsia="zh-CN"/>
        </w:rPr>
      </w:pPr>
      <w:r>
        <w:rPr>
          <w:rFonts w:hint="eastAsia" w:ascii="宋体" w:hAnsi="宋体" w:eastAsia="宋体" w:cs="宋体"/>
          <w:spacing w:val="2"/>
          <w:sz w:val="24"/>
          <w:szCs w:val="24"/>
          <w:highlight w:val="none"/>
          <w:lang w:val="en-US"/>
        </w:rPr>
        <w:t>7.</w:t>
      </w:r>
      <w:r>
        <w:rPr>
          <w:rFonts w:hint="eastAsia" w:ascii="宋体" w:hAnsi="宋体" w:eastAsia="宋体" w:cs="宋体"/>
          <w:spacing w:val="2"/>
          <w:sz w:val="24"/>
          <w:szCs w:val="24"/>
          <w:highlight w:val="none"/>
          <w:lang w:eastAsia="zh-CN"/>
        </w:rPr>
        <w:t>质保期后有责任向甲方说明故障的解决方法，并保证货物使用期内提供优惠的配件供应。</w:t>
      </w:r>
    </w:p>
    <w:p w14:paraId="1EDE5D90">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88" w:firstLineChars="200"/>
        <w:textAlignment w:val="auto"/>
        <w:rPr>
          <w:rFonts w:hint="eastAsia" w:ascii="宋体" w:hAnsi="宋体" w:eastAsia="宋体" w:cs="宋体"/>
          <w:spacing w:val="2"/>
          <w:sz w:val="24"/>
          <w:szCs w:val="24"/>
          <w:highlight w:val="none"/>
          <w:lang w:val="en-US"/>
        </w:rPr>
      </w:pPr>
      <w:r>
        <w:rPr>
          <w:rFonts w:hint="eastAsia" w:ascii="宋体" w:hAnsi="宋体" w:cs="宋体"/>
          <w:spacing w:val="2"/>
          <w:sz w:val="24"/>
          <w:szCs w:val="24"/>
          <w:highlight w:val="none"/>
          <w:lang w:val="en-US" w:eastAsia="zh-CN"/>
        </w:rPr>
        <w:t>8.</w:t>
      </w:r>
      <w:r>
        <w:rPr>
          <w:rFonts w:hint="eastAsia" w:ascii="宋体" w:hAnsi="宋体" w:eastAsia="宋体" w:cs="宋体"/>
          <w:spacing w:val="2"/>
          <w:sz w:val="24"/>
          <w:szCs w:val="24"/>
          <w:highlight w:val="none"/>
          <w:lang w:val="en-US"/>
        </w:rPr>
        <w:t>7.</w:t>
      </w:r>
      <w:r>
        <w:rPr>
          <w:rFonts w:hint="eastAsia" w:ascii="宋体" w:hAnsi="宋体" w:eastAsia="宋体" w:cs="宋体"/>
          <w:spacing w:val="2"/>
          <w:sz w:val="24"/>
          <w:szCs w:val="24"/>
          <w:highlight w:val="none"/>
          <w:lang w:eastAsia="zh-CN"/>
        </w:rPr>
        <w:t>质保期后有责任</w:t>
      </w:r>
      <w:r>
        <w:rPr>
          <w:rFonts w:hint="eastAsia" w:ascii="宋体" w:hAnsi="宋体" w:cs="宋体"/>
          <w:spacing w:val="2"/>
          <w:sz w:val="24"/>
          <w:szCs w:val="24"/>
          <w:highlight w:val="none"/>
          <w:lang w:val="en-US" w:eastAsia="zh-CN"/>
        </w:rPr>
        <w:t>在每个节假日进行货品巡检服务</w:t>
      </w:r>
      <w:r>
        <w:rPr>
          <w:rFonts w:hint="eastAsia" w:ascii="宋体" w:hAnsi="宋体" w:eastAsia="宋体" w:cs="宋体"/>
          <w:spacing w:val="2"/>
          <w:sz w:val="24"/>
          <w:szCs w:val="24"/>
          <w:highlight w:val="none"/>
          <w:lang w:eastAsia="zh-CN"/>
        </w:rPr>
        <w:t>，并保证货物的</w:t>
      </w:r>
      <w:r>
        <w:rPr>
          <w:rFonts w:hint="eastAsia" w:ascii="宋体" w:hAnsi="宋体" w:cs="宋体"/>
          <w:spacing w:val="2"/>
          <w:sz w:val="24"/>
          <w:szCs w:val="24"/>
          <w:highlight w:val="none"/>
          <w:lang w:val="en-US" w:eastAsia="zh-CN"/>
        </w:rPr>
        <w:t>正常使用</w:t>
      </w:r>
      <w:r>
        <w:rPr>
          <w:rFonts w:hint="eastAsia" w:ascii="宋体" w:hAnsi="宋体" w:eastAsia="宋体" w:cs="宋体"/>
          <w:spacing w:val="2"/>
          <w:sz w:val="24"/>
          <w:szCs w:val="24"/>
          <w:highlight w:val="none"/>
          <w:lang w:eastAsia="zh-CN"/>
        </w:rPr>
        <w:t>。</w:t>
      </w:r>
    </w:p>
    <w:p w14:paraId="61318C43">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90" w:firstLineChars="200"/>
        <w:textAlignment w:val="auto"/>
        <w:rPr>
          <w:rFonts w:hint="eastAsia" w:ascii="宋体" w:hAnsi="宋体" w:eastAsia="宋体" w:cs="宋体"/>
          <w:b/>
          <w:bCs w:val="0"/>
          <w:spacing w:val="2"/>
          <w:sz w:val="24"/>
          <w:szCs w:val="24"/>
          <w:highlight w:val="none"/>
          <w:lang w:val="en-US"/>
        </w:rPr>
      </w:pPr>
      <w:r>
        <w:rPr>
          <w:rFonts w:hint="eastAsia" w:ascii="宋体" w:hAnsi="宋体" w:cs="宋体"/>
          <w:b/>
          <w:bCs w:val="0"/>
          <w:spacing w:val="2"/>
          <w:sz w:val="24"/>
          <w:szCs w:val="24"/>
          <w:highlight w:val="none"/>
          <w:lang w:val="en-US" w:eastAsia="zh-CN"/>
        </w:rPr>
        <w:t>十</w:t>
      </w:r>
      <w:r>
        <w:rPr>
          <w:rFonts w:hint="eastAsia" w:ascii="宋体" w:hAnsi="宋体" w:eastAsia="宋体" w:cs="宋体"/>
          <w:b/>
          <w:bCs w:val="0"/>
          <w:spacing w:val="2"/>
          <w:sz w:val="24"/>
          <w:szCs w:val="24"/>
          <w:highlight w:val="none"/>
          <w:lang w:eastAsia="zh-CN"/>
        </w:rPr>
        <w:t>、货物的包装</w:t>
      </w:r>
    </w:p>
    <w:p w14:paraId="2C01ABB4">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88" w:firstLineChars="200"/>
        <w:textAlignment w:val="auto"/>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val="en-US"/>
        </w:rPr>
        <w:t>1.</w:t>
      </w:r>
      <w:r>
        <w:rPr>
          <w:rFonts w:hint="eastAsia" w:ascii="宋体" w:hAnsi="宋体" w:eastAsia="宋体" w:cs="宋体"/>
          <w:spacing w:val="2"/>
          <w:sz w:val="24"/>
          <w:szCs w:val="24"/>
          <w:highlight w:val="none"/>
          <w:lang w:eastAsia="zh-CN"/>
        </w:rPr>
        <w:t>在本次采购项目中乙方提供货物涉及商品包装和快递包装的须满足《财政部等三部门联合印发商品包装和快递包装政府采购需求标准》（试行）</w:t>
      </w:r>
      <w:r>
        <w:rPr>
          <w:rFonts w:hint="eastAsia" w:ascii="宋体" w:hAnsi="宋体" w:eastAsia="宋体" w:cs="宋体"/>
          <w:spacing w:val="2"/>
          <w:sz w:val="24"/>
          <w:szCs w:val="24"/>
          <w:highlight w:val="none"/>
          <w:lang w:val="en-US"/>
        </w:rPr>
        <w:t>(</w:t>
      </w:r>
      <w:r>
        <w:rPr>
          <w:rFonts w:hint="eastAsia" w:ascii="宋体" w:hAnsi="宋体" w:eastAsia="宋体" w:cs="宋体"/>
          <w:spacing w:val="2"/>
          <w:sz w:val="24"/>
          <w:szCs w:val="24"/>
          <w:highlight w:val="none"/>
          <w:lang w:eastAsia="zh-CN"/>
        </w:rPr>
        <w:t>财办库〔</w:t>
      </w:r>
      <w:r>
        <w:rPr>
          <w:rFonts w:hint="eastAsia" w:ascii="宋体" w:hAnsi="宋体" w:eastAsia="宋体" w:cs="宋体"/>
          <w:spacing w:val="2"/>
          <w:sz w:val="24"/>
          <w:szCs w:val="24"/>
          <w:highlight w:val="none"/>
          <w:lang w:val="en-US"/>
        </w:rPr>
        <w:t>2020</w:t>
      </w:r>
      <w:r>
        <w:rPr>
          <w:rFonts w:hint="eastAsia" w:ascii="宋体" w:hAnsi="宋体" w:eastAsia="宋体" w:cs="宋体"/>
          <w:spacing w:val="2"/>
          <w:sz w:val="24"/>
          <w:szCs w:val="24"/>
          <w:highlight w:val="none"/>
          <w:lang w:eastAsia="zh-CN"/>
        </w:rPr>
        <w:t>〕</w:t>
      </w:r>
      <w:r>
        <w:rPr>
          <w:rFonts w:hint="eastAsia" w:ascii="宋体" w:hAnsi="宋体" w:eastAsia="宋体" w:cs="宋体"/>
          <w:spacing w:val="2"/>
          <w:sz w:val="24"/>
          <w:szCs w:val="24"/>
          <w:highlight w:val="none"/>
          <w:lang w:val="en-US"/>
        </w:rPr>
        <w:t>123</w:t>
      </w:r>
      <w:r>
        <w:rPr>
          <w:rFonts w:hint="eastAsia" w:ascii="宋体" w:hAnsi="宋体" w:eastAsia="宋体" w:cs="宋体"/>
          <w:spacing w:val="2"/>
          <w:sz w:val="24"/>
          <w:szCs w:val="24"/>
          <w:highlight w:val="none"/>
          <w:lang w:eastAsia="zh-CN"/>
        </w:rPr>
        <w:t>号文</w:t>
      </w:r>
      <w:r>
        <w:rPr>
          <w:rFonts w:hint="eastAsia" w:ascii="宋体" w:hAnsi="宋体" w:eastAsia="宋体" w:cs="宋体"/>
          <w:spacing w:val="2"/>
          <w:sz w:val="24"/>
          <w:szCs w:val="24"/>
          <w:highlight w:val="none"/>
          <w:lang w:val="en-US"/>
        </w:rPr>
        <w:t>)</w:t>
      </w:r>
      <w:r>
        <w:rPr>
          <w:rFonts w:hint="eastAsia" w:ascii="宋体" w:hAnsi="宋体" w:eastAsia="宋体" w:cs="宋体"/>
          <w:spacing w:val="2"/>
          <w:sz w:val="24"/>
          <w:szCs w:val="24"/>
          <w:highlight w:val="none"/>
          <w:lang w:eastAsia="zh-CN"/>
        </w:rPr>
        <w:t>。</w:t>
      </w:r>
    </w:p>
    <w:p w14:paraId="48935615">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88" w:firstLineChars="200"/>
        <w:textAlignment w:val="auto"/>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val="en-US"/>
        </w:rPr>
        <w:t>2.</w:t>
      </w:r>
      <w:r>
        <w:rPr>
          <w:rFonts w:hint="eastAsia" w:ascii="宋体" w:hAnsi="宋体" w:eastAsia="宋体" w:cs="宋体"/>
          <w:spacing w:val="2"/>
          <w:sz w:val="24"/>
          <w:szCs w:val="24"/>
          <w:highlight w:val="none"/>
          <w:lang w:eastAsia="zh-CN"/>
        </w:rPr>
        <w:t>乙方交付的所有合同货物应具有适于运输的坚固包装，并且乙方应根据合同货物的不同特性和要求采取防潮、防雨、防锈、防震、防腐等保护措施，以确保合同货物安全无损地送达甲方指定的交货地点。凡由于乙方对合同货物包装不善等原因致使合同货物遭到损坏或丢失，乙方承担由此产生的一切费用和给甲方造成的一切损失。</w:t>
      </w:r>
    </w:p>
    <w:p w14:paraId="10297017">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90" w:firstLineChars="200"/>
        <w:textAlignment w:val="auto"/>
        <w:rPr>
          <w:rFonts w:hint="eastAsia" w:ascii="宋体" w:hAnsi="宋体" w:eastAsia="宋体" w:cs="宋体"/>
          <w:b/>
          <w:bCs w:val="0"/>
          <w:spacing w:val="2"/>
          <w:sz w:val="24"/>
          <w:szCs w:val="24"/>
          <w:highlight w:val="none"/>
          <w:lang w:val="en-US"/>
        </w:rPr>
      </w:pPr>
      <w:r>
        <w:rPr>
          <w:rFonts w:hint="eastAsia" w:ascii="宋体" w:hAnsi="宋体" w:eastAsia="宋体" w:cs="宋体"/>
          <w:b/>
          <w:bCs w:val="0"/>
          <w:spacing w:val="2"/>
          <w:sz w:val="24"/>
          <w:szCs w:val="24"/>
          <w:highlight w:val="none"/>
          <w:lang w:eastAsia="zh-CN"/>
        </w:rPr>
        <w:t>十</w:t>
      </w:r>
      <w:r>
        <w:rPr>
          <w:rFonts w:hint="eastAsia" w:ascii="宋体" w:hAnsi="宋体" w:cs="宋体"/>
          <w:b/>
          <w:bCs w:val="0"/>
          <w:spacing w:val="2"/>
          <w:sz w:val="24"/>
          <w:szCs w:val="24"/>
          <w:highlight w:val="none"/>
          <w:lang w:val="en-US" w:eastAsia="zh-CN"/>
        </w:rPr>
        <w:t>一</w:t>
      </w:r>
      <w:r>
        <w:rPr>
          <w:rFonts w:hint="eastAsia" w:ascii="宋体" w:hAnsi="宋体" w:eastAsia="宋体" w:cs="宋体"/>
          <w:b/>
          <w:bCs w:val="0"/>
          <w:spacing w:val="2"/>
          <w:sz w:val="24"/>
          <w:szCs w:val="24"/>
          <w:highlight w:val="none"/>
          <w:lang w:eastAsia="zh-CN"/>
        </w:rPr>
        <w:t>、货物的安装、质量标准及其他</w:t>
      </w:r>
    </w:p>
    <w:p w14:paraId="36ADF378">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88" w:firstLineChars="200"/>
        <w:textAlignment w:val="auto"/>
        <w:rPr>
          <w:rFonts w:hint="eastAsia" w:ascii="宋体" w:hAnsi="宋体" w:eastAsia="宋体" w:cs="宋体"/>
          <w:sz w:val="24"/>
          <w:szCs w:val="24"/>
          <w:highlight w:val="none"/>
          <w:lang w:val="en-US"/>
        </w:rPr>
      </w:pPr>
      <w:r>
        <w:rPr>
          <w:rFonts w:hint="eastAsia" w:ascii="宋体" w:hAnsi="宋体" w:eastAsia="宋体" w:cs="宋体"/>
          <w:spacing w:val="2"/>
          <w:sz w:val="24"/>
          <w:szCs w:val="24"/>
          <w:highlight w:val="none"/>
          <w:lang w:val="en-US"/>
        </w:rPr>
        <w:t>1.</w:t>
      </w:r>
      <w:r>
        <w:rPr>
          <w:rFonts w:hint="eastAsia" w:ascii="宋体" w:hAnsi="宋体" w:eastAsia="宋体" w:cs="宋体"/>
          <w:spacing w:val="2"/>
          <w:sz w:val="24"/>
          <w:szCs w:val="24"/>
          <w:highlight w:val="none"/>
          <w:lang w:eastAsia="zh-CN"/>
        </w:rPr>
        <w:t>乙方应承诺提供给甲方的合同货物是制造商原厂生产的，全新、未使用过的，货物是制造厂商出厂检验合格的，符合中华人民共和国相关标准及相应的技术规范、行业的安全质量标准、环保标准；</w:t>
      </w:r>
      <w:r>
        <w:rPr>
          <w:rFonts w:hint="eastAsia" w:ascii="宋体" w:hAnsi="宋体" w:eastAsia="宋体" w:cs="宋体"/>
          <w:sz w:val="24"/>
          <w:szCs w:val="24"/>
          <w:highlight w:val="none"/>
          <w:lang w:eastAsia="zh-CN"/>
        </w:rPr>
        <w:t>完全符合本项目招标文件规定的质量、性能和规格的要求，并承诺严格按照乙方《投标文件》所附《开标一览表》及《技术服务条款偏离表》响应内容如实提供货物，同时提供质量合格证书、使用说明书等书面文件。</w:t>
      </w:r>
    </w:p>
    <w:p w14:paraId="31555A34">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88" w:firstLineChars="200"/>
        <w:textAlignment w:val="auto"/>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val="en-US"/>
        </w:rPr>
        <w:t>2.</w:t>
      </w:r>
      <w:r>
        <w:rPr>
          <w:rFonts w:hint="eastAsia" w:ascii="宋体" w:hAnsi="宋体" w:eastAsia="宋体" w:cs="宋体"/>
          <w:spacing w:val="2"/>
          <w:sz w:val="24"/>
          <w:szCs w:val="24"/>
          <w:highlight w:val="none"/>
          <w:lang w:eastAsia="zh-CN"/>
        </w:rPr>
        <w:t>当货物来源于中华人民共和国境外时，产品必须附有原产地证明、中华人民共和国商检机构的检验证明、合法进货渠道证明及海关完税证明、报关单，免检产品须附免检相关资料。此外，有关技术资料中须附有全文翻译的中文文本。</w:t>
      </w:r>
    </w:p>
    <w:p w14:paraId="5E9067C9">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88" w:firstLineChars="200"/>
        <w:textAlignment w:val="auto"/>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val="en-US"/>
        </w:rPr>
        <w:t>3.</w:t>
      </w:r>
      <w:r>
        <w:rPr>
          <w:rFonts w:hint="eastAsia" w:ascii="宋体" w:hAnsi="宋体" w:eastAsia="宋体" w:cs="宋体"/>
          <w:spacing w:val="2"/>
          <w:sz w:val="24"/>
          <w:szCs w:val="24"/>
          <w:highlight w:val="none"/>
          <w:lang w:eastAsia="zh-CN"/>
        </w:rPr>
        <w:t>乙方应保证所提供的货物经正确安装、合理操作和维护保养在其使用寿命期内具有令甲方满意的性能，并对由于合同货物的设计、工艺或材料的缺陷而发生的任何故障负责。</w:t>
      </w:r>
    </w:p>
    <w:p w14:paraId="33B99A24">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88" w:firstLineChars="200"/>
        <w:textAlignment w:val="auto"/>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val="en-US"/>
        </w:rPr>
        <w:t>4.</w:t>
      </w:r>
      <w:r>
        <w:rPr>
          <w:rFonts w:hint="eastAsia" w:ascii="宋体" w:hAnsi="宋体" w:eastAsia="宋体" w:cs="宋体"/>
          <w:spacing w:val="2"/>
          <w:sz w:val="24"/>
          <w:szCs w:val="24"/>
          <w:highlight w:val="none"/>
          <w:lang w:eastAsia="zh-CN"/>
        </w:rPr>
        <w:t>若检验时发现货物数量不足、规格与合同要求不符或开箱时虽然货物外包装完好无损，但箱内货物短缺或损伤，双方应签署书面形式证明，乙方应根据该证明及时补足或更换。</w:t>
      </w:r>
    </w:p>
    <w:p w14:paraId="43E3B2B4">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88" w:firstLineChars="200"/>
        <w:textAlignment w:val="auto"/>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val="en-US"/>
        </w:rPr>
        <w:t>5.</w:t>
      </w:r>
      <w:r>
        <w:rPr>
          <w:rFonts w:hint="eastAsia" w:ascii="宋体" w:hAnsi="宋体" w:eastAsia="宋体" w:cs="宋体"/>
          <w:spacing w:val="2"/>
          <w:sz w:val="24"/>
          <w:szCs w:val="24"/>
          <w:highlight w:val="none"/>
          <w:lang w:eastAsia="zh-CN"/>
        </w:rPr>
        <w:t>本合同各相关条款中凡与乙方责任或义务相关及由乙方原因所引起涉及各项货物、零件、部件、配件及资料的更、换、补、退等情形，所发生相关的任何价款、成本、费用，包括但不限于运输、安装、服务、维修、调试等，以及保险、税、费等，均应当由乙方承担。</w:t>
      </w:r>
    </w:p>
    <w:p w14:paraId="1D5B6D29">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88" w:firstLineChars="200"/>
        <w:textAlignment w:val="auto"/>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val="en-US"/>
        </w:rPr>
        <w:t>8.</w:t>
      </w:r>
      <w:r>
        <w:rPr>
          <w:rFonts w:hint="eastAsia" w:ascii="宋体" w:hAnsi="宋体" w:eastAsia="宋体" w:cs="宋体"/>
          <w:spacing w:val="2"/>
          <w:sz w:val="24"/>
          <w:szCs w:val="24"/>
          <w:highlight w:val="none"/>
          <w:lang w:eastAsia="zh-CN"/>
        </w:rPr>
        <w:t>培训：</w:t>
      </w:r>
    </w:p>
    <w:p w14:paraId="54BC6F16">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88" w:firstLineChars="200"/>
        <w:textAlignment w:val="auto"/>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eastAsia="zh-CN"/>
        </w:rPr>
        <w:t>厂家安装调试人员对甲方的使用人员及货物维修人员进行培训</w:t>
      </w:r>
      <w:r>
        <w:rPr>
          <w:rFonts w:hint="eastAsia" w:ascii="宋体" w:hAnsi="宋体" w:eastAsia="宋体" w:cs="宋体"/>
          <w:spacing w:val="2"/>
          <w:sz w:val="24"/>
          <w:szCs w:val="24"/>
          <w:highlight w:val="none"/>
          <w:lang w:val="en-US"/>
        </w:rPr>
        <w:t>,</w:t>
      </w:r>
      <w:r>
        <w:rPr>
          <w:rFonts w:hint="eastAsia" w:ascii="宋体" w:hAnsi="宋体" w:eastAsia="宋体" w:cs="宋体"/>
          <w:spacing w:val="2"/>
          <w:sz w:val="24"/>
          <w:szCs w:val="24"/>
          <w:highlight w:val="none"/>
          <w:lang w:eastAsia="zh-CN"/>
        </w:rPr>
        <w:t>达到使用人员能够熟练掌握货物的各项功能和操作</w:t>
      </w:r>
      <w:r>
        <w:rPr>
          <w:rFonts w:hint="eastAsia" w:ascii="宋体" w:hAnsi="宋体" w:eastAsia="宋体" w:cs="宋体"/>
          <w:spacing w:val="2"/>
          <w:sz w:val="24"/>
          <w:szCs w:val="24"/>
          <w:highlight w:val="none"/>
          <w:lang w:val="en-US"/>
        </w:rPr>
        <w:t>,</w:t>
      </w:r>
      <w:r>
        <w:rPr>
          <w:rFonts w:hint="eastAsia" w:ascii="宋体" w:hAnsi="宋体" w:eastAsia="宋体" w:cs="宋体"/>
          <w:spacing w:val="2"/>
          <w:sz w:val="24"/>
          <w:szCs w:val="24"/>
          <w:highlight w:val="none"/>
          <w:lang w:eastAsia="zh-CN"/>
        </w:rPr>
        <w:t>维修人员能对货物进行日常维护和一般性故障的查找及故障排除的目标。</w:t>
      </w:r>
    </w:p>
    <w:p w14:paraId="7043F982">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90" w:firstLineChars="200"/>
        <w:textAlignment w:val="auto"/>
        <w:rPr>
          <w:rFonts w:hint="eastAsia" w:ascii="宋体" w:hAnsi="宋体" w:eastAsia="宋体" w:cs="宋体"/>
          <w:b/>
          <w:bCs w:val="0"/>
          <w:spacing w:val="2"/>
          <w:sz w:val="24"/>
          <w:szCs w:val="24"/>
          <w:highlight w:val="none"/>
          <w:lang w:val="en-US"/>
        </w:rPr>
      </w:pPr>
      <w:r>
        <w:rPr>
          <w:rFonts w:hint="eastAsia" w:ascii="宋体" w:hAnsi="宋体" w:eastAsia="宋体" w:cs="宋体"/>
          <w:b/>
          <w:bCs w:val="0"/>
          <w:spacing w:val="2"/>
          <w:sz w:val="24"/>
          <w:szCs w:val="24"/>
          <w:highlight w:val="none"/>
          <w:lang w:eastAsia="zh-CN"/>
        </w:rPr>
        <w:t>十</w:t>
      </w:r>
      <w:r>
        <w:rPr>
          <w:rFonts w:hint="eastAsia" w:ascii="宋体" w:hAnsi="宋体" w:cs="宋体"/>
          <w:b/>
          <w:bCs w:val="0"/>
          <w:spacing w:val="2"/>
          <w:sz w:val="24"/>
          <w:szCs w:val="24"/>
          <w:highlight w:val="none"/>
          <w:lang w:val="en-US" w:eastAsia="zh-CN"/>
        </w:rPr>
        <w:t>二</w:t>
      </w:r>
      <w:r>
        <w:rPr>
          <w:rFonts w:hint="eastAsia" w:ascii="宋体" w:hAnsi="宋体" w:eastAsia="宋体" w:cs="宋体"/>
          <w:b/>
          <w:bCs w:val="0"/>
          <w:spacing w:val="2"/>
          <w:sz w:val="24"/>
          <w:szCs w:val="24"/>
          <w:highlight w:val="none"/>
          <w:lang w:eastAsia="zh-CN"/>
        </w:rPr>
        <w:t>、违约责任</w:t>
      </w:r>
    </w:p>
    <w:p w14:paraId="056B8F4A">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88" w:firstLineChars="200"/>
        <w:textAlignment w:val="auto"/>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val="en-US"/>
        </w:rPr>
        <w:t>1.</w:t>
      </w:r>
      <w:r>
        <w:rPr>
          <w:rFonts w:hint="eastAsia" w:ascii="宋体" w:hAnsi="宋体" w:eastAsia="宋体" w:cs="宋体"/>
          <w:spacing w:val="2"/>
          <w:sz w:val="24"/>
          <w:szCs w:val="24"/>
          <w:highlight w:val="none"/>
          <w:lang w:eastAsia="zh-CN"/>
        </w:rPr>
        <w:t>乙方未按照甲方要求时间到货，甲方有权直接向乙方发出违约通知书，违约金自逾期之日（无法确定逾期之日的按违约通知书发出之日）起按合同金额</w:t>
      </w:r>
      <w:r>
        <w:rPr>
          <w:rFonts w:hint="eastAsia" w:ascii="宋体" w:hAnsi="宋体" w:eastAsia="宋体" w:cs="宋体"/>
          <w:spacing w:val="2"/>
          <w:sz w:val="24"/>
          <w:szCs w:val="24"/>
          <w:highlight w:val="none"/>
          <w:u w:val="single"/>
          <w:lang w:eastAsia="zh-CN"/>
        </w:rPr>
        <w:t xml:space="preserve"> 千分之五 </w:t>
      </w:r>
      <w:r>
        <w:rPr>
          <w:rFonts w:hint="eastAsia" w:ascii="宋体" w:hAnsi="宋体" w:eastAsia="宋体" w:cs="宋体"/>
          <w:spacing w:val="2"/>
          <w:sz w:val="24"/>
          <w:szCs w:val="24"/>
          <w:highlight w:val="none"/>
          <w:lang w:eastAsia="zh-CN"/>
        </w:rPr>
        <w:t>计算每日违约金。如甲方无故逾期付款，乙方有权按此标准计算违约金。</w:t>
      </w:r>
    </w:p>
    <w:p w14:paraId="1DD03999">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88" w:firstLineChars="200"/>
        <w:textAlignment w:val="auto"/>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val="en-US"/>
        </w:rPr>
        <w:t>2.</w:t>
      </w:r>
      <w:r>
        <w:rPr>
          <w:rFonts w:hint="eastAsia" w:ascii="宋体" w:hAnsi="宋体" w:eastAsia="宋体" w:cs="宋体"/>
          <w:spacing w:val="2"/>
          <w:sz w:val="24"/>
          <w:szCs w:val="24"/>
          <w:highlight w:val="none"/>
          <w:lang w:eastAsia="zh-CN"/>
        </w:rPr>
        <w:t>乙方未按照甲方要求或合同约定进行售后服务、提供服务的：如有维修响应超时、故障货物修复期限超过</w:t>
      </w:r>
      <w:r>
        <w:rPr>
          <w:rFonts w:hint="eastAsia" w:ascii="宋体" w:hAnsi="宋体" w:eastAsia="宋体" w:cs="宋体"/>
          <w:spacing w:val="2"/>
          <w:sz w:val="24"/>
          <w:szCs w:val="24"/>
          <w:highlight w:val="none"/>
          <w:lang w:val="en-US"/>
        </w:rPr>
        <w:t>2</w:t>
      </w:r>
      <w:r>
        <w:rPr>
          <w:rFonts w:hint="eastAsia" w:ascii="宋体" w:hAnsi="宋体" w:eastAsia="宋体" w:cs="宋体"/>
          <w:spacing w:val="2"/>
          <w:sz w:val="24"/>
          <w:szCs w:val="24"/>
          <w:highlight w:val="none"/>
          <w:lang w:eastAsia="zh-CN"/>
        </w:rPr>
        <w:t>日而未提出解决办法、未按规定提供巡检服务、或缺少服务确认单据等情况、未如期提供各项培训或技术服务、未按期补足或更换货物、未履行维修义务等情形，甲方可认定乙方违约追究乙方的责任，按合同金额</w:t>
      </w:r>
      <w:r>
        <w:rPr>
          <w:rFonts w:hint="eastAsia" w:ascii="宋体" w:hAnsi="宋体" w:eastAsia="宋体" w:cs="宋体"/>
          <w:spacing w:val="2"/>
          <w:sz w:val="24"/>
          <w:szCs w:val="24"/>
          <w:highlight w:val="none"/>
          <w:u w:val="single"/>
          <w:lang w:eastAsia="zh-CN"/>
        </w:rPr>
        <w:t xml:space="preserve"> 千分之五 </w:t>
      </w:r>
      <w:r>
        <w:rPr>
          <w:rFonts w:hint="eastAsia" w:ascii="宋体" w:hAnsi="宋体" w:eastAsia="宋体" w:cs="宋体"/>
          <w:spacing w:val="2"/>
          <w:sz w:val="24"/>
          <w:szCs w:val="24"/>
          <w:highlight w:val="none"/>
          <w:lang w:eastAsia="zh-CN"/>
        </w:rPr>
        <w:t>计算每日违约金。</w:t>
      </w:r>
    </w:p>
    <w:p w14:paraId="4C039468">
      <w:pPr>
        <w:keepNext w:val="0"/>
        <w:keepLines w:val="0"/>
        <w:pageBreakBefore w:val="0"/>
        <w:widowControl w:val="0"/>
        <w:suppressLineNumbers w:val="0"/>
        <w:kinsoku/>
        <w:wordWrap/>
        <w:overflowPunct/>
        <w:topLinePunct w:val="0"/>
        <w:autoSpaceDE w:val="0"/>
        <w:autoSpaceDN/>
        <w:bidi w:val="0"/>
        <w:adjustRightInd w:val="0"/>
        <w:snapToGrid w:val="0"/>
        <w:spacing w:before="0" w:beforeAutospacing="0" w:after="0" w:afterAutospacing="0" w:line="360" w:lineRule="auto"/>
        <w:ind w:left="0" w:right="0" w:firstLine="488" w:firstLineChars="200"/>
        <w:jc w:val="both"/>
        <w:textAlignment w:val="auto"/>
        <w:rPr>
          <w:rFonts w:hint="eastAsia" w:ascii="宋体" w:hAnsi="宋体" w:eastAsia="宋体" w:cs="宋体"/>
          <w:spacing w:val="2"/>
          <w:sz w:val="24"/>
          <w:szCs w:val="24"/>
          <w:highlight w:val="none"/>
          <w:lang w:val="en-US"/>
        </w:rPr>
      </w:pPr>
      <w:r>
        <w:rPr>
          <w:rFonts w:hint="eastAsia" w:ascii="宋体" w:hAnsi="宋体" w:eastAsia="宋体" w:cs="宋体"/>
          <w:spacing w:val="2"/>
          <w:kern w:val="2"/>
          <w:sz w:val="24"/>
          <w:szCs w:val="24"/>
          <w:highlight w:val="none"/>
          <w:lang w:val="en-US" w:eastAsia="zh-CN" w:bidi="ar"/>
        </w:rPr>
        <w:t>3.乙方不履行合同义务或者以自己行为表示不再履行本合同义务的，甲方停止支付任何费用，并有权解除合同，乙方应按照本合同约定承担违约责任，向甲方支付合同总价</w:t>
      </w:r>
      <w:r>
        <w:rPr>
          <w:rFonts w:hint="eastAsia" w:ascii="宋体" w:hAnsi="宋体" w:eastAsia="宋体" w:cs="宋体"/>
          <w:spacing w:val="2"/>
          <w:kern w:val="2"/>
          <w:sz w:val="24"/>
          <w:szCs w:val="24"/>
          <w:highlight w:val="none"/>
          <w:u w:val="single"/>
          <w:lang w:val="en-US" w:eastAsia="zh-CN" w:bidi="ar"/>
        </w:rPr>
        <w:t xml:space="preserve"> 10 %</w:t>
      </w:r>
      <w:r>
        <w:rPr>
          <w:rFonts w:hint="eastAsia" w:ascii="宋体" w:hAnsi="宋体" w:eastAsia="宋体" w:cs="宋体"/>
          <w:spacing w:val="2"/>
          <w:kern w:val="2"/>
          <w:sz w:val="24"/>
          <w:szCs w:val="24"/>
          <w:highlight w:val="none"/>
          <w:lang w:val="en-US" w:eastAsia="zh-CN" w:bidi="ar"/>
        </w:rPr>
        <w:t>的违约金；给甲方造成损失的，还应当赔偿甲方其他全部直接损失和间接损失，并赔偿甲方实现合同权利所支出的全部费用，包括但不限于诉讼费、保全费、律师代理费、差旅费等费用。</w:t>
      </w:r>
    </w:p>
    <w:p w14:paraId="5923FB84">
      <w:pPr>
        <w:keepNext w:val="0"/>
        <w:keepLines w:val="0"/>
        <w:pageBreakBefore w:val="0"/>
        <w:widowControl w:val="0"/>
        <w:suppressLineNumbers w:val="0"/>
        <w:kinsoku/>
        <w:wordWrap/>
        <w:overflowPunct/>
        <w:topLinePunct w:val="0"/>
        <w:autoSpaceDE w:val="0"/>
        <w:autoSpaceDN/>
        <w:bidi w:val="0"/>
        <w:adjustRightInd w:val="0"/>
        <w:snapToGrid w:val="0"/>
        <w:spacing w:before="0" w:beforeAutospacing="0" w:after="0" w:afterAutospacing="0" w:line="360" w:lineRule="auto"/>
        <w:ind w:left="0" w:right="0" w:firstLine="488" w:firstLineChars="200"/>
        <w:jc w:val="both"/>
        <w:textAlignment w:val="auto"/>
        <w:rPr>
          <w:rFonts w:hint="eastAsia" w:ascii="宋体" w:hAnsi="宋体" w:eastAsia="宋体" w:cs="宋体"/>
          <w:spacing w:val="2"/>
          <w:sz w:val="24"/>
          <w:szCs w:val="24"/>
          <w:highlight w:val="none"/>
          <w:lang w:val="en-US"/>
        </w:rPr>
      </w:pPr>
      <w:r>
        <w:rPr>
          <w:rFonts w:hint="eastAsia" w:ascii="宋体" w:hAnsi="宋体" w:eastAsia="宋体" w:cs="宋体"/>
          <w:spacing w:val="2"/>
          <w:kern w:val="2"/>
          <w:sz w:val="24"/>
          <w:szCs w:val="24"/>
          <w:highlight w:val="none"/>
          <w:lang w:val="en-US" w:eastAsia="zh-CN" w:bidi="ar"/>
        </w:rPr>
        <w:t>4.合同执行期内，甲方发现乙方存在资质、业绩或其它造假行为，以及违反投标规定的违法行为，一经核实有权单方面解除合同，乙方应按照本合同约定承担违约责任，应当向甲方支付合同总价</w:t>
      </w:r>
      <w:r>
        <w:rPr>
          <w:rFonts w:hint="eastAsia" w:ascii="宋体" w:hAnsi="宋体" w:eastAsia="宋体" w:cs="宋体"/>
          <w:spacing w:val="2"/>
          <w:kern w:val="2"/>
          <w:sz w:val="24"/>
          <w:szCs w:val="24"/>
          <w:highlight w:val="none"/>
          <w:u w:val="single"/>
          <w:lang w:val="en-US" w:eastAsia="zh-CN" w:bidi="ar"/>
        </w:rPr>
        <w:t>10 %</w:t>
      </w:r>
      <w:r>
        <w:rPr>
          <w:rFonts w:hint="eastAsia" w:ascii="宋体" w:hAnsi="宋体" w:eastAsia="宋体" w:cs="宋体"/>
          <w:spacing w:val="2"/>
          <w:kern w:val="2"/>
          <w:sz w:val="24"/>
          <w:szCs w:val="24"/>
          <w:highlight w:val="none"/>
          <w:lang w:val="en-US" w:eastAsia="zh-CN" w:bidi="ar"/>
        </w:rPr>
        <w:t>的违约金；给甲方造成损失的，还应当赔偿甲方其他全部直接损失和间接损失，并赔偿甲方实现合同权利所支出的全部费用，包括但不限于诉讼费、保全费、律师代理费、差旅费等费用。</w:t>
      </w:r>
    </w:p>
    <w:p w14:paraId="5EA2FCF7">
      <w:pPr>
        <w:keepNext w:val="0"/>
        <w:keepLines w:val="0"/>
        <w:pageBreakBefore w:val="0"/>
        <w:widowControl w:val="0"/>
        <w:suppressLineNumbers w:val="0"/>
        <w:kinsoku/>
        <w:wordWrap/>
        <w:overflowPunct/>
        <w:topLinePunct w:val="0"/>
        <w:autoSpaceDE w:val="0"/>
        <w:autoSpaceDN/>
        <w:bidi w:val="0"/>
        <w:adjustRightInd w:val="0"/>
        <w:snapToGrid w:val="0"/>
        <w:spacing w:before="0" w:beforeAutospacing="0" w:after="0" w:afterAutospacing="0" w:line="360" w:lineRule="auto"/>
        <w:ind w:left="0" w:right="0" w:firstLine="488" w:firstLineChars="200"/>
        <w:jc w:val="both"/>
        <w:textAlignment w:val="auto"/>
        <w:rPr>
          <w:rFonts w:hint="eastAsia" w:ascii="宋体" w:hAnsi="宋体" w:eastAsia="宋体" w:cs="宋体"/>
          <w:spacing w:val="2"/>
          <w:sz w:val="24"/>
          <w:szCs w:val="24"/>
          <w:highlight w:val="none"/>
          <w:lang w:val="en-US"/>
        </w:rPr>
      </w:pPr>
      <w:r>
        <w:rPr>
          <w:rFonts w:hint="eastAsia" w:ascii="宋体" w:hAnsi="宋体" w:eastAsia="宋体" w:cs="宋体"/>
          <w:spacing w:val="2"/>
          <w:kern w:val="2"/>
          <w:sz w:val="24"/>
          <w:szCs w:val="24"/>
          <w:highlight w:val="none"/>
          <w:lang w:val="en-US" w:eastAsia="zh-CN" w:bidi="ar"/>
        </w:rPr>
        <w:t>5.乙方提供合同货物如满足不了甲方要求，经甲方确认可以由乙方更换的，由乙方负责包换，并承担调换或退货而支付的全部费用；乙方不能调换的，甲方有权终止合同不予付款。如甲方认定为乙方根本违约的，甲方可终止合同，乙方应按照本合同约定承担违约责任，并应当向甲方支付合同总价</w:t>
      </w:r>
      <w:r>
        <w:rPr>
          <w:rFonts w:hint="eastAsia" w:ascii="宋体" w:hAnsi="宋体" w:eastAsia="宋体" w:cs="宋体"/>
          <w:spacing w:val="2"/>
          <w:kern w:val="2"/>
          <w:sz w:val="24"/>
          <w:szCs w:val="24"/>
          <w:highlight w:val="none"/>
          <w:u w:val="single"/>
          <w:lang w:val="en-US" w:eastAsia="zh-CN" w:bidi="ar"/>
        </w:rPr>
        <w:t>10 %</w:t>
      </w:r>
      <w:r>
        <w:rPr>
          <w:rFonts w:hint="eastAsia" w:ascii="宋体" w:hAnsi="宋体" w:eastAsia="宋体" w:cs="宋体"/>
          <w:spacing w:val="2"/>
          <w:kern w:val="2"/>
          <w:sz w:val="24"/>
          <w:szCs w:val="24"/>
          <w:highlight w:val="none"/>
          <w:lang w:val="en-US" w:eastAsia="zh-CN" w:bidi="ar"/>
        </w:rPr>
        <w:t>的违约金；给甲方造成损失的，还应当赔偿甲方其他全部直接损失和间接损失，并赔偿甲方实现合同权利所支出的全部费用，包括但不限于诉讼费、保全费、律师代理费、差旅费等费用。</w:t>
      </w:r>
    </w:p>
    <w:p w14:paraId="26F1B7EF">
      <w:pPr>
        <w:pStyle w:val="9"/>
        <w:keepNext w:val="0"/>
        <w:keepLines w:val="0"/>
        <w:pageBreakBefore w:val="0"/>
        <w:widowControl/>
        <w:suppressLineNumbers w:val="0"/>
        <w:kinsoku/>
        <w:wordWrap/>
        <w:overflowPunct/>
        <w:topLinePunct w:val="0"/>
        <w:autoSpaceDE w:val="0"/>
        <w:autoSpaceDN/>
        <w:bidi w:val="0"/>
        <w:adjustRightInd w:val="0"/>
        <w:snapToGrid w:val="0"/>
        <w:spacing w:line="360" w:lineRule="auto"/>
        <w:ind w:left="0" w:firstLine="488" w:firstLineChars="200"/>
        <w:textAlignment w:val="auto"/>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val="en-US"/>
        </w:rPr>
        <w:t>6.</w:t>
      </w:r>
      <w:r>
        <w:rPr>
          <w:rFonts w:hint="eastAsia" w:ascii="宋体" w:hAnsi="宋体" w:eastAsia="宋体" w:cs="宋体"/>
          <w:spacing w:val="2"/>
          <w:sz w:val="24"/>
          <w:szCs w:val="24"/>
          <w:highlight w:val="none"/>
          <w:lang w:eastAsia="zh-CN"/>
        </w:rPr>
        <w:t>乙方在保修期结束前，未对货物进行一次全面检查维保，保障货物正常运行的，甲方可认定乙方违约追究乙方的责任，按合同金额</w:t>
      </w:r>
      <w:r>
        <w:rPr>
          <w:rFonts w:hint="eastAsia" w:ascii="宋体" w:hAnsi="宋体" w:eastAsia="宋体" w:cs="宋体"/>
          <w:spacing w:val="2"/>
          <w:sz w:val="24"/>
          <w:szCs w:val="24"/>
          <w:highlight w:val="none"/>
          <w:u w:val="single"/>
          <w:lang w:eastAsia="zh-CN"/>
        </w:rPr>
        <w:t xml:space="preserve"> 千分之五 </w:t>
      </w:r>
      <w:r>
        <w:rPr>
          <w:rFonts w:hint="eastAsia" w:ascii="宋体" w:hAnsi="宋体" w:eastAsia="宋体" w:cs="宋体"/>
          <w:spacing w:val="2"/>
          <w:sz w:val="24"/>
          <w:szCs w:val="24"/>
          <w:highlight w:val="none"/>
          <w:lang w:eastAsia="zh-CN"/>
        </w:rPr>
        <w:t>计算每日违约金。</w:t>
      </w:r>
    </w:p>
    <w:p w14:paraId="1B2CD1AF">
      <w:pPr>
        <w:pStyle w:val="9"/>
        <w:keepNext w:val="0"/>
        <w:keepLines w:val="0"/>
        <w:pageBreakBefore w:val="0"/>
        <w:widowControl/>
        <w:suppressLineNumbers w:val="0"/>
        <w:kinsoku/>
        <w:wordWrap/>
        <w:overflowPunct/>
        <w:topLinePunct w:val="0"/>
        <w:autoSpaceDE w:val="0"/>
        <w:autoSpaceDN/>
        <w:bidi w:val="0"/>
        <w:adjustRightInd w:val="0"/>
        <w:snapToGrid w:val="0"/>
        <w:spacing w:line="360" w:lineRule="auto"/>
        <w:ind w:left="0" w:firstLine="488" w:firstLineChars="200"/>
        <w:textAlignment w:val="auto"/>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val="en-US"/>
        </w:rPr>
        <w:t>7.</w:t>
      </w:r>
      <w:r>
        <w:rPr>
          <w:rFonts w:hint="eastAsia" w:ascii="宋体" w:hAnsi="宋体" w:eastAsia="宋体" w:cs="宋体"/>
          <w:spacing w:val="2"/>
          <w:sz w:val="24"/>
          <w:szCs w:val="24"/>
          <w:highlight w:val="none"/>
          <w:lang w:eastAsia="zh-CN"/>
        </w:rPr>
        <w:t>乙方未对合同货物免费提供系统软件、功能性软件或安全性软件升级服务的，甲方可认定乙方违约追究乙方的责任，按合同金额</w:t>
      </w:r>
      <w:r>
        <w:rPr>
          <w:rFonts w:hint="eastAsia" w:ascii="宋体" w:hAnsi="宋体" w:eastAsia="宋体" w:cs="宋体"/>
          <w:spacing w:val="2"/>
          <w:sz w:val="24"/>
          <w:szCs w:val="24"/>
          <w:highlight w:val="none"/>
          <w:u w:val="single"/>
          <w:lang w:eastAsia="zh-CN"/>
        </w:rPr>
        <w:t xml:space="preserve"> 千分之五 </w:t>
      </w:r>
      <w:r>
        <w:rPr>
          <w:rFonts w:hint="eastAsia" w:ascii="宋体" w:hAnsi="宋体" w:eastAsia="宋体" w:cs="宋体"/>
          <w:spacing w:val="2"/>
          <w:sz w:val="24"/>
          <w:szCs w:val="24"/>
          <w:highlight w:val="none"/>
          <w:lang w:eastAsia="zh-CN"/>
        </w:rPr>
        <w:t>计算每日违约金。</w:t>
      </w:r>
    </w:p>
    <w:p w14:paraId="55E63D1C">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90" w:firstLineChars="200"/>
        <w:textAlignment w:val="auto"/>
        <w:rPr>
          <w:rFonts w:hint="eastAsia" w:ascii="宋体" w:hAnsi="宋体" w:eastAsia="宋体" w:cs="宋体"/>
          <w:b/>
          <w:bCs w:val="0"/>
          <w:spacing w:val="2"/>
          <w:sz w:val="24"/>
          <w:szCs w:val="24"/>
          <w:highlight w:val="none"/>
          <w:lang w:val="en-US"/>
        </w:rPr>
      </w:pPr>
      <w:r>
        <w:rPr>
          <w:rFonts w:hint="eastAsia" w:ascii="宋体" w:hAnsi="宋体" w:eastAsia="宋体" w:cs="宋体"/>
          <w:b/>
          <w:bCs w:val="0"/>
          <w:spacing w:val="2"/>
          <w:sz w:val="24"/>
          <w:szCs w:val="24"/>
          <w:highlight w:val="none"/>
          <w:lang w:eastAsia="zh-CN"/>
        </w:rPr>
        <w:t>十</w:t>
      </w:r>
      <w:r>
        <w:rPr>
          <w:rFonts w:hint="eastAsia" w:ascii="宋体" w:hAnsi="宋体" w:cs="宋体"/>
          <w:b/>
          <w:bCs w:val="0"/>
          <w:spacing w:val="2"/>
          <w:sz w:val="24"/>
          <w:szCs w:val="24"/>
          <w:highlight w:val="none"/>
          <w:lang w:val="en-US" w:eastAsia="zh-CN"/>
        </w:rPr>
        <w:t>三</w:t>
      </w:r>
      <w:r>
        <w:rPr>
          <w:rFonts w:hint="eastAsia" w:ascii="宋体" w:hAnsi="宋体" w:eastAsia="宋体" w:cs="宋体"/>
          <w:b/>
          <w:bCs w:val="0"/>
          <w:spacing w:val="2"/>
          <w:sz w:val="24"/>
          <w:szCs w:val="24"/>
          <w:highlight w:val="none"/>
          <w:lang w:eastAsia="zh-CN"/>
        </w:rPr>
        <w:t>、不可抗力</w:t>
      </w:r>
    </w:p>
    <w:p w14:paraId="54438065">
      <w:pPr>
        <w:keepNext w:val="0"/>
        <w:keepLines w:val="0"/>
        <w:pageBreakBefore w:val="0"/>
        <w:widowControl w:val="0"/>
        <w:suppressLineNumbers w:val="0"/>
        <w:kinsoku/>
        <w:wordWrap/>
        <w:overflowPunct/>
        <w:topLinePunct w:val="0"/>
        <w:autoSpaceDE w:val="0"/>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sz w:val="24"/>
          <w:szCs w:val="24"/>
          <w:highlight w:val="none"/>
          <w:lang w:val="en-US"/>
        </w:rPr>
      </w:pPr>
      <w:r>
        <w:rPr>
          <w:rFonts w:hint="eastAsia" w:ascii="宋体" w:hAnsi="宋体" w:eastAsia="宋体" w:cs="宋体"/>
          <w:kern w:val="2"/>
          <w:sz w:val="24"/>
          <w:szCs w:val="24"/>
          <w:highlight w:val="none"/>
          <w:lang w:val="en-US" w:eastAsia="zh-CN" w:bidi="ar"/>
        </w:rPr>
        <w:t>1.甲、乙双方因不可抗力不能履行合同义务的，根据不可抗力的影响，部分或者全部免除责任。</w:t>
      </w:r>
    </w:p>
    <w:p w14:paraId="7C831270">
      <w:pPr>
        <w:keepNext w:val="0"/>
        <w:keepLines w:val="0"/>
        <w:pageBreakBefore w:val="0"/>
        <w:widowControl w:val="0"/>
        <w:suppressLineNumbers w:val="0"/>
        <w:kinsoku/>
        <w:wordWrap/>
        <w:overflowPunct/>
        <w:topLinePunct w:val="0"/>
        <w:autoSpaceDE w:val="0"/>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sz w:val="24"/>
          <w:szCs w:val="24"/>
          <w:highlight w:val="none"/>
          <w:lang w:val="en-US"/>
        </w:rPr>
      </w:pPr>
      <w:r>
        <w:rPr>
          <w:rFonts w:hint="eastAsia" w:ascii="宋体" w:hAnsi="宋体" w:eastAsia="宋体" w:cs="宋体"/>
          <w:kern w:val="2"/>
          <w:sz w:val="24"/>
          <w:szCs w:val="24"/>
          <w:highlight w:val="none"/>
          <w:lang w:val="en-US" w:eastAsia="zh-CN" w:bidi="ar"/>
        </w:rPr>
        <w:t>2.本条所述的“不可抗力”系指不能预见、不能避免并不能克服的客观情况，包括战争、严重火灾、洪水、台风、地震、国家法律变化和政府行为等事件，但不包括乙方的违约和疏忽。</w:t>
      </w:r>
    </w:p>
    <w:p w14:paraId="487D022F">
      <w:pPr>
        <w:keepNext w:val="0"/>
        <w:keepLines w:val="0"/>
        <w:pageBreakBefore w:val="0"/>
        <w:widowControl w:val="0"/>
        <w:suppressLineNumbers w:val="0"/>
        <w:kinsoku/>
        <w:wordWrap/>
        <w:overflowPunct/>
        <w:topLinePunct w:val="0"/>
        <w:autoSpaceDE w:val="0"/>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sz w:val="24"/>
          <w:szCs w:val="24"/>
          <w:highlight w:val="none"/>
          <w:lang w:val="en-US"/>
        </w:rPr>
      </w:pPr>
      <w:r>
        <w:rPr>
          <w:rFonts w:hint="eastAsia" w:ascii="宋体" w:hAnsi="宋体" w:eastAsia="宋体" w:cs="宋体"/>
          <w:kern w:val="2"/>
          <w:sz w:val="24"/>
          <w:szCs w:val="24"/>
          <w:highlight w:val="none"/>
          <w:lang w:val="en-US" w:eastAsia="zh-CN" w:bidi="ar"/>
        </w:rPr>
        <w:t>3.在不可抗力事件发生后，受不可抗力影响的一方应在发生不可抗力事由之日起7日内以书面形式将不可抗力的情况和原因通知另一方,并提交不可抗力发生地政府相关部门证明资料。按不可抗力对合同履行的影响程度，甲乙双方协商是否延期履行、部分履行或者不履行合同，并根据情况商定可部分或全部免于承担违约责任。</w:t>
      </w:r>
    </w:p>
    <w:p w14:paraId="738E288C">
      <w:pPr>
        <w:keepNext w:val="0"/>
        <w:keepLines w:val="0"/>
        <w:pageBreakBefore w:val="0"/>
        <w:widowControl w:val="0"/>
        <w:suppressLineNumbers w:val="0"/>
        <w:kinsoku/>
        <w:wordWrap/>
        <w:overflowPunct/>
        <w:topLinePunct w:val="0"/>
        <w:autoSpaceDE w:val="0"/>
        <w:autoSpaceDN/>
        <w:bidi w:val="0"/>
        <w:adjustRightInd w:val="0"/>
        <w:snapToGrid w:val="0"/>
        <w:spacing w:before="0" w:beforeAutospacing="0" w:after="0" w:afterAutospacing="0" w:line="360" w:lineRule="auto"/>
        <w:ind w:left="0" w:right="0" w:firstLine="480" w:firstLineChars="200"/>
        <w:jc w:val="both"/>
        <w:textAlignment w:val="auto"/>
        <w:rPr>
          <w:rFonts w:hint="eastAsia" w:ascii="宋体" w:hAnsi="宋体" w:eastAsia="宋体" w:cs="宋体"/>
          <w:sz w:val="24"/>
          <w:szCs w:val="24"/>
          <w:highlight w:val="none"/>
          <w:lang w:val="en-US"/>
        </w:rPr>
      </w:pPr>
      <w:r>
        <w:rPr>
          <w:rFonts w:hint="eastAsia" w:ascii="宋体" w:hAnsi="宋体" w:eastAsia="宋体" w:cs="宋体"/>
          <w:kern w:val="2"/>
          <w:sz w:val="24"/>
          <w:szCs w:val="24"/>
          <w:highlight w:val="none"/>
          <w:lang w:val="en-US" w:eastAsia="zh-CN" w:bidi="ar"/>
        </w:rPr>
        <w:t>4.除另一方明确要求外，受不可抗力影响的一方应尽可能继续履行合同义务，以及寻求采取合理的方案履行未受不可抗力影响的其他合同义务，并尽可能地及时采取合理的措施减轻不可抗力对本合同的履行所造成的影响。没有采取适当措施致使损失扩大的，该方不得就扩大损失的部分要求免责或赔偿。</w:t>
      </w:r>
    </w:p>
    <w:p w14:paraId="219CA563">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90" w:firstLineChars="200"/>
        <w:textAlignment w:val="auto"/>
        <w:rPr>
          <w:rFonts w:hint="eastAsia" w:ascii="宋体" w:hAnsi="宋体" w:eastAsia="宋体" w:cs="宋体"/>
          <w:b/>
          <w:bCs w:val="0"/>
          <w:spacing w:val="2"/>
          <w:sz w:val="24"/>
          <w:szCs w:val="24"/>
          <w:highlight w:val="none"/>
          <w:lang w:val="en-US"/>
        </w:rPr>
      </w:pPr>
      <w:r>
        <w:rPr>
          <w:rFonts w:hint="eastAsia" w:ascii="宋体" w:hAnsi="宋体" w:eastAsia="宋体" w:cs="宋体"/>
          <w:b/>
          <w:bCs w:val="0"/>
          <w:spacing w:val="2"/>
          <w:sz w:val="24"/>
          <w:szCs w:val="24"/>
          <w:highlight w:val="none"/>
          <w:lang w:eastAsia="zh-CN"/>
        </w:rPr>
        <w:t>十</w:t>
      </w:r>
      <w:r>
        <w:rPr>
          <w:rFonts w:hint="eastAsia" w:ascii="宋体" w:hAnsi="宋体" w:cs="宋体"/>
          <w:b/>
          <w:bCs w:val="0"/>
          <w:spacing w:val="2"/>
          <w:sz w:val="24"/>
          <w:szCs w:val="24"/>
          <w:highlight w:val="none"/>
          <w:lang w:val="en-US" w:eastAsia="zh-CN"/>
        </w:rPr>
        <w:t>四</w:t>
      </w:r>
      <w:r>
        <w:rPr>
          <w:rFonts w:hint="eastAsia" w:ascii="宋体" w:hAnsi="宋体" w:eastAsia="宋体" w:cs="宋体"/>
          <w:b/>
          <w:bCs w:val="0"/>
          <w:spacing w:val="2"/>
          <w:sz w:val="24"/>
          <w:szCs w:val="24"/>
          <w:highlight w:val="none"/>
          <w:lang w:eastAsia="zh-CN"/>
        </w:rPr>
        <w:t>、合同终止</w:t>
      </w:r>
    </w:p>
    <w:p w14:paraId="66CFB373">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88" w:firstLineChars="200"/>
        <w:textAlignment w:val="auto"/>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val="en-US"/>
        </w:rPr>
        <w:t>1.</w:t>
      </w:r>
      <w:r>
        <w:rPr>
          <w:rFonts w:hint="eastAsia" w:ascii="宋体" w:hAnsi="宋体" w:eastAsia="宋体" w:cs="宋体"/>
          <w:spacing w:val="2"/>
          <w:sz w:val="24"/>
          <w:szCs w:val="24"/>
          <w:highlight w:val="none"/>
          <w:lang w:eastAsia="zh-CN"/>
        </w:rPr>
        <w:t>本合同因下列原因而终止：</w:t>
      </w:r>
    </w:p>
    <w:p w14:paraId="6B26B104">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88" w:firstLineChars="200"/>
        <w:textAlignment w:val="auto"/>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val="en-US"/>
        </w:rPr>
        <w:t>1</w:t>
      </w:r>
      <w:r>
        <w:rPr>
          <w:rFonts w:hint="eastAsia" w:ascii="宋体" w:hAnsi="宋体" w:eastAsia="宋体" w:cs="宋体"/>
          <w:spacing w:val="2"/>
          <w:sz w:val="24"/>
          <w:szCs w:val="24"/>
          <w:highlight w:val="none"/>
          <w:lang w:eastAsia="zh-CN"/>
        </w:rPr>
        <w:t>）本合同正常履行完毕；</w:t>
      </w:r>
    </w:p>
    <w:p w14:paraId="1209A950">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88" w:firstLineChars="200"/>
        <w:textAlignment w:val="auto"/>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val="en-US"/>
        </w:rPr>
        <w:t>2</w:t>
      </w:r>
      <w:r>
        <w:rPr>
          <w:rFonts w:hint="eastAsia" w:ascii="宋体" w:hAnsi="宋体" w:eastAsia="宋体" w:cs="宋体"/>
          <w:spacing w:val="2"/>
          <w:sz w:val="24"/>
          <w:szCs w:val="24"/>
          <w:highlight w:val="none"/>
          <w:lang w:eastAsia="zh-CN"/>
        </w:rPr>
        <w:t>）合同双方协议终止本合同的履行；</w:t>
      </w:r>
    </w:p>
    <w:p w14:paraId="6CA2CAAA">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88" w:firstLineChars="200"/>
        <w:textAlignment w:val="auto"/>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val="en-US"/>
        </w:rPr>
        <w:t>3</w:t>
      </w:r>
      <w:r>
        <w:rPr>
          <w:rFonts w:hint="eastAsia" w:ascii="宋体" w:hAnsi="宋体" w:eastAsia="宋体" w:cs="宋体"/>
          <w:spacing w:val="2"/>
          <w:sz w:val="24"/>
          <w:szCs w:val="24"/>
          <w:highlight w:val="none"/>
          <w:lang w:eastAsia="zh-CN"/>
        </w:rPr>
        <w:t>）不可抗力事件导致本合同无法履行或履行不必要；</w:t>
      </w:r>
    </w:p>
    <w:p w14:paraId="032F3DB3">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88" w:firstLineChars="200"/>
        <w:textAlignment w:val="auto"/>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val="en-US"/>
        </w:rPr>
        <w:t>4</w:t>
      </w:r>
      <w:r>
        <w:rPr>
          <w:rFonts w:hint="eastAsia" w:ascii="宋体" w:hAnsi="宋体" w:eastAsia="宋体" w:cs="宋体"/>
          <w:spacing w:val="2"/>
          <w:sz w:val="24"/>
          <w:szCs w:val="24"/>
          <w:highlight w:val="none"/>
          <w:lang w:eastAsia="zh-CN"/>
        </w:rPr>
        <w:t>）任何一方行使解除权，解除本合同。</w:t>
      </w:r>
    </w:p>
    <w:p w14:paraId="3B58FA1B">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88" w:firstLineChars="200"/>
        <w:textAlignment w:val="auto"/>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val="en-US"/>
        </w:rPr>
        <w:t>2.</w:t>
      </w:r>
      <w:r>
        <w:rPr>
          <w:rFonts w:hint="eastAsia" w:ascii="宋体" w:hAnsi="宋体" w:eastAsia="宋体" w:cs="宋体"/>
          <w:spacing w:val="2"/>
          <w:sz w:val="24"/>
          <w:szCs w:val="24"/>
          <w:highlight w:val="none"/>
          <w:lang w:eastAsia="zh-CN"/>
        </w:rPr>
        <w:t>对本合同终止有过错的一方应赔偿另一方因合同终止而受到的损失。对合同终止双方均无过错的，则各自承担所受到的损失。</w:t>
      </w:r>
    </w:p>
    <w:p w14:paraId="031CC499">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90" w:firstLineChars="200"/>
        <w:textAlignment w:val="auto"/>
        <w:rPr>
          <w:rFonts w:hint="eastAsia" w:ascii="宋体" w:hAnsi="宋体" w:eastAsia="宋体" w:cs="宋体"/>
          <w:b/>
          <w:bCs w:val="0"/>
          <w:spacing w:val="2"/>
          <w:sz w:val="24"/>
          <w:szCs w:val="24"/>
          <w:highlight w:val="none"/>
          <w:lang w:val="en-US"/>
        </w:rPr>
      </w:pPr>
      <w:r>
        <w:rPr>
          <w:rFonts w:hint="eastAsia" w:ascii="宋体" w:hAnsi="宋体" w:eastAsia="宋体" w:cs="宋体"/>
          <w:b/>
          <w:bCs w:val="0"/>
          <w:spacing w:val="2"/>
          <w:sz w:val="24"/>
          <w:szCs w:val="24"/>
          <w:highlight w:val="none"/>
          <w:lang w:eastAsia="zh-CN"/>
        </w:rPr>
        <w:t>十</w:t>
      </w:r>
      <w:r>
        <w:rPr>
          <w:rFonts w:hint="eastAsia" w:ascii="宋体" w:hAnsi="宋体" w:cs="宋体"/>
          <w:b/>
          <w:bCs w:val="0"/>
          <w:spacing w:val="2"/>
          <w:sz w:val="24"/>
          <w:szCs w:val="24"/>
          <w:highlight w:val="none"/>
          <w:lang w:val="en-US" w:eastAsia="zh-CN"/>
        </w:rPr>
        <w:t>五</w:t>
      </w:r>
      <w:r>
        <w:rPr>
          <w:rFonts w:hint="eastAsia" w:ascii="宋体" w:hAnsi="宋体" w:eastAsia="宋体" w:cs="宋体"/>
          <w:b/>
          <w:bCs w:val="0"/>
          <w:spacing w:val="2"/>
          <w:sz w:val="24"/>
          <w:szCs w:val="24"/>
          <w:highlight w:val="none"/>
          <w:lang w:eastAsia="zh-CN"/>
        </w:rPr>
        <w:t>、合同解除</w:t>
      </w:r>
    </w:p>
    <w:p w14:paraId="261BE233">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88" w:firstLineChars="200"/>
        <w:textAlignment w:val="auto"/>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val="en-US"/>
        </w:rPr>
        <w:t>1.</w:t>
      </w:r>
      <w:r>
        <w:rPr>
          <w:rFonts w:hint="eastAsia" w:ascii="宋体" w:hAnsi="宋体" w:eastAsia="宋体" w:cs="宋体"/>
          <w:spacing w:val="2"/>
          <w:sz w:val="24"/>
          <w:szCs w:val="24"/>
          <w:highlight w:val="none"/>
          <w:lang w:eastAsia="zh-CN"/>
        </w:rPr>
        <w:t>在本合同履行过程中，如果发生以下情形之一，甲方可以通知乙方解除合同：</w:t>
      </w:r>
    </w:p>
    <w:p w14:paraId="27FD6FCD">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88" w:firstLineChars="200"/>
        <w:textAlignment w:val="auto"/>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val="en-US"/>
        </w:rPr>
        <w:t>1.1</w:t>
      </w:r>
      <w:r>
        <w:rPr>
          <w:rFonts w:hint="eastAsia" w:ascii="宋体" w:hAnsi="宋体" w:eastAsia="宋体" w:cs="宋体"/>
          <w:spacing w:val="2"/>
          <w:sz w:val="24"/>
          <w:szCs w:val="24"/>
          <w:highlight w:val="none"/>
          <w:lang w:eastAsia="zh-CN"/>
        </w:rPr>
        <w:t>因乙方根本违约使合同无法继续履行或没有必要继续履行；</w:t>
      </w:r>
    </w:p>
    <w:p w14:paraId="321904C6">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88" w:firstLineChars="200"/>
        <w:textAlignment w:val="auto"/>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val="en-US"/>
        </w:rPr>
        <w:t>1.2</w:t>
      </w:r>
      <w:r>
        <w:rPr>
          <w:rFonts w:hint="eastAsia" w:ascii="宋体" w:hAnsi="宋体" w:eastAsia="宋体" w:cs="宋体"/>
          <w:spacing w:val="2"/>
          <w:sz w:val="24"/>
          <w:szCs w:val="24"/>
          <w:highlight w:val="none"/>
          <w:lang w:eastAsia="zh-CN"/>
        </w:rPr>
        <w:t>在甲方对乙方违约后采取的补救措施不予接受的情况下，甲方有权解除合同；</w:t>
      </w:r>
    </w:p>
    <w:p w14:paraId="4240376B">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88" w:firstLineChars="200"/>
        <w:textAlignment w:val="auto"/>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val="en-US"/>
        </w:rPr>
        <w:t>1.2.1</w:t>
      </w:r>
      <w:r>
        <w:rPr>
          <w:rFonts w:hint="eastAsia" w:ascii="宋体" w:hAnsi="宋体" w:eastAsia="宋体" w:cs="宋体"/>
          <w:spacing w:val="2"/>
          <w:sz w:val="24"/>
          <w:szCs w:val="24"/>
          <w:highlight w:val="none"/>
          <w:lang w:eastAsia="zh-CN"/>
        </w:rPr>
        <w:t>如果非因甲方原因，乙方未能在甲方同意延长的限期内按照本合同约定及服务承诺提供服务，甲方有权解除本合同；</w:t>
      </w:r>
    </w:p>
    <w:p w14:paraId="38820ED0">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88" w:firstLineChars="200"/>
        <w:textAlignment w:val="auto"/>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val="en-US"/>
        </w:rPr>
        <w:t>1.2.2</w:t>
      </w:r>
      <w:r>
        <w:rPr>
          <w:rFonts w:hint="eastAsia" w:ascii="宋体" w:hAnsi="宋体" w:eastAsia="宋体" w:cs="宋体"/>
          <w:spacing w:val="2"/>
          <w:sz w:val="24"/>
          <w:szCs w:val="24"/>
          <w:highlight w:val="none"/>
          <w:lang w:eastAsia="zh-CN"/>
        </w:rPr>
        <w:t>乙方在收到甲方的违约通知后五日内，未能纠正其违约行为，甲方有权解除本合同。</w:t>
      </w:r>
    </w:p>
    <w:p w14:paraId="1538C109">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88" w:firstLineChars="200"/>
        <w:textAlignment w:val="auto"/>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val="en-US"/>
        </w:rPr>
        <w:t>1.3</w:t>
      </w:r>
      <w:r>
        <w:rPr>
          <w:rFonts w:hint="eastAsia" w:ascii="宋体" w:hAnsi="宋体" w:eastAsia="宋体" w:cs="宋体"/>
          <w:spacing w:val="2"/>
          <w:sz w:val="24"/>
          <w:szCs w:val="24"/>
          <w:highlight w:val="none"/>
          <w:lang w:eastAsia="zh-CN"/>
        </w:rPr>
        <w:t>如果乙方未能履行本合同约定的其它任何义务，甲方有权解除本合同。</w:t>
      </w:r>
    </w:p>
    <w:p w14:paraId="3FA51E11">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88" w:firstLineChars="200"/>
        <w:textAlignment w:val="auto"/>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val="en-US"/>
        </w:rPr>
        <w:t>1.4</w:t>
      </w:r>
      <w:r>
        <w:rPr>
          <w:rFonts w:hint="eastAsia" w:ascii="宋体" w:hAnsi="宋体" w:eastAsia="宋体" w:cs="宋体"/>
          <w:spacing w:val="2"/>
          <w:sz w:val="24"/>
          <w:szCs w:val="24"/>
          <w:highlight w:val="none"/>
          <w:lang w:eastAsia="zh-CN"/>
        </w:rPr>
        <w:t>如果乙方在服务采购或实施中有腐败和欺诈行为，甲方有权解除本合同。“腐败行为”是指提供、给予任何有价值的东西来影响甲方人员在采购过程或合同实施过程中的行为；“欺诈行为”指为了影响采购过程或合同实施过程而谎报事实，损害甲方的利益，包括投标（报价）人之间串通报价，人为地使投标（报价）丧失竞争性，剥夺甲方从自由公开竞争所能获得的权益。</w:t>
      </w:r>
    </w:p>
    <w:p w14:paraId="08676D25">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88" w:firstLineChars="200"/>
        <w:textAlignment w:val="auto"/>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val="en-US"/>
        </w:rPr>
        <w:t>1.5</w:t>
      </w:r>
      <w:r>
        <w:rPr>
          <w:rFonts w:hint="eastAsia" w:ascii="宋体" w:hAnsi="宋体" w:eastAsia="宋体" w:cs="宋体"/>
          <w:spacing w:val="2"/>
          <w:sz w:val="24"/>
          <w:szCs w:val="24"/>
          <w:highlight w:val="none"/>
          <w:lang w:eastAsia="zh-CN"/>
        </w:rPr>
        <w:t>如果乙方无实际履行能力以及破产或无清偿能力时，甲方可在任何时候以书面形式通知乙方终止合同，终止该合同将不损害或影响甲方已经采取或将要采取的补救措施的权利。</w:t>
      </w:r>
    </w:p>
    <w:p w14:paraId="54F7141A">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88" w:firstLineChars="200"/>
        <w:textAlignment w:val="auto"/>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val="en-US"/>
        </w:rPr>
        <w:t>2.</w:t>
      </w:r>
      <w:r>
        <w:rPr>
          <w:rFonts w:hint="eastAsia" w:ascii="宋体" w:hAnsi="宋体" w:eastAsia="宋体" w:cs="宋体"/>
          <w:spacing w:val="2"/>
          <w:sz w:val="24"/>
          <w:szCs w:val="24"/>
          <w:highlight w:val="none"/>
          <w:lang w:eastAsia="zh-CN"/>
        </w:rPr>
        <w:t>双方协商一致可以解除合同。</w:t>
      </w:r>
    </w:p>
    <w:p w14:paraId="21D21239">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88" w:firstLineChars="200"/>
        <w:textAlignment w:val="auto"/>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val="en-US"/>
        </w:rPr>
        <w:t>3.</w:t>
      </w:r>
      <w:r>
        <w:rPr>
          <w:rFonts w:hint="eastAsia" w:ascii="宋体" w:hAnsi="宋体" w:eastAsia="宋体" w:cs="宋体"/>
          <w:spacing w:val="2"/>
          <w:sz w:val="24"/>
          <w:szCs w:val="24"/>
          <w:highlight w:val="none"/>
          <w:lang w:eastAsia="zh-CN"/>
        </w:rPr>
        <w:t>双方可依据本合同约定的其他可以解除合同的法定情形解除合同。</w:t>
      </w:r>
    </w:p>
    <w:p w14:paraId="0739E08F">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88" w:firstLineChars="200"/>
        <w:textAlignment w:val="auto"/>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val="en-US"/>
        </w:rPr>
        <w:t>4.</w:t>
      </w:r>
      <w:r>
        <w:rPr>
          <w:rFonts w:hint="eastAsia" w:ascii="宋体" w:hAnsi="宋体" w:eastAsia="宋体" w:cs="宋体"/>
          <w:spacing w:val="2"/>
          <w:sz w:val="24"/>
          <w:szCs w:val="24"/>
          <w:highlight w:val="none"/>
          <w:lang w:eastAsia="zh-CN"/>
        </w:rPr>
        <w:t>因乙方的原因，在甲方根据以上条款解除合同后，甲方可以依其认为适当的条件和方法购买相同或者类似未提供的服务，乙方应负担甲方因另行购买相同或者类似服务而多支出的费用。</w:t>
      </w:r>
    </w:p>
    <w:p w14:paraId="77F5A886">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90" w:firstLineChars="200"/>
        <w:textAlignment w:val="auto"/>
        <w:rPr>
          <w:rFonts w:hint="eastAsia" w:ascii="宋体" w:hAnsi="宋体" w:eastAsia="宋体" w:cs="宋体"/>
          <w:b/>
          <w:bCs w:val="0"/>
          <w:spacing w:val="2"/>
          <w:sz w:val="24"/>
          <w:szCs w:val="24"/>
          <w:highlight w:val="none"/>
          <w:lang w:val="en-US"/>
        </w:rPr>
      </w:pPr>
      <w:r>
        <w:rPr>
          <w:rFonts w:hint="eastAsia" w:ascii="宋体" w:hAnsi="宋体" w:eastAsia="宋体" w:cs="宋体"/>
          <w:b/>
          <w:bCs w:val="0"/>
          <w:spacing w:val="2"/>
          <w:sz w:val="24"/>
          <w:szCs w:val="24"/>
          <w:highlight w:val="none"/>
          <w:lang w:eastAsia="zh-CN"/>
        </w:rPr>
        <w:t>十</w:t>
      </w:r>
      <w:r>
        <w:rPr>
          <w:rFonts w:hint="eastAsia" w:ascii="宋体" w:hAnsi="宋体" w:cs="宋体"/>
          <w:b/>
          <w:bCs w:val="0"/>
          <w:spacing w:val="2"/>
          <w:sz w:val="24"/>
          <w:szCs w:val="24"/>
          <w:highlight w:val="none"/>
          <w:lang w:val="en-US" w:eastAsia="zh-CN"/>
        </w:rPr>
        <w:t>六</w:t>
      </w:r>
      <w:r>
        <w:rPr>
          <w:rFonts w:hint="eastAsia" w:ascii="宋体" w:hAnsi="宋体" w:eastAsia="宋体" w:cs="宋体"/>
          <w:b/>
          <w:bCs w:val="0"/>
          <w:spacing w:val="2"/>
          <w:sz w:val="24"/>
          <w:szCs w:val="24"/>
          <w:highlight w:val="none"/>
          <w:lang w:eastAsia="zh-CN"/>
        </w:rPr>
        <w:t>、其他</w:t>
      </w:r>
    </w:p>
    <w:p w14:paraId="6AD0F205">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88" w:firstLineChars="200"/>
        <w:textAlignment w:val="auto"/>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val="en-US"/>
        </w:rPr>
        <w:t>1.</w:t>
      </w:r>
      <w:r>
        <w:rPr>
          <w:rFonts w:hint="eastAsia" w:ascii="宋体" w:hAnsi="宋体" w:eastAsia="宋体" w:cs="宋体"/>
          <w:spacing w:val="2"/>
          <w:sz w:val="24"/>
          <w:szCs w:val="24"/>
          <w:highlight w:val="none"/>
          <w:lang w:eastAsia="zh-CN"/>
        </w:rPr>
        <w:t>在后续合同履行过程中，乙方工作人员到甲方单位办理与合同有关的相关事宜，必须持有乙方公司出具的授权委托书，在委托书中注明委托事项和权限，否则甲方有权不予接待。</w:t>
      </w:r>
    </w:p>
    <w:p w14:paraId="27486014">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88" w:firstLineChars="200"/>
        <w:textAlignment w:val="auto"/>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val="en-US"/>
        </w:rPr>
        <w:t>2.</w:t>
      </w:r>
      <w:r>
        <w:rPr>
          <w:rFonts w:hint="eastAsia" w:ascii="宋体" w:hAnsi="宋体" w:eastAsia="宋体" w:cs="宋体"/>
          <w:spacing w:val="2"/>
          <w:sz w:val="24"/>
          <w:szCs w:val="24"/>
          <w:highlight w:val="none"/>
          <w:lang w:eastAsia="zh-CN"/>
        </w:rPr>
        <w:t>本合同依照《中华人民共和国政府采购法》和《中华人民共和国民法典》等相关法律法规制定。甲、乙双方发生争议时，应先协商解决，经协商在十五天内不能达成协议时，可提交</w:t>
      </w:r>
      <w:r>
        <w:rPr>
          <w:rFonts w:hint="eastAsia" w:ascii="宋体" w:hAnsi="宋体" w:cs="宋体"/>
          <w:spacing w:val="2"/>
          <w:sz w:val="24"/>
          <w:szCs w:val="24"/>
          <w:highlight w:val="none"/>
          <w:lang w:val="en-US" w:eastAsia="zh-CN"/>
        </w:rPr>
        <w:t>甲方</w:t>
      </w:r>
      <w:r>
        <w:rPr>
          <w:rFonts w:hint="eastAsia" w:ascii="宋体" w:hAnsi="宋体" w:cs="宋体"/>
          <w:spacing w:val="2"/>
          <w:sz w:val="24"/>
          <w:szCs w:val="24"/>
          <w:highlight w:val="none"/>
          <w:lang w:val="en-US" w:eastAsia="zh-CN"/>
        </w:rPr>
        <w:t>所在地</w:t>
      </w:r>
      <w:r>
        <w:rPr>
          <w:rFonts w:hint="eastAsia" w:ascii="宋体" w:hAnsi="宋体" w:eastAsia="宋体" w:cs="宋体"/>
          <w:spacing w:val="2"/>
          <w:sz w:val="24"/>
          <w:szCs w:val="24"/>
          <w:highlight w:val="none"/>
          <w:lang w:eastAsia="zh-CN"/>
        </w:rPr>
        <w:t>人民法院诉讼解决。</w:t>
      </w:r>
    </w:p>
    <w:p w14:paraId="56B94C29">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88" w:firstLineChars="200"/>
        <w:textAlignment w:val="auto"/>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val="en-US"/>
        </w:rPr>
        <w:t>3.</w:t>
      </w:r>
      <w:r>
        <w:rPr>
          <w:rFonts w:hint="eastAsia" w:ascii="宋体" w:hAnsi="宋体" w:eastAsia="宋体" w:cs="宋体"/>
          <w:spacing w:val="2"/>
          <w:sz w:val="24"/>
          <w:szCs w:val="24"/>
          <w:highlight w:val="none"/>
          <w:lang w:eastAsia="zh-CN"/>
        </w:rPr>
        <w:t>本合同一式肆份，甲方执贰份，乙方执贰份，具有同等法律效力。本合同自双方签章之日起生效。</w:t>
      </w:r>
    </w:p>
    <w:p w14:paraId="60050D3D">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88" w:firstLineChars="200"/>
        <w:textAlignment w:val="auto"/>
        <w:rPr>
          <w:rFonts w:hint="eastAsia" w:ascii="宋体" w:hAnsi="宋体" w:eastAsia="宋体" w:cs="宋体"/>
          <w:spacing w:val="2"/>
          <w:sz w:val="24"/>
          <w:szCs w:val="24"/>
          <w:highlight w:val="none"/>
          <w:u w:val="single"/>
          <w:lang w:val="en-US"/>
        </w:rPr>
      </w:pPr>
      <w:r>
        <w:rPr>
          <w:rFonts w:hint="eastAsia" w:ascii="宋体" w:hAnsi="宋体" w:eastAsia="宋体" w:cs="宋体"/>
          <w:spacing w:val="2"/>
          <w:sz w:val="24"/>
          <w:szCs w:val="24"/>
          <w:highlight w:val="none"/>
          <w:lang w:val="en-US"/>
        </w:rPr>
        <w:t>4.</w:t>
      </w:r>
      <w:r>
        <w:rPr>
          <w:rFonts w:hint="eastAsia" w:ascii="宋体" w:hAnsi="宋体" w:eastAsia="宋体" w:cs="宋体"/>
          <w:spacing w:val="2"/>
          <w:sz w:val="24"/>
          <w:szCs w:val="24"/>
          <w:highlight w:val="none"/>
          <w:lang w:eastAsia="zh-CN"/>
        </w:rPr>
        <w:t>双方其他约定：</w:t>
      </w:r>
      <w:r>
        <w:rPr>
          <w:rFonts w:hint="eastAsia" w:ascii="宋体" w:hAnsi="宋体" w:eastAsia="宋体" w:cs="宋体"/>
          <w:spacing w:val="2"/>
          <w:sz w:val="24"/>
          <w:szCs w:val="24"/>
          <w:highlight w:val="none"/>
          <w:u w:val="single"/>
          <w:lang w:eastAsia="zh-CN"/>
        </w:rPr>
        <w:t>与本合同有关的招标文件、投标文件、答疑及附件与合同具有同等法律效力。</w:t>
      </w:r>
    </w:p>
    <w:p w14:paraId="19A9B1F0">
      <w:pPr>
        <w:pStyle w:val="9"/>
        <w:keepNext w:val="0"/>
        <w:keepLines w:val="0"/>
        <w:pageBreakBefore w:val="0"/>
        <w:widowControl/>
        <w:suppressLineNumbers w:val="0"/>
        <w:kinsoku/>
        <w:wordWrap/>
        <w:overflowPunct/>
        <w:topLinePunct w:val="0"/>
        <w:autoSpaceDN/>
        <w:bidi w:val="0"/>
        <w:adjustRightInd w:val="0"/>
        <w:snapToGrid w:val="0"/>
        <w:spacing w:line="360" w:lineRule="auto"/>
        <w:ind w:left="0" w:firstLine="488" w:firstLineChars="200"/>
        <w:textAlignment w:val="auto"/>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val="en-US"/>
        </w:rPr>
        <w:t>5.</w:t>
      </w:r>
      <w:r>
        <w:rPr>
          <w:rFonts w:hint="eastAsia" w:ascii="宋体" w:hAnsi="宋体" w:eastAsia="宋体" w:cs="宋体"/>
          <w:spacing w:val="2"/>
          <w:sz w:val="24"/>
          <w:szCs w:val="24"/>
          <w:highlight w:val="none"/>
          <w:lang w:eastAsia="zh-CN"/>
        </w:rPr>
        <w:t>任何一方对其获知的本合同及附件中其他各方的商业秘密和国家秘密负有保密义务。</w:t>
      </w:r>
    </w:p>
    <w:p w14:paraId="05414C7C">
      <w:pPr>
        <w:pStyle w:val="9"/>
        <w:keepNext w:val="0"/>
        <w:keepLines w:val="0"/>
        <w:widowControl/>
        <w:suppressLineNumbers w:val="0"/>
        <w:snapToGrid w:val="0"/>
        <w:spacing w:line="360" w:lineRule="auto"/>
        <w:ind w:left="0" w:firstLine="488" w:firstLineChars="200"/>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eastAsia="zh-CN"/>
        </w:rPr>
        <w:t>附：</w:t>
      </w:r>
      <w:r>
        <w:rPr>
          <w:rFonts w:hint="eastAsia" w:ascii="宋体" w:hAnsi="宋体" w:eastAsia="宋体" w:cs="宋体"/>
          <w:spacing w:val="2"/>
          <w:sz w:val="24"/>
          <w:szCs w:val="24"/>
          <w:highlight w:val="none"/>
          <w:lang w:val="en-US"/>
        </w:rPr>
        <w:t>1.</w:t>
      </w:r>
      <w:r>
        <w:rPr>
          <w:rFonts w:hint="eastAsia" w:ascii="宋体" w:hAnsi="宋体" w:eastAsia="宋体" w:cs="宋体"/>
          <w:spacing w:val="2"/>
          <w:sz w:val="24"/>
          <w:szCs w:val="24"/>
          <w:highlight w:val="none"/>
          <w:lang w:eastAsia="zh-CN"/>
        </w:rPr>
        <w:t>售后服务承诺</w:t>
      </w:r>
    </w:p>
    <w:p w14:paraId="78935146">
      <w:pPr>
        <w:pStyle w:val="9"/>
        <w:keepNext w:val="0"/>
        <w:keepLines w:val="0"/>
        <w:widowControl/>
        <w:suppressLineNumbers w:val="0"/>
        <w:snapToGrid w:val="0"/>
        <w:spacing w:line="360" w:lineRule="auto"/>
        <w:ind w:left="0" w:firstLine="976" w:firstLineChars="400"/>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val="en-US"/>
        </w:rPr>
        <w:t>2.</w:t>
      </w:r>
      <w:r>
        <w:rPr>
          <w:rFonts w:hint="eastAsia" w:ascii="宋体" w:hAnsi="宋体" w:eastAsia="宋体" w:cs="宋体"/>
          <w:spacing w:val="2"/>
          <w:sz w:val="24"/>
          <w:szCs w:val="24"/>
          <w:highlight w:val="none"/>
          <w:lang w:eastAsia="zh-CN"/>
        </w:rPr>
        <w:t>货物配置清单</w:t>
      </w:r>
    </w:p>
    <w:p w14:paraId="4CD35CB0">
      <w:pPr>
        <w:rPr>
          <w:rFonts w:hint="eastAsia" w:ascii="宋体" w:hAnsi="宋体" w:eastAsia="宋体" w:cs="宋体"/>
          <w:spacing w:val="2"/>
          <w:sz w:val="24"/>
          <w:szCs w:val="24"/>
          <w:highlight w:val="none"/>
          <w:lang w:eastAsia="zh-CN"/>
        </w:rPr>
      </w:pPr>
      <w:r>
        <w:rPr>
          <w:rFonts w:hint="eastAsia" w:ascii="宋体" w:hAnsi="宋体" w:eastAsia="宋体" w:cs="宋体"/>
          <w:spacing w:val="2"/>
          <w:sz w:val="24"/>
          <w:szCs w:val="24"/>
          <w:highlight w:val="none"/>
          <w:lang w:val="en-US" w:eastAsia="zh-CN"/>
        </w:rPr>
        <w:t xml:space="preserve">    （以下无正文）</w:t>
      </w:r>
      <w:r>
        <w:rPr>
          <w:rFonts w:hint="eastAsia" w:ascii="宋体" w:hAnsi="宋体" w:eastAsia="宋体" w:cs="宋体"/>
          <w:spacing w:val="2"/>
          <w:sz w:val="24"/>
          <w:szCs w:val="24"/>
          <w:highlight w:val="none"/>
          <w:lang w:eastAsia="zh-CN"/>
        </w:rPr>
        <w:br w:type="page"/>
      </w:r>
    </w:p>
    <w:p w14:paraId="5E7E5164">
      <w:pPr>
        <w:pStyle w:val="9"/>
        <w:keepNext w:val="0"/>
        <w:keepLines w:val="0"/>
        <w:widowControl/>
        <w:suppressLineNumbers w:val="0"/>
        <w:snapToGrid w:val="0"/>
        <w:spacing w:line="360" w:lineRule="auto"/>
        <w:ind w:left="6116" w:leftChars="240" w:hanging="5612" w:hangingChars="2300"/>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eastAsia="zh-CN"/>
        </w:rPr>
        <w:t>甲方：</w:t>
      </w:r>
      <w:r>
        <w:rPr>
          <w:rFonts w:hint="eastAsia" w:ascii="宋体" w:hAnsi="宋体" w:cs="宋体"/>
          <w:spacing w:val="2"/>
          <w:sz w:val="24"/>
          <w:szCs w:val="24"/>
          <w:highlight w:val="none"/>
          <w:lang w:val="en-US" w:eastAsia="zh-CN"/>
        </w:rPr>
        <w:t>陕西中医药大学附属</w:t>
      </w:r>
      <w:r>
        <w:rPr>
          <w:rFonts w:hint="eastAsia" w:ascii="宋体" w:hAnsi="宋体" w:cs="宋体"/>
          <w:spacing w:val="2"/>
          <w:sz w:val="24"/>
          <w:szCs w:val="24"/>
          <w:highlight w:val="none"/>
          <w:lang w:eastAsia="zh-CN"/>
        </w:rPr>
        <w:t>医院</w:t>
      </w:r>
      <w:r>
        <w:rPr>
          <w:rFonts w:hint="eastAsia" w:ascii="宋体" w:hAnsi="宋体" w:eastAsia="宋体" w:cs="宋体"/>
          <w:spacing w:val="2"/>
          <w:sz w:val="24"/>
          <w:szCs w:val="24"/>
          <w:highlight w:val="none"/>
          <w:lang w:val="en-US"/>
        </w:rPr>
        <w:t xml:space="preserve">           </w:t>
      </w:r>
      <w:r>
        <w:rPr>
          <w:rFonts w:hint="eastAsia" w:ascii="宋体" w:hAnsi="宋体" w:eastAsia="宋体" w:cs="宋体"/>
          <w:spacing w:val="2"/>
          <w:sz w:val="24"/>
          <w:szCs w:val="24"/>
          <w:highlight w:val="none"/>
          <w:lang w:eastAsia="zh-CN"/>
        </w:rPr>
        <w:t>乙方：</w:t>
      </w:r>
    </w:p>
    <w:p w14:paraId="0BBBAAA7">
      <w:pPr>
        <w:pStyle w:val="9"/>
        <w:keepNext w:val="0"/>
        <w:keepLines w:val="0"/>
        <w:widowControl/>
        <w:suppressLineNumbers w:val="0"/>
        <w:snapToGrid w:val="0"/>
        <w:spacing w:line="360" w:lineRule="auto"/>
        <w:ind w:left="5624" w:leftChars="238" w:hanging="5124" w:hangingChars="2100"/>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eastAsia="zh-CN"/>
        </w:rPr>
        <w:t>社会统一信用号：</w:t>
      </w:r>
      <w:r>
        <w:rPr>
          <w:rFonts w:hint="eastAsia" w:ascii="宋体" w:hAnsi="宋体" w:cs="宋体"/>
          <w:spacing w:val="2"/>
          <w:sz w:val="24"/>
          <w:szCs w:val="24"/>
          <w:highlight w:val="none"/>
          <w:lang w:val="en-US" w:eastAsia="zh-CN"/>
        </w:rPr>
        <w:t xml:space="preserve">            </w:t>
      </w:r>
      <w:r>
        <w:rPr>
          <w:rFonts w:hint="eastAsia" w:ascii="宋体" w:hAnsi="宋体" w:eastAsia="宋体" w:cs="宋体"/>
          <w:spacing w:val="2"/>
          <w:sz w:val="24"/>
          <w:szCs w:val="24"/>
          <w:highlight w:val="none"/>
          <w:lang w:val="en-US"/>
        </w:rPr>
        <w:t xml:space="preserve">     </w:t>
      </w:r>
      <w:r>
        <w:rPr>
          <w:rFonts w:hint="eastAsia" w:ascii="宋体" w:hAnsi="宋体" w:cs="宋体"/>
          <w:spacing w:val="2"/>
          <w:sz w:val="24"/>
          <w:szCs w:val="24"/>
          <w:highlight w:val="none"/>
          <w:lang w:val="en-US" w:eastAsia="zh-CN"/>
        </w:rPr>
        <w:t xml:space="preserve">      </w:t>
      </w:r>
      <w:r>
        <w:rPr>
          <w:rFonts w:hint="eastAsia" w:ascii="宋体" w:hAnsi="宋体" w:eastAsia="宋体" w:cs="宋体"/>
          <w:spacing w:val="2"/>
          <w:sz w:val="24"/>
          <w:szCs w:val="24"/>
          <w:highlight w:val="none"/>
          <w:lang w:eastAsia="zh-CN"/>
        </w:rPr>
        <w:t>社会统一信用号：</w:t>
      </w:r>
    </w:p>
    <w:p w14:paraId="53531B28">
      <w:pPr>
        <w:pStyle w:val="9"/>
        <w:keepNext w:val="0"/>
        <w:keepLines w:val="0"/>
        <w:widowControl/>
        <w:suppressLineNumbers w:val="0"/>
        <w:snapToGrid w:val="0"/>
        <w:spacing w:line="360" w:lineRule="auto"/>
        <w:ind w:firstLine="488" w:firstLineChars="200"/>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eastAsia="zh-CN"/>
        </w:rPr>
        <w:t>法定代表或授权人：</w:t>
      </w:r>
      <w:r>
        <w:rPr>
          <w:rFonts w:hint="eastAsia" w:ascii="宋体" w:hAnsi="宋体" w:eastAsia="宋体" w:cs="宋体"/>
          <w:spacing w:val="2"/>
          <w:sz w:val="24"/>
          <w:szCs w:val="24"/>
          <w:highlight w:val="none"/>
          <w:lang w:val="en-US"/>
        </w:rPr>
        <w:t xml:space="preserve">                     </w:t>
      </w:r>
      <w:r>
        <w:rPr>
          <w:rFonts w:hint="eastAsia" w:ascii="宋体" w:hAnsi="宋体" w:eastAsia="宋体" w:cs="宋体"/>
          <w:spacing w:val="2"/>
          <w:sz w:val="24"/>
          <w:szCs w:val="24"/>
          <w:highlight w:val="none"/>
          <w:lang w:eastAsia="zh-CN"/>
        </w:rPr>
        <w:t>法定代表或授权人：</w:t>
      </w:r>
    </w:p>
    <w:p w14:paraId="038A4B81">
      <w:pPr>
        <w:pStyle w:val="9"/>
        <w:keepNext w:val="0"/>
        <w:keepLines w:val="0"/>
        <w:widowControl/>
        <w:suppressLineNumbers w:val="0"/>
        <w:snapToGrid w:val="0"/>
        <w:spacing w:line="360" w:lineRule="auto"/>
        <w:ind w:firstLine="488" w:firstLineChars="200"/>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eastAsia="zh-CN"/>
        </w:rPr>
        <w:t>联系人：</w:t>
      </w:r>
      <w:r>
        <w:rPr>
          <w:rFonts w:hint="eastAsia" w:ascii="宋体" w:hAnsi="宋体" w:eastAsia="宋体" w:cs="宋体"/>
          <w:spacing w:val="2"/>
          <w:sz w:val="24"/>
          <w:szCs w:val="24"/>
          <w:highlight w:val="none"/>
          <w:lang w:val="en-US"/>
        </w:rPr>
        <w:t xml:space="preserve">                               </w:t>
      </w:r>
      <w:r>
        <w:rPr>
          <w:rFonts w:hint="eastAsia" w:ascii="宋体" w:hAnsi="宋体" w:eastAsia="宋体" w:cs="宋体"/>
          <w:spacing w:val="2"/>
          <w:sz w:val="24"/>
          <w:szCs w:val="24"/>
          <w:highlight w:val="none"/>
          <w:lang w:eastAsia="zh-CN"/>
        </w:rPr>
        <w:t>联系人：</w:t>
      </w:r>
    </w:p>
    <w:p w14:paraId="552BB671">
      <w:pPr>
        <w:pStyle w:val="9"/>
        <w:keepNext w:val="0"/>
        <w:keepLines w:val="0"/>
        <w:widowControl/>
        <w:suppressLineNumbers w:val="0"/>
        <w:snapToGrid w:val="0"/>
        <w:spacing w:line="360" w:lineRule="auto"/>
        <w:ind w:firstLine="488" w:firstLineChars="200"/>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eastAsia="zh-CN"/>
        </w:rPr>
        <w:t>电话：</w:t>
      </w:r>
      <w:r>
        <w:rPr>
          <w:rFonts w:hint="eastAsia" w:ascii="宋体" w:hAnsi="宋体" w:eastAsia="宋体" w:cs="宋体"/>
          <w:spacing w:val="2"/>
          <w:sz w:val="24"/>
          <w:szCs w:val="24"/>
          <w:highlight w:val="none"/>
          <w:lang w:val="en-US"/>
        </w:rPr>
        <w:t xml:space="preserve">                     </w:t>
      </w:r>
      <w:r>
        <w:rPr>
          <w:rFonts w:hint="eastAsia" w:ascii="宋体" w:hAnsi="宋体" w:cs="宋体"/>
          <w:spacing w:val="2"/>
          <w:sz w:val="24"/>
          <w:szCs w:val="24"/>
          <w:highlight w:val="none"/>
          <w:lang w:val="en-US" w:eastAsia="zh-CN"/>
        </w:rPr>
        <w:t xml:space="preserve">            </w:t>
      </w:r>
      <w:r>
        <w:rPr>
          <w:rFonts w:hint="eastAsia" w:ascii="宋体" w:hAnsi="宋体" w:eastAsia="宋体" w:cs="宋体"/>
          <w:spacing w:val="2"/>
          <w:sz w:val="24"/>
          <w:szCs w:val="24"/>
          <w:highlight w:val="none"/>
          <w:lang w:eastAsia="zh-CN"/>
        </w:rPr>
        <w:t>电话</w:t>
      </w:r>
      <w:r>
        <w:rPr>
          <w:rFonts w:hint="eastAsia" w:ascii="宋体" w:hAnsi="宋体" w:eastAsia="宋体" w:cs="宋体"/>
          <w:spacing w:val="2"/>
          <w:sz w:val="24"/>
          <w:szCs w:val="24"/>
          <w:highlight w:val="none"/>
          <w:lang w:val="en-US"/>
        </w:rPr>
        <w:t>(</w:t>
      </w:r>
      <w:r>
        <w:rPr>
          <w:rFonts w:hint="eastAsia" w:ascii="宋体" w:hAnsi="宋体" w:eastAsia="宋体" w:cs="宋体"/>
          <w:spacing w:val="2"/>
          <w:sz w:val="24"/>
          <w:szCs w:val="24"/>
          <w:highlight w:val="none"/>
          <w:lang w:eastAsia="zh-CN"/>
        </w:rPr>
        <w:t>手机号</w:t>
      </w:r>
      <w:r>
        <w:rPr>
          <w:rFonts w:hint="eastAsia" w:ascii="宋体" w:hAnsi="宋体" w:eastAsia="宋体" w:cs="宋体"/>
          <w:spacing w:val="2"/>
          <w:sz w:val="24"/>
          <w:szCs w:val="24"/>
          <w:highlight w:val="none"/>
          <w:lang w:val="en-US"/>
        </w:rPr>
        <w:t>)</w:t>
      </w:r>
      <w:r>
        <w:rPr>
          <w:rFonts w:hint="eastAsia" w:ascii="宋体" w:hAnsi="宋体" w:eastAsia="宋体" w:cs="宋体"/>
          <w:spacing w:val="2"/>
          <w:sz w:val="24"/>
          <w:szCs w:val="24"/>
          <w:highlight w:val="none"/>
          <w:lang w:eastAsia="zh-CN"/>
        </w:rPr>
        <w:t>：</w:t>
      </w:r>
    </w:p>
    <w:p w14:paraId="6CB6978C">
      <w:pPr>
        <w:pStyle w:val="9"/>
        <w:keepNext w:val="0"/>
        <w:keepLines w:val="0"/>
        <w:widowControl/>
        <w:suppressLineNumbers w:val="0"/>
        <w:snapToGrid w:val="0"/>
        <w:spacing w:line="360" w:lineRule="auto"/>
        <w:ind w:left="5624" w:leftChars="238" w:hanging="5124" w:hangingChars="2100"/>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eastAsia="zh-CN"/>
        </w:rPr>
        <w:t>单位地址：</w:t>
      </w:r>
      <w:r>
        <w:rPr>
          <w:rFonts w:hint="eastAsia" w:ascii="宋体" w:hAnsi="宋体" w:cs="宋体"/>
          <w:spacing w:val="2"/>
          <w:sz w:val="24"/>
          <w:szCs w:val="24"/>
          <w:highlight w:val="none"/>
          <w:lang w:val="en-US" w:eastAsia="zh-CN"/>
        </w:rPr>
        <w:t xml:space="preserve">            </w:t>
      </w:r>
      <w:r>
        <w:rPr>
          <w:rFonts w:hint="eastAsia" w:ascii="宋体" w:hAnsi="宋体" w:eastAsia="宋体" w:cs="宋体"/>
          <w:spacing w:val="2"/>
          <w:sz w:val="24"/>
          <w:szCs w:val="24"/>
          <w:highlight w:val="none"/>
          <w:lang w:val="en-US"/>
        </w:rPr>
        <w:t xml:space="preserve">  </w:t>
      </w:r>
      <w:r>
        <w:rPr>
          <w:rFonts w:hint="eastAsia" w:ascii="宋体" w:hAnsi="宋体" w:cs="宋体"/>
          <w:spacing w:val="2"/>
          <w:sz w:val="24"/>
          <w:szCs w:val="24"/>
          <w:highlight w:val="none"/>
          <w:lang w:val="en-US" w:eastAsia="zh-CN"/>
        </w:rPr>
        <w:t xml:space="preserve">              </w:t>
      </w:r>
      <w:r>
        <w:rPr>
          <w:rFonts w:hint="eastAsia" w:ascii="宋体" w:hAnsi="宋体" w:eastAsia="宋体" w:cs="宋体"/>
          <w:spacing w:val="2"/>
          <w:sz w:val="24"/>
          <w:szCs w:val="24"/>
          <w:highlight w:val="none"/>
          <w:lang w:eastAsia="zh-CN"/>
        </w:rPr>
        <w:t>单位地址：</w:t>
      </w:r>
    </w:p>
    <w:p w14:paraId="0F0DC63B">
      <w:pPr>
        <w:pStyle w:val="9"/>
        <w:keepNext w:val="0"/>
        <w:keepLines w:val="0"/>
        <w:widowControl/>
        <w:suppressLineNumbers w:val="0"/>
        <w:snapToGrid w:val="0"/>
        <w:spacing w:line="360" w:lineRule="auto"/>
        <w:ind w:left="8343" w:leftChars="255" w:hanging="7808" w:hangingChars="3200"/>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eastAsia="zh-CN"/>
        </w:rPr>
        <w:t>开户行：</w:t>
      </w:r>
      <w:r>
        <w:rPr>
          <w:rFonts w:hint="eastAsia" w:ascii="宋体" w:hAnsi="宋体" w:eastAsia="宋体" w:cs="宋体"/>
          <w:spacing w:val="2"/>
          <w:sz w:val="24"/>
          <w:szCs w:val="24"/>
          <w:highlight w:val="none"/>
          <w:lang w:val="en-US"/>
        </w:rPr>
        <w:t xml:space="preserve">       </w:t>
      </w:r>
      <w:r>
        <w:rPr>
          <w:rFonts w:hint="eastAsia" w:ascii="宋体" w:hAnsi="宋体" w:cs="宋体"/>
          <w:spacing w:val="2"/>
          <w:sz w:val="24"/>
          <w:szCs w:val="24"/>
          <w:highlight w:val="none"/>
          <w:lang w:val="en-US" w:eastAsia="zh-CN"/>
        </w:rPr>
        <w:t xml:space="preserve">                       </w:t>
      </w:r>
      <w:r>
        <w:rPr>
          <w:rFonts w:hint="eastAsia" w:ascii="宋体" w:hAnsi="宋体" w:eastAsia="宋体" w:cs="宋体"/>
          <w:spacing w:val="2"/>
          <w:sz w:val="24"/>
          <w:szCs w:val="24"/>
          <w:highlight w:val="none"/>
          <w:lang w:eastAsia="zh-CN"/>
        </w:rPr>
        <w:t xml:space="preserve">开户行： </w:t>
      </w:r>
    </w:p>
    <w:p w14:paraId="1C381FCD">
      <w:pPr>
        <w:pStyle w:val="9"/>
        <w:keepNext w:val="0"/>
        <w:keepLines w:val="0"/>
        <w:widowControl/>
        <w:suppressLineNumbers w:val="0"/>
        <w:snapToGrid w:val="0"/>
        <w:spacing w:line="360" w:lineRule="auto"/>
        <w:ind w:left="0" w:firstLine="976" w:firstLineChars="400"/>
        <w:rPr>
          <w:rFonts w:hint="eastAsia" w:ascii="宋体" w:hAnsi="宋体" w:eastAsia="宋体" w:cs="宋体"/>
          <w:spacing w:val="2"/>
          <w:sz w:val="24"/>
          <w:szCs w:val="24"/>
          <w:highlight w:val="none"/>
          <w:lang w:val="en-US"/>
        </w:rPr>
      </w:pPr>
      <w:r>
        <w:rPr>
          <w:rFonts w:hint="eastAsia" w:ascii="宋体" w:hAnsi="宋体" w:cs="宋体"/>
          <w:spacing w:val="2"/>
          <w:sz w:val="24"/>
          <w:szCs w:val="24"/>
          <w:highlight w:val="none"/>
          <w:lang w:val="en-US" w:eastAsia="zh-CN"/>
        </w:rPr>
        <w:t xml:space="preserve">              </w:t>
      </w:r>
      <w:r>
        <w:rPr>
          <w:rFonts w:hint="eastAsia" w:ascii="宋体" w:hAnsi="宋体" w:eastAsia="宋体" w:cs="宋体"/>
          <w:spacing w:val="2"/>
          <w:sz w:val="24"/>
          <w:szCs w:val="24"/>
          <w:highlight w:val="none"/>
          <w:lang w:val="en-US"/>
        </w:rPr>
        <w:t xml:space="preserve">   </w:t>
      </w:r>
    </w:p>
    <w:p w14:paraId="22937C90">
      <w:pPr>
        <w:pStyle w:val="9"/>
        <w:keepNext w:val="0"/>
        <w:keepLines w:val="0"/>
        <w:widowControl/>
        <w:suppressLineNumbers w:val="0"/>
        <w:snapToGrid w:val="0"/>
        <w:spacing w:line="360" w:lineRule="auto"/>
        <w:ind w:left="0" w:leftChars="0" w:firstLine="488" w:firstLineChars="200"/>
        <w:rPr>
          <w:rFonts w:hint="eastAsia" w:ascii="宋体" w:hAnsi="宋体" w:eastAsia="宋体" w:cs="宋体"/>
          <w:spacing w:val="2"/>
          <w:sz w:val="24"/>
          <w:szCs w:val="24"/>
          <w:highlight w:val="none"/>
          <w:lang w:val="en-US"/>
        </w:rPr>
      </w:pPr>
      <w:r>
        <w:rPr>
          <w:rFonts w:hint="eastAsia" w:ascii="宋体" w:hAnsi="宋体" w:eastAsia="宋体" w:cs="宋体"/>
          <w:spacing w:val="2"/>
          <w:sz w:val="24"/>
          <w:szCs w:val="24"/>
          <w:highlight w:val="none"/>
          <w:lang w:eastAsia="zh-CN"/>
        </w:rPr>
        <w:t>开户行账号：</w:t>
      </w:r>
      <w:r>
        <w:rPr>
          <w:rFonts w:hint="eastAsia" w:ascii="宋体" w:hAnsi="宋体" w:cs="宋体"/>
          <w:spacing w:val="2"/>
          <w:sz w:val="24"/>
          <w:szCs w:val="24"/>
          <w:highlight w:val="none"/>
          <w:lang w:val="en-US" w:eastAsia="zh-CN"/>
        </w:rPr>
        <w:t xml:space="preserve"> </w:t>
      </w:r>
      <w:r>
        <w:rPr>
          <w:rFonts w:hint="eastAsia" w:ascii="宋体" w:hAnsi="宋体" w:eastAsia="宋体" w:cs="宋体"/>
          <w:spacing w:val="2"/>
          <w:sz w:val="24"/>
          <w:szCs w:val="24"/>
          <w:highlight w:val="none"/>
          <w:lang w:val="en-US"/>
        </w:rPr>
        <w:t xml:space="preserve">          </w:t>
      </w:r>
      <w:r>
        <w:rPr>
          <w:rFonts w:hint="eastAsia" w:ascii="宋体" w:hAnsi="宋体" w:cs="宋体"/>
          <w:spacing w:val="2"/>
          <w:sz w:val="24"/>
          <w:szCs w:val="24"/>
          <w:highlight w:val="none"/>
          <w:lang w:val="en-US" w:eastAsia="zh-CN"/>
        </w:rPr>
        <w:t xml:space="preserve">                </w:t>
      </w:r>
      <w:r>
        <w:rPr>
          <w:rFonts w:hint="eastAsia" w:ascii="宋体" w:hAnsi="宋体" w:eastAsia="宋体" w:cs="宋体"/>
          <w:spacing w:val="2"/>
          <w:sz w:val="24"/>
          <w:szCs w:val="24"/>
          <w:highlight w:val="none"/>
          <w:lang w:eastAsia="zh-CN"/>
        </w:rPr>
        <w:t>开户行账号：</w:t>
      </w:r>
    </w:p>
    <w:p w14:paraId="569956C5">
      <w:pPr>
        <w:adjustRightInd w:val="0"/>
        <w:snapToGrid w:val="0"/>
        <w:spacing w:line="360" w:lineRule="auto"/>
        <w:ind w:firstLine="420" w:firstLineChars="200"/>
        <w:rPr>
          <w:highlight w:val="none"/>
        </w:rPr>
      </w:pPr>
    </w:p>
    <w:p w14:paraId="2D827B1F">
      <w:pPr>
        <w:rPr>
          <w:highlight w:val="none"/>
        </w:rPr>
      </w:pPr>
    </w:p>
    <w:p w14:paraId="5890A5E0">
      <w:pPr>
        <w:rPr>
          <w:highlight w:val="none"/>
        </w:rPr>
      </w:pPr>
    </w:p>
    <w:sectPr>
      <w:footerReference r:id="rId3" w:type="default"/>
      <w:pgSz w:w="11906" w:h="16838"/>
      <w:pgMar w:top="1440" w:right="1800" w:bottom="1440" w:left="1800" w:header="851" w:footer="992" w:gutter="0"/>
      <w:pgNumType w:fmt="decimal" w:start="63"/>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4ED7E3">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E15DB00">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9Aknl8cBAACZ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FOIaoD31ZolwPwptjwiZKb7nCBDsXxokVdvN25ZV4fC9ZD3/U9g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9Aknl8cBAACZAwAADgAAAAAAAAABACAAAAAeAQAAZHJzL2Uyb0RvYy54&#10;bWxQSwUGAAAAAAYABgBZAQAAVwUAAAAA&#10;">
              <v:fill on="f" focussize="0,0"/>
              <v:stroke on="f"/>
              <v:imagedata o:title=""/>
              <o:lock v:ext="edit" aspectratio="f"/>
              <v:textbox inset="0mm,0mm,0mm,0mm" style="mso-fit-shape-to-text:t;">
                <w:txbxContent>
                  <w:p w14:paraId="6E15DB00">
                    <w:pPr>
                      <w:pStyle w:val="4"/>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2B1CA6"/>
    <w:multiLevelType w:val="singleLevel"/>
    <w:tmpl w:val="5B2B1CA6"/>
    <w:lvl w:ilvl="0" w:tentative="0">
      <w:start w:val="2"/>
      <w:numFmt w:val="chineseCounting"/>
      <w:suff w:val="nothing"/>
      <w:lvlText w:val="%1、"/>
      <w:lvlJc w:val="left"/>
      <w:pPr>
        <w:ind w:left="497"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xODMzZGQ5YWM1MzIzNmUwMzJiNTQzN2U5MTE1YTcifQ=="/>
  </w:docVars>
  <w:rsids>
    <w:rsidRoot w:val="36A03079"/>
    <w:rsid w:val="36A030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character" w:default="1" w:styleId="7">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1"/>
    <w:rPr>
      <w:rFonts w:ascii="宋体" w:hAnsi="宋体" w:eastAsia="宋体" w:cs="宋体"/>
      <w:sz w:val="24"/>
      <w:lang w:val="zh-CN" w:bidi="zh-CN"/>
    </w:rPr>
  </w:style>
  <w:style w:type="paragraph" w:styleId="4">
    <w:name w:val="footer"/>
    <w:basedOn w:val="1"/>
    <w:next w:val="1"/>
    <w:qFormat/>
    <w:uiPriority w:val="99"/>
    <w:pPr>
      <w:tabs>
        <w:tab w:val="center" w:pos="4153"/>
        <w:tab w:val="right" w:pos="8306"/>
      </w:tabs>
      <w:adjustRightInd w:val="0"/>
      <w:spacing w:line="240" w:lineRule="atLeast"/>
      <w:jc w:val="left"/>
      <w:textAlignment w:val="baseline"/>
    </w:pPr>
    <w:rPr>
      <w:kern w:val="0"/>
      <w:sz w:val="18"/>
    </w:rPr>
  </w:style>
  <w:style w:type="table" w:styleId="6">
    <w:name w:val="Table Grid"/>
    <w:basedOn w:val="5"/>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8">
    <w:name w:val="Table Paragraph"/>
    <w:basedOn w:val="1"/>
    <w:qFormat/>
    <w:uiPriority w:val="0"/>
    <w:pPr>
      <w:keepNext w:val="0"/>
      <w:keepLines w:val="0"/>
      <w:widowControl w:val="0"/>
      <w:suppressLineNumbers w:val="0"/>
      <w:spacing w:before="0" w:beforeAutospacing="0" w:after="0" w:afterAutospacing="0"/>
      <w:ind w:left="0" w:right="0"/>
      <w:jc w:val="both"/>
    </w:pPr>
    <w:rPr>
      <w:rFonts w:hint="eastAsia" w:ascii="宋体" w:hAnsi="宋体" w:eastAsia="宋体" w:cs="宋体"/>
      <w:kern w:val="2"/>
      <w:sz w:val="21"/>
      <w:szCs w:val="22"/>
      <w:lang w:val="en-US" w:eastAsia="zh-CN" w:bidi="ar"/>
    </w:rPr>
  </w:style>
  <w:style w:type="paragraph" w:customStyle="1" w:styleId="9">
    <w:name w:val="正文_1_0_0_0"/>
    <w:basedOn w:val="1"/>
    <w:qFormat/>
    <w:uiPriority w:val="0"/>
    <w:pPr>
      <w:keepNext w:val="0"/>
      <w:keepLines w:val="0"/>
      <w:widowControl w:val="0"/>
      <w:suppressLineNumbers w:val="0"/>
      <w:spacing w:before="0" w:beforeAutospacing="0" w:after="0" w:afterAutospacing="0"/>
      <w:ind w:left="0" w:right="0"/>
      <w:jc w:val="both"/>
    </w:pPr>
    <w:rPr>
      <w:rFonts w:hint="default" w:ascii="Times New Roman" w:hAnsi="Times New Roman" w:eastAsia="宋体" w:cs="Times New Roman"/>
      <w:kern w:val="2"/>
      <w:sz w:val="21"/>
      <w:szCs w:val="24"/>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2024-11-11T14:50:00Z</dcterms:created>
  <dc:creator>开瑞</dc:creator>
  <cp:lastModifiedBy>开瑞</cp:lastModifiedBy>
  <dcterms:modified xsi:type="dcterms:W3CDTF">2024-11-11T14:55:38Z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4B7279BC170C47E7BFE7DB79FCD12816_11</vt:lpwstr>
  </property>
</Properties>
</file>