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版本号：241220003</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信息安全应用创新平台项目</w:t>
      </w:r>
    </w:p>
    <w:p>
      <w:pPr>
        <w:pStyle w:val="null3"/>
        <w:jc w:val="center"/>
        <w:outlineLvl w:val="2"/>
      </w:pPr>
      <w:r>
        <w:rPr>
          <w:sz w:val="28"/>
          <w:b/>
        </w:rPr>
        <w:t>采购项目编号：</w:t>
      </w:r>
      <w:r>
        <w:rPr>
          <w:sz w:val="28"/>
          <w:b/>
        </w:rPr>
        <w:t>LZBD2024-1978</w:t>
      </w:r>
      <w:r>
        <w:br/>
      </w:r>
      <w:r>
        <w:br/>
      </w:r>
      <w:r>
        <w:br/>
      </w:r>
    </w:p>
    <w:p>
      <w:pPr>
        <w:pStyle w:val="null3"/>
        <w:jc w:val="center"/>
        <w:outlineLvl w:val="2"/>
      </w:pPr>
      <w:r>
        <w:rPr>
          <w:sz w:val="28"/>
          <w:b/>
        </w:rPr>
        <w:t>陕西工业职业技术学院</w:t>
      </w:r>
    </w:p>
    <w:p>
      <w:pPr>
        <w:pStyle w:val="null3"/>
        <w:jc w:val="center"/>
        <w:outlineLvl w:val="2"/>
      </w:pPr>
      <w:r>
        <w:rPr>
          <w:sz w:val="28"/>
          <w:b/>
        </w:rPr>
        <w:t>龙寰项目管理咨询有限公司</w:t>
      </w:r>
      <w:r>
        <w:rPr>
          <w:sz w:val="28"/>
          <w:b/>
        </w:rPr>
        <w:t>共同编制</w:t>
      </w:r>
    </w:p>
    <w:p>
      <w:pPr>
        <w:pStyle w:val="null3"/>
        <w:jc w:val="center"/>
        <w:outlineLvl w:val="2"/>
      </w:pPr>
      <w:r>
        <w:rPr>
          <w:sz w:val="28"/>
          <w:b/>
        </w:rPr>
        <w:t>2024年12月12日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龙寰项目管理咨询有限公司</w:t>
      </w:r>
      <w:r>
        <w:rPr/>
        <w:t>（以下简称“代理机构”）受</w:t>
      </w:r>
      <w:r>
        <w:rPr/>
        <w:t>陕西工业职业技术学院</w:t>
      </w:r>
      <w:r>
        <w:rPr/>
        <w:t>委托，拟对</w:t>
      </w:r>
      <w:r>
        <w:rPr/>
        <w:t>信息安全应用创新平台项目</w:t>
      </w:r>
      <w:r>
        <w:rPr/>
        <w:t>进行国内公开招标，兹邀请符合本次招标要求的供应商参加投标。</w:t>
      </w:r>
    </w:p>
    <w:p>
      <w:pPr>
        <w:pStyle w:val="null3"/>
        <w:outlineLvl w:val="2"/>
      </w:pPr>
      <w:r>
        <w:rPr>
          <w:sz w:val="28"/>
          <w:b/>
        </w:rPr>
        <w:t>一、采购项目编号：</w:t>
      </w:r>
      <w:r>
        <w:rPr>
          <w:sz w:val="28"/>
          <w:b/>
        </w:rPr>
        <w:t>LZBD2024-1978</w:t>
      </w:r>
    </w:p>
    <w:p>
      <w:pPr>
        <w:pStyle w:val="null3"/>
        <w:outlineLvl w:val="2"/>
      </w:pPr>
      <w:r>
        <w:rPr>
          <w:sz w:val="28"/>
          <w:b/>
        </w:rPr>
        <w:t>二、采购项目名称：</w:t>
      </w:r>
      <w:r>
        <w:rPr>
          <w:sz w:val="28"/>
          <w:b/>
        </w:rPr>
        <w:t>信息安全应用创新平台项目</w:t>
      </w:r>
    </w:p>
    <w:p>
      <w:pPr>
        <w:pStyle w:val="null3"/>
        <w:outlineLvl w:val="2"/>
      </w:pPr>
      <w:r>
        <w:rPr>
          <w:sz w:val="28"/>
          <w:b/>
        </w:rPr>
        <w:t>三、招标项目简介</w:t>
      </w:r>
    </w:p>
    <w:p>
      <w:pPr>
        <w:pStyle w:val="null3"/>
        <w:ind w:firstLine="480"/>
      </w:pPr>
      <w:r>
        <w:rPr/>
        <w:t>陕西工业职业技术学院信息安全应用创新平台项目，技术要求详见采购文件。</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法人或者其他组织的营业执照等证明文件，自然人的身份证明：供应商应是独立承担民事责任能力的法人、其他组织或自然人，法人、其他组织须提供合法有效的营业执照（或事业单位法人证书）等证明资料， 自然人须提供身份证明。注：供应商需在项目电子化交易系统中按要求上传相应证明文件并进行电子签章。</w:t>
      </w:r>
    </w:p>
    <w:p>
      <w:pPr>
        <w:pStyle w:val="null3"/>
      </w:pPr>
      <w:r>
        <w:rPr/>
        <w:t>2、企业信用：供应商不得为列入“信用中国”(www.creditchina.gov.cn)记录失信被执行人、重大税收违法失信主体、中国政府采购网(www.ccgp.gov.cn)的政府采购严重违法失信行为记录名单，如相关失信记录已失效，需提供相关证明资料。采购代理机构于投标截止日当天在网站的查询结果为准（截图留存），注：供应商需在项目电子化交易系统中按要求上传相应证明文件并进行电子签章。</w:t>
      </w:r>
    </w:p>
    <w:p>
      <w:pPr>
        <w:pStyle w:val="null3"/>
      </w:pPr>
      <w:r>
        <w:rPr/>
        <w:t>3、控股关系：单位负责人为同一人或者存在直接控股、管理关系的不同供应商不得参加同一合同项下的政府采购活动；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t>采购包2：</w:t>
      </w:r>
    </w:p>
    <w:p>
      <w:pPr>
        <w:pStyle w:val="null3"/>
      </w:pPr>
      <w:r>
        <w:rPr/>
        <w:t>1、法人或者其他组织的营业执照等证明文件，自然人的身份证明：供应商应是独立承担民事责任能力的法人、其他组织或自然人，法人、其他组织须提供合法有效的营业执照（或事业单位法人证书）等证明资料， 自然人须提供身份证明。注：供应商需在项目电子化交易系统中按要求上传相应证明文件并进行电子签章。</w:t>
      </w:r>
    </w:p>
    <w:p>
      <w:pPr>
        <w:pStyle w:val="null3"/>
      </w:pPr>
      <w:r>
        <w:rPr/>
        <w:t>2、企业信用：供应商不得为列入“信用中国”(www.creditchina.gov.cn)记录失信被执行人、重大税收违法失信主体、中国政府采购网(www.ccgp.gov.cn)的政府采购严重违法失信行为记录名单，如相关失信记录已失效，需提供相关证明资料。采购代理机构于投标截止日当天在网站的查询结果为准（截图留存），注：供应商需在项目电子化交易系统中按要求上传相应证明文件并进行电子签章。</w:t>
      </w:r>
    </w:p>
    <w:p>
      <w:pPr>
        <w:pStyle w:val="null3"/>
      </w:pPr>
      <w:r>
        <w:rPr/>
        <w:t>3、控股关系：单位负责人为同一人或者存在直接控股、管理关系的不同供应商不得参加同一合同项下的政府采购活动；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陕西工业职业技术学院</w:t>
      </w:r>
    </w:p>
    <w:p>
      <w:pPr>
        <w:pStyle w:val="null3"/>
      </w:pPr>
      <w:r>
        <w:rPr/>
        <w:t xml:space="preserve"> 地址： </w:t>
      </w:r>
      <w:r>
        <w:rPr/>
        <w:t>陕西省咸阳市渭城区文汇西路12号</w:t>
      </w:r>
    </w:p>
    <w:p>
      <w:pPr>
        <w:pStyle w:val="null3"/>
      </w:pPr>
      <w:r>
        <w:rPr/>
        <w:t xml:space="preserve"> 邮编： </w:t>
      </w:r>
      <w:r>
        <w:rPr/>
        <w:t>712000</w:t>
      </w:r>
    </w:p>
    <w:p>
      <w:pPr>
        <w:pStyle w:val="null3"/>
      </w:pPr>
      <w:r>
        <w:rPr/>
        <w:t xml:space="preserve"> 联系人： </w:t>
      </w:r>
      <w:r>
        <w:rPr/>
        <w:t>陕西工业职业技术学院王老师</w:t>
      </w:r>
    </w:p>
    <w:p>
      <w:pPr>
        <w:pStyle w:val="null3"/>
      </w:pPr>
      <w:r>
        <w:rPr/>
        <w:t xml:space="preserve"> 联系电话： </w:t>
      </w:r>
      <w:r>
        <w:rPr/>
        <w:t>029-33152066</w:t>
      </w:r>
    </w:p>
    <w:p>
      <w:pPr>
        <w:pStyle w:val="null3"/>
        <w:outlineLvl w:val="2"/>
      </w:pPr>
      <w:r>
        <w:rPr>
          <w:sz w:val="28"/>
          <w:b/>
        </w:rPr>
        <w:t>代理机构：</w:t>
      </w:r>
      <w:r>
        <w:rPr>
          <w:sz w:val="28"/>
          <w:b/>
        </w:rPr>
        <w:t>龙寰项目管理咨询有限公司</w:t>
      </w:r>
    </w:p>
    <w:p>
      <w:pPr>
        <w:pStyle w:val="null3"/>
      </w:pPr>
      <w:r>
        <w:rPr/>
        <w:t xml:space="preserve"> 地址： </w:t>
      </w:r>
      <w:r>
        <w:rPr/>
        <w:t>西安市雁塔区太白南路181号西部电子社区A座A区501室</w:t>
      </w:r>
    </w:p>
    <w:p>
      <w:pPr>
        <w:pStyle w:val="null3"/>
      </w:pPr>
      <w:r>
        <w:rPr/>
        <w:t xml:space="preserve"> 邮编： </w:t>
      </w:r>
      <w:r>
        <w:rPr/>
        <w:t>710000</w:t>
      </w:r>
    </w:p>
    <w:p>
      <w:pPr>
        <w:pStyle w:val="null3"/>
      </w:pPr>
      <w:r>
        <w:rPr/>
        <w:t xml:space="preserve"> 联系人： </w:t>
      </w:r>
      <w:r>
        <w:rPr/>
        <w:t>徐小宁、郑蕊、张波</w:t>
      </w:r>
    </w:p>
    <w:p>
      <w:pPr>
        <w:pStyle w:val="null3"/>
      </w:pPr>
      <w:r>
        <w:rPr/>
        <w:t xml:space="preserve"> 联系电话： </w:t>
      </w:r>
      <w:r>
        <w:rPr/>
        <w:t>029-88228899-643</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采购包1：3,650,000.00元</w:t>
            </w:r>
          </w:p>
          <w:p>
            <w:pPr>
              <w:pStyle w:val="null3"/>
            </w:pPr>
            <w:r>
              <w:rPr/>
              <w:t>采购包2：4,250,000.00元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p>
          <w:p>
            <w:pPr>
              <w:pStyle w:val="null3"/>
            </w:pPr>
            <w:r>
              <w:rPr/>
              <w:t>采购包2：综合评分法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说明：中标/成交通知书发出之日起 5 日内乙方以转账方式向甲方指定账户支付合同款的 5 %作为履约保证金，经甲方最终书面验收合格后，乙方向甲方申请全额无息退还。</w:t>
            </w:r>
          </w:p>
          <w:p>
            <w:pPr>
              <w:pStyle w:val="null3"/>
            </w:pPr>
            <w:r>
              <w:rPr/>
              <w:t>采购包2：缴纳</w:t>
            </w:r>
          </w:p>
          <w:p>
            <w:pPr>
              <w:pStyle w:val="null3"/>
            </w:pPr>
            <w:r>
              <w:rPr/>
              <w:t>本采购包履约保证金为合同金额的5.0%</w:t>
            </w:r>
          </w:p>
          <w:p>
            <w:pPr>
              <w:pStyle w:val="null3"/>
            </w:pPr>
            <w:r>
              <w:rPr/>
              <w:t>说明：中标/成交通知书发出之日起 5 日内乙方以转账方式向甲方指定账户支付合同款的 5 %作为履约保证金，经甲方最终书面验收合格后，乙方向甲方申请全额无息退还。</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参照国家发展计划委员会《招标代理服务收费管理暂行办法》（计价格[2002]1980号）文件和《国家发展改革委办公厅关于招标代理服务收费有关问题的通知》（发改办价格[2003]857号）文件规定标准收取。2、缴费账户：开户名称：龙寰项目管理咨询有限公司，开户银行：平安银行西安高新路支行，账号：30201278015925。</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陕西工业职业技术学院</w:t>
      </w:r>
      <w:r>
        <w:rPr/>
        <w:t>和</w:t>
      </w:r>
      <w:r>
        <w:rPr/>
        <w:t>龙寰项目管理咨询有限公司</w:t>
      </w:r>
      <w:r>
        <w:rPr/>
        <w:t>享有。对招标文件中供应商参加本次政府采购活动应当具备的条件，招标项目技术、服务、商务及其他要求，评标细则及标准由</w:t>
      </w:r>
      <w:r>
        <w:rPr/>
        <w:t>陕西工业职业技术学院</w:t>
      </w:r>
      <w:r>
        <w:rPr/>
        <w:t>负责解释。除上述招标文件内容，其他内容由</w:t>
      </w:r>
      <w:r>
        <w:rPr/>
        <w:t>龙寰项目管理咨询有限公司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陕西工业职业技术学院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龙寰项目管理咨询有限公司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详见合同条款</w:t>
      </w:r>
    </w:p>
    <w:p>
      <w:pPr>
        <w:pStyle w:val="null3"/>
      </w:pPr>
      <w:r>
        <w:rPr/>
        <w:t>采购包2：</w:t>
      </w:r>
    </w:p>
    <w:p>
      <w:pPr>
        <w:pStyle w:val="null3"/>
      </w:pPr>
      <w:r>
        <w:rPr/>
        <w:t>详见合同条款</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龙寰项目管理咨询有限公司</w:t>
      </w:r>
      <w:r>
        <w:rPr/>
        <w:t xml:space="preserve"> 负责答复；供应商对除采购需求外的采购文件的询问、质疑由</w:t>
      </w:r>
      <w:r>
        <w:rPr/>
        <w:t>龙寰项目管理咨询有限公司</w:t>
      </w:r>
      <w:r>
        <w:rPr/>
        <w:t xml:space="preserve"> 负责答复；供应商对采购过程、采购结果的询问、质疑由 </w:t>
      </w:r>
      <w:r>
        <w:rPr/>
        <w:t>龙寰项目管理咨询有限公司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联系人：徐小宁、郑蕊</w:t>
      </w:r>
    </w:p>
    <w:p>
      <w:pPr>
        <w:pStyle w:val="null3"/>
      </w:pPr>
      <w:r>
        <w:rPr/>
        <w:t>联系电话：029-88228899-643</w:t>
      </w:r>
    </w:p>
    <w:p>
      <w:pPr>
        <w:pStyle w:val="null3"/>
      </w:pPr>
      <w:r>
        <w:rPr/>
        <w:t>地址：西安市雁塔区太白南路181号西部电子社区A座A区501室</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陕西工业职业技术学院信息安全应用创新平台项目，技术要求详见采购文件。</w:t>
      </w:r>
    </w:p>
    <w:p>
      <w:pPr>
        <w:pStyle w:val="null3"/>
        <w:outlineLvl w:val="2"/>
      </w:pPr>
      <w:r>
        <w:rPr>
          <w:sz w:val="28"/>
          <w:b/>
        </w:rPr>
        <w:t>3.2采购内容</w:t>
      </w:r>
    </w:p>
    <w:p>
      <w:pPr>
        <w:pStyle w:val="null3"/>
      </w:pPr>
      <w:r>
        <w:rPr/>
        <w:t>采购包1：</w:t>
      </w:r>
    </w:p>
    <w:p>
      <w:pPr>
        <w:pStyle w:val="null3"/>
      </w:pPr>
      <w:r>
        <w:rPr/>
        <w:t>采购包预算金额（元）: 3,650,000.00</w:t>
      </w:r>
    </w:p>
    <w:p>
      <w:pPr>
        <w:pStyle w:val="null3"/>
      </w:pPr>
      <w:r>
        <w:rPr/>
        <w:t>采购包最高限价（元）: 3,650,000.00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信息安全应用创新平台项目（第一包：信息安全网络仿真创新应用平台）</w:t>
            </w:r>
          </w:p>
        </w:tc>
        <w:tc>
          <w:tcPr>
            <w:tcW w:type="dxa" w:w="831"/>
          </w:tcPr>
          <w:p>
            <w:pPr>
              <w:pStyle w:val="null3"/>
              <w:jc w:val="right"/>
            </w:pPr>
            <w:r>
              <w:rPr/>
              <w:t>1.00</w:t>
            </w:r>
          </w:p>
        </w:tc>
        <w:tc>
          <w:tcPr>
            <w:tcW w:type="dxa" w:w="831"/>
          </w:tcPr>
          <w:p>
            <w:pPr>
              <w:pStyle w:val="null3"/>
              <w:jc w:val="right"/>
            </w:pPr>
            <w:r>
              <w:rPr/>
              <w:t>3,650,000.00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4,250,000.00</w:t>
      </w:r>
    </w:p>
    <w:p>
      <w:pPr>
        <w:pStyle w:val="null3"/>
      </w:pPr>
      <w:r>
        <w:rPr/>
        <w:t>采购包最高限价（元）: 4,250,000.00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信息安全应用创新平台项目（第二包：信息安全攻防演练创新应用平台）</w:t>
            </w:r>
          </w:p>
        </w:tc>
        <w:tc>
          <w:tcPr>
            <w:tcW w:type="dxa" w:w="831"/>
          </w:tcPr>
          <w:p>
            <w:pPr>
              <w:pStyle w:val="null3"/>
              <w:jc w:val="right"/>
            </w:pPr>
            <w:r>
              <w:rPr/>
              <w:t>1.00</w:t>
            </w:r>
          </w:p>
        </w:tc>
        <w:tc>
          <w:tcPr>
            <w:tcW w:type="dxa" w:w="831"/>
          </w:tcPr>
          <w:p>
            <w:pPr>
              <w:pStyle w:val="null3"/>
              <w:jc w:val="right"/>
            </w:pPr>
            <w:r>
              <w:rPr/>
              <w:t>4,250,000.00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标的名称：信息安全应用创新平台项目（第一包：信息安全网络仿真创新应用平台）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14"/>
              <w:gridCol w:w="239"/>
              <w:gridCol w:w="257"/>
              <w:gridCol w:w="1493"/>
              <w:gridCol w:w="234"/>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产品类型</w:t>
                  </w:r>
                </w:p>
              </w:tc>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单位</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分包</w:t>
                  </w:r>
                </w:p>
              </w:tc>
              <w:tc>
                <w:tcPr>
                  <w:tcW w:type="dxa" w:w="1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参数</w:t>
                  </w:r>
                </w:p>
              </w:tc>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数量</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资源发布统一管理平台</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信息安全应用创新平台项目（第一包：信息安全网络仿真创新应用平台）</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1.标准机架式≥2U设备，存储空间≥2T；内存≥16G，双电源支持热拔插；千兆电口≥6个，千兆光口≥4个（可扩展万兆），支持子IP配置，支持端口聚合。</w:t>
                  </w:r>
                </w:p>
                <w:p>
                  <w:pPr>
                    <w:pStyle w:val="null3"/>
                    <w:jc w:val="both"/>
                  </w:pPr>
                  <w:r>
                    <w:rPr>
                      <w:rFonts w:ascii="宋体" w:hAnsi="宋体" w:cs="宋体" w:eastAsia="宋体"/>
                      <w:sz w:val="18"/>
                    </w:rPr>
                    <w:t>2.具备资源统一发布与管理功能，并发访问数≥50000，代理网站个数无限制。</w:t>
                  </w:r>
                </w:p>
                <w:p>
                  <w:pPr>
                    <w:pStyle w:val="null3"/>
                    <w:jc w:val="both"/>
                  </w:pPr>
                  <w:r>
                    <w:rPr>
                      <w:rFonts w:ascii="宋体" w:hAnsi="宋体" w:cs="宋体" w:eastAsia="宋体"/>
                      <w:sz w:val="18"/>
                    </w:rPr>
                    <w:t>3.功能模块：资源发布、业务一键断网、资源IPv6发布、网站备案管理、SSL证书部署、应用防火墙、远程运维管理、日志分析等功能模块。</w:t>
                  </w:r>
                </w:p>
                <w:p>
                  <w:pPr>
                    <w:pStyle w:val="null3"/>
                    <w:jc w:val="both"/>
                  </w:pPr>
                  <w:r>
                    <w:rPr>
                      <w:rFonts w:ascii="宋体" w:hAnsi="宋体" w:cs="宋体" w:eastAsia="宋体"/>
                      <w:sz w:val="18"/>
                    </w:rPr>
                    <w:t>4.Web资源进行统一管理和发布，支持将IPv4网站及业务系统（支持非http协议）转换为IPv6方式发布。支持非80、443WEB资源类型发布，可自定义代理端口。</w:t>
                  </w:r>
                </w:p>
                <w:p>
                  <w:pPr>
                    <w:pStyle w:val="null3"/>
                    <w:jc w:val="both"/>
                  </w:pPr>
                  <w:r>
                    <w:rPr>
                      <w:rFonts w:ascii="宋体" w:hAnsi="宋体" w:cs="宋体" w:eastAsia="宋体"/>
                      <w:sz w:val="18"/>
                    </w:rPr>
                    <w:t>5.可根据访问者源IP地址段分配代理至不同后端服务器，支持Web资源基于地理位置、日期、时间等要素的访问策略定义。</w:t>
                  </w:r>
                </w:p>
                <w:p>
                  <w:pPr>
                    <w:pStyle w:val="null3"/>
                    <w:jc w:val="both"/>
                  </w:pPr>
                  <w:r>
                    <w:rPr>
                      <w:rFonts w:ascii="宋体" w:hAnsi="宋体" w:cs="宋体" w:eastAsia="宋体"/>
                      <w:sz w:val="18"/>
                    </w:rPr>
                    <w:t>6.SSL卸载，支持全网Web资源的SSL证书部署和替换功能。</w:t>
                  </w:r>
                </w:p>
                <w:p>
                  <w:pPr>
                    <w:pStyle w:val="null3"/>
                    <w:jc w:val="both"/>
                  </w:pPr>
                  <w:r>
                    <w:rPr>
                      <w:rFonts w:ascii="宋体" w:hAnsi="宋体" w:cs="宋体" w:eastAsia="宋体"/>
                      <w:sz w:val="18"/>
                    </w:rPr>
                    <w:t>7.全局及单个网站资源限制，如文件大小、超时时间、响应时间等。</w:t>
                  </w:r>
                </w:p>
                <w:p>
                  <w:pPr>
                    <w:pStyle w:val="null3"/>
                    <w:jc w:val="both"/>
                  </w:pPr>
                  <w:r>
                    <w:rPr>
                      <w:rFonts w:ascii="宋体" w:hAnsi="宋体" w:cs="宋体" w:eastAsia="宋体"/>
                      <w:sz w:val="18"/>
                    </w:rPr>
                    <w:t>8.微信管理模式，可在不开放互联网访问权限的情况下通过微信端程序对Web资源进行一键上线、下线。</w:t>
                  </w:r>
                </w:p>
                <w:p>
                  <w:pPr>
                    <w:pStyle w:val="null3"/>
                    <w:jc w:val="both"/>
                  </w:pPr>
                  <w:r>
                    <w:rPr>
                      <w:rFonts w:ascii="宋体" w:hAnsi="宋体" w:cs="宋体" w:eastAsia="宋体"/>
                      <w:sz w:val="18"/>
                    </w:rPr>
                    <w:t>9.支持IPv4到IPv4/IPv6、IPv6到IPv4/IPv6的四层地址翻译转换技术（包括TCP和UDP），支持传输层服务负载均衡的实现，可自动检测和切换后端非健康服务器（要求提供功能证明截图并加盖公章）。</w:t>
                  </w:r>
                </w:p>
                <w:p>
                  <w:pPr>
                    <w:pStyle w:val="null3"/>
                    <w:jc w:val="both"/>
                  </w:pPr>
                  <w:r>
                    <w:rPr>
                      <w:rFonts w:ascii="宋体" w:hAnsi="宋体" w:cs="宋体" w:eastAsia="宋体"/>
                      <w:sz w:val="18"/>
                    </w:rPr>
                    <w:t>10.支持开启网站资源监测，对已配置到系统内的资源进行域名解析检测，确认是否已正确解析到本机服务IP，支持自定义检测DNS，支持自定义A记录AAAA记录CNAME记录包含值和超时时间等。</w:t>
                  </w:r>
                </w:p>
                <w:p>
                  <w:pPr>
                    <w:pStyle w:val="null3"/>
                    <w:jc w:val="both"/>
                  </w:pPr>
                  <w:r>
                    <w:rPr>
                      <w:rFonts w:ascii="宋体" w:hAnsi="宋体" w:cs="宋体" w:eastAsia="宋体"/>
                      <w:sz w:val="18"/>
                    </w:rPr>
                    <w:t>11.独立用户运维平台，子用户可查看和管理权限内站点状态、基本配置等信息。用户通过工单功能与管理员沟通资源发布、网站备案等事宜，支持工单短信通知。用户平台可限制特定用户或独立CAS用户组登录，支持用户登陆后的二次审核机制，保障用户合法</w:t>
                  </w:r>
                </w:p>
                <w:p>
                  <w:pPr>
                    <w:pStyle w:val="null3"/>
                    <w:jc w:val="both"/>
                  </w:pPr>
                  <w:r>
                    <w:rPr>
                      <w:rFonts w:ascii="宋体" w:hAnsi="宋体" w:cs="宋体" w:eastAsia="宋体"/>
                      <w:sz w:val="18"/>
                    </w:rPr>
                    <w:t>12.独立用户运维平台内，可实现二级子用户针对站点进行自助备案，备案信息的增加、变更和审批、支持初审终审流程，支持对接短信平台；支持工单功能（要求提供功能证明截图并加盖公章）。</w:t>
                  </w:r>
                </w:p>
                <w:p>
                  <w:pPr>
                    <w:pStyle w:val="null3"/>
                    <w:jc w:val="both"/>
                  </w:pPr>
                  <w:r>
                    <w:rPr>
                      <w:rFonts w:ascii="宋体" w:hAnsi="宋体" w:cs="宋体" w:eastAsia="宋体"/>
                      <w:sz w:val="18"/>
                    </w:rPr>
                    <w:t>13.独立用户运维平台内，可实现二级子用户自行添加RDP、VNC、Telnet、SSH等协议的业务服务器自行运维（管理员可控制权限）。支持运维录屏功能。</w:t>
                  </w:r>
                </w:p>
                <w:p>
                  <w:pPr>
                    <w:pStyle w:val="null3"/>
                    <w:jc w:val="both"/>
                  </w:pPr>
                  <w:r>
                    <w:rPr>
                      <w:rFonts w:ascii="宋体" w:hAnsi="宋体" w:cs="宋体" w:eastAsia="宋体"/>
                      <w:sz w:val="18"/>
                    </w:rPr>
                    <w:t>14.提供独立日志系统软件，采用虚拟化方式部署，支持KVM、ESXI导入或ISO镜像部署，日志系统具备资源发布统一管理平台专用日志存储与审计功能模块（提供截图证明并加盖公章）。</w:t>
                  </w:r>
                </w:p>
                <w:p>
                  <w:pPr>
                    <w:pStyle w:val="null3"/>
                    <w:jc w:val="both"/>
                  </w:pPr>
                  <w:r>
                    <w:rPr>
                      <w:rFonts w:ascii="宋体" w:hAnsi="宋体" w:cs="宋体" w:eastAsia="宋体"/>
                      <w:sz w:val="18"/>
                    </w:rPr>
                    <w:t>15.独立日志系统支持主流网络安全设备、交换设备、路由设备、操作系统、应用系统、DNS、Web服务、VPN 、DHCP等日志的收集存储。支持二次推送，可将任意产品日志多路推送到其他日志审计平台。</w:t>
                  </w:r>
                </w:p>
                <w:p>
                  <w:pPr>
                    <w:pStyle w:val="null3"/>
                    <w:jc w:val="both"/>
                  </w:pPr>
                  <w:r>
                    <w:rPr>
                      <w:rFonts w:ascii="宋体" w:hAnsi="宋体" w:cs="宋体" w:eastAsia="宋体"/>
                      <w:sz w:val="18"/>
                    </w:rPr>
                    <w:t>16.业务日志可根据用户账号、IP类型、请求IP、请求域名、请求协议、请求地理位置、请求UA、请求URI、请求长度、响应状态码、回源状态、回源时间等多个条件进行多维度组合数据统计分析。</w:t>
                  </w:r>
                </w:p>
                <w:p>
                  <w:pPr>
                    <w:pStyle w:val="null3"/>
                    <w:jc w:val="both"/>
                  </w:pPr>
                  <w:r>
                    <w:rPr>
                      <w:rFonts w:ascii="宋体" w:hAnsi="宋体" w:cs="宋体" w:eastAsia="宋体"/>
                      <w:sz w:val="18"/>
                    </w:rPr>
                    <w:t>17.支持根据访问量、浏览器、操作系统、设备类型、请求来源地理位置、访问状态、数据动作等进行多维度的数据统计分析，并可实时通过图表展示。支持创建自定义数据模板，自定义分析条件与展示页面，对过滤后的数据进行深入挖掘，多维度分析。</w:t>
                  </w:r>
                </w:p>
                <w:p>
                  <w:pPr>
                    <w:pStyle w:val="null3"/>
                    <w:jc w:val="both"/>
                  </w:pPr>
                  <w:r>
                    <w:rPr>
                      <w:rFonts w:ascii="宋体" w:hAnsi="宋体" w:cs="宋体" w:eastAsia="宋体"/>
                      <w:sz w:val="18"/>
                    </w:rPr>
                    <w:t>18.产品拥有自主知识产权，非OEM产品，提供授权及软件著作权登记证书复印件并加盖公章。</w:t>
                  </w:r>
                </w:p>
                <w:p>
                  <w:pPr>
                    <w:pStyle w:val="null3"/>
                    <w:jc w:val="both"/>
                  </w:pPr>
                  <w:r>
                    <w:rPr>
                      <w:rFonts w:ascii="宋体" w:hAnsi="宋体" w:cs="宋体" w:eastAsia="宋体"/>
                      <w:sz w:val="18"/>
                    </w:rPr>
                    <w:t>19.为满足学校教育教学需求，提供软件资源与服务管理模块：★授权方式：场地授权；★授权期限：采购之日起≥2年；★</w:t>
                  </w:r>
                  <w:r>
                    <w:rPr>
                      <w:rFonts w:ascii="simsun" w:hAnsi="simsun" w:cs="simsun" w:eastAsia="simsun"/>
                      <w:sz w:val="18"/>
                    </w:rPr>
                    <w:t>授权产品（包含但不限于）：Windows操作系统、office办公套件、福昕高级PDF编辑器教育版、360 PC终端杀毒软件等</w:t>
                  </w:r>
                  <w:r>
                    <w:rPr>
                      <w:rFonts w:ascii="simsun" w:hAnsi="simsun" w:cs="simsun" w:eastAsia="simsun"/>
                      <w:sz w:val="18"/>
                    </w:rPr>
                    <w:t>。其他产品由投标人根据自身对项目的需求及理解，结合成本考虑自行选择是否增加投标内容。</w:t>
                  </w:r>
                  <w:r>
                    <w:rPr>
                      <w:rFonts w:ascii="宋体" w:hAnsi="宋体" w:cs="宋体" w:eastAsia="宋体"/>
                      <w:sz w:val="18"/>
                    </w:rPr>
                    <w:t>产品语言：至少包括简体中文。合约有效期内，上述内容如有升级版本，授权对升级版本同样有效。提供包括电话支持和在线支持；★涵盖范围：学校校园网覆盖区域及校内不联网单机用户计算机（台式机、一体机、笔记本等）；实现介质统一管理、统一分发、用户自助下载。提供具有操作截图的安装帮助指导文件；专属激活客户端，免安装、用户自助激活，激活过程用户无须输入密钥，保障密钥安全，防止资产流失。统计管理，下载、激活等统计用户的使用报表，满足学校管理员查看软件产品的使用情况。提供技术支持专线、服务邮箱。现场负责协助解决师生安装、激活功能。</w:t>
                  </w:r>
                </w:p>
                <w:p>
                  <w:pPr>
                    <w:pStyle w:val="null3"/>
                    <w:jc w:val="both"/>
                  </w:pPr>
                  <w:r>
                    <w:rPr>
                      <w:rFonts w:ascii="宋体" w:hAnsi="宋体" w:cs="宋体" w:eastAsia="宋体"/>
                      <w:sz w:val="18"/>
                    </w:rPr>
                    <w:t>20.提供三年硬件质保及一年驻场IPv6支持服务，梳理学校现有业务系统和网站资源，分析IPv6兼容性与发布需求，制定站点改造计划，测试、执行业务发布及文档记录。校内用户IPv6地址规划及部署，提供流量优化保障。保障学校IPv6支持度在同等级高校的领先水平。</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网络资产安全治理平台</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信息安全应用创新平台项目（第一包：信息安全网络仿真创新应用平台）</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主被动结合机制，发现门户网站</w:t>
                  </w:r>
                  <w:r>
                    <w:rPr>
                      <w:rFonts w:ascii="宋体" w:hAnsi="宋体" w:cs="宋体" w:eastAsia="宋体"/>
                      <w:sz w:val="18"/>
                    </w:rPr>
                    <w:t>.业务系统及联网设备安全问题。将资产上线安全检查与备案系统相结合，简化备案工作流程，提供网络资产及物联网资产安全的日常监控，包含脆弱性管理.篡改监控.暗链等安全问题，并提供专业的修补意见。帮助客户实现对自身资产安全状况做到“资产有数.风险可控.威胁可感知.安全可量化”的高效安全管理。</w:t>
                  </w:r>
                </w:p>
                <w:p>
                  <w:pPr>
                    <w:pStyle w:val="null3"/>
                    <w:jc w:val="both"/>
                  </w:pPr>
                  <w:r>
                    <w:rPr>
                      <w:rFonts w:ascii="宋体" w:hAnsi="宋体" w:cs="宋体" w:eastAsia="宋体"/>
                      <w:sz w:val="18"/>
                    </w:rPr>
                    <w:t>1.千兆接口≥4个,可扩展千兆电口或千兆/万兆光口；存储空间≥1TB；冗余电源；</w:t>
                  </w:r>
                </w:p>
                <w:p>
                  <w:pPr>
                    <w:pStyle w:val="null3"/>
                    <w:jc w:val="both"/>
                  </w:pPr>
                  <w:r>
                    <w:rPr>
                      <w:rFonts w:ascii="宋体" w:hAnsi="宋体" w:cs="宋体" w:eastAsia="宋体"/>
                      <w:sz w:val="18"/>
                    </w:rPr>
                    <w:t>2.资产综合管理≥150个；事件处理能力：20000条/秒；</w:t>
                  </w:r>
                </w:p>
                <w:p>
                  <w:pPr>
                    <w:pStyle w:val="null3"/>
                    <w:jc w:val="both"/>
                  </w:pPr>
                  <w:r>
                    <w:rPr>
                      <w:rFonts w:ascii="宋体" w:hAnsi="宋体" w:cs="宋体" w:eastAsia="宋体"/>
                      <w:sz w:val="18"/>
                    </w:rPr>
                    <w:t>3.可对网络中的IP资产进行管理，支持以安全域的方式对资产进行分组，资产的属性包括安全CIA指标，支持自定义资产属性，可根据需要对资产属性进行任意扩展；</w:t>
                  </w:r>
                </w:p>
                <w:p>
                  <w:pPr>
                    <w:pStyle w:val="null3"/>
                    <w:jc w:val="both"/>
                  </w:pPr>
                  <w:r>
                    <w:rPr>
                      <w:rFonts w:ascii="宋体" w:hAnsi="宋体" w:cs="宋体" w:eastAsia="宋体"/>
                      <w:sz w:val="18"/>
                    </w:rPr>
                    <w:t>4.可对网络设备、安全设备、存储设备、服务器、数据库、中间件、服务、业务系统、网络链路及虚拟机集群等进行监控管理。具体包括：交换机、路由器、防火墙、Windows服务器、AIX服务器、Linux服务器、HP-UX服务器、Solaris服务器、网络安全审计、IDS/IPS、终端安全审计、行为管理、数据库、中间件、DNS服务、FTP服务等；（要求提供界面截图证明）；</w:t>
                  </w:r>
                </w:p>
                <w:p>
                  <w:pPr>
                    <w:pStyle w:val="null3"/>
                    <w:jc w:val="both"/>
                  </w:pPr>
                  <w:r>
                    <w:rPr>
                      <w:rFonts w:ascii="宋体" w:hAnsi="宋体" w:cs="宋体" w:eastAsia="宋体"/>
                      <w:sz w:val="18"/>
                    </w:rPr>
                    <w:t>5.能够对监控对象的进行性能、通断、安全、扩展等指标进行监控，内置不同监控类型的模板，同时支持自定义添加模板；支持对监控对象生成快照操作，快照里保存的是该设备在生产快照的那一时刻的瞬间监控数据；支持syslog、snmp trap、flow流量、netbios流量等4种代理模式采集日志数据，同时支持日志文件导入离线数据，支持FTP、JDBC、SCP、SFTP等方式远程获取某个设备下的日志文件数据（要求提供界面截图证明）；</w:t>
                  </w:r>
                </w:p>
                <w:p>
                  <w:pPr>
                    <w:pStyle w:val="null3"/>
                    <w:jc w:val="both"/>
                  </w:pPr>
                  <w:r>
                    <w:rPr>
                      <w:rFonts w:ascii="宋体" w:hAnsi="宋体" w:cs="宋体" w:eastAsia="宋体"/>
                      <w:sz w:val="18"/>
                    </w:rPr>
                    <w:t>6.支持展示监控对象的信息，如名称、管理IP、MAC地址、监控状态、管理方式、健康度、可用性、CPU/内存使用情况，服务器还能够查看其磁盘列表、进程、已安装软件、承载应用、承载业务等信息（要求提供界面截图证明）；</w:t>
                  </w:r>
                </w:p>
                <w:p>
                  <w:pPr>
                    <w:pStyle w:val="null3"/>
                    <w:jc w:val="both"/>
                  </w:pPr>
                  <w:r>
                    <w:rPr>
                      <w:rFonts w:ascii="宋体" w:hAnsi="宋体" w:cs="宋体" w:eastAsia="宋体"/>
                      <w:sz w:val="18"/>
                    </w:rPr>
                    <w:t>7.支持查看监控对象的CMDB信息、快照信息、报表、知识、故障、接口信息、漏洞、补丁、软件、硬件、威胁、风险及体验化信息（要求提供界面截图证明）；</w:t>
                  </w:r>
                </w:p>
                <w:p>
                  <w:pPr>
                    <w:pStyle w:val="null3"/>
                    <w:jc w:val="both"/>
                  </w:pPr>
                  <w:r>
                    <w:rPr>
                      <w:rFonts w:ascii="宋体" w:hAnsi="宋体" w:cs="宋体" w:eastAsia="宋体"/>
                      <w:sz w:val="18"/>
                    </w:rPr>
                    <w:t>8.支持网络拓扑发现，自动生成网络拓扑图，支持分层显示和全局显示两种展现方式。在全局显示模式下，能够在一个拓扑图上显示三层、二层网络设备和终端设备。拓扑图上能够显示节点之间的链路连接。节点或链路出现故障，拓扑图节点能够直观显示。支持对拓扑图的鸟瞰、缩放、导出、导入等功能。支持查看拓扑整体概况，包括运行状况、链路状况及异常状况（要求提供界面截图证明）；</w:t>
                  </w:r>
                </w:p>
                <w:p>
                  <w:pPr>
                    <w:pStyle w:val="null3"/>
                    <w:jc w:val="both"/>
                  </w:pPr>
                  <w:r>
                    <w:rPr>
                      <w:rFonts w:ascii="宋体" w:hAnsi="宋体" w:cs="宋体" w:eastAsia="宋体"/>
                      <w:sz w:val="18"/>
                    </w:rPr>
                    <w:t>9.支持自定义构建机房拓扑、业务拓扑及示意拓扑图等，方便管理员图形化操作管理机房及业务资源设备（要求提供界面截图证明）；</w:t>
                  </w:r>
                </w:p>
                <w:p>
                  <w:pPr>
                    <w:pStyle w:val="null3"/>
                    <w:jc w:val="both"/>
                  </w:pPr>
                  <w:r>
                    <w:rPr>
                      <w:rFonts w:ascii="宋体" w:hAnsi="宋体" w:cs="宋体" w:eastAsia="宋体"/>
                      <w:sz w:val="18"/>
                    </w:rPr>
                    <w:t>10.实时查看交换机端口的IP-MAC列表，支持基准设置操作，能够实时检测设备的IP/MAC异常情况，提供异常告警（要求提供界面截图证明）；</w:t>
                  </w:r>
                </w:p>
                <w:p>
                  <w:pPr>
                    <w:pStyle w:val="null3"/>
                    <w:jc w:val="both"/>
                  </w:pPr>
                  <w:r>
                    <w:rPr>
                      <w:rFonts w:ascii="宋体" w:hAnsi="宋体" w:cs="宋体" w:eastAsia="宋体"/>
                      <w:sz w:val="18"/>
                    </w:rPr>
                    <w:t>11.支持syslog、snmp trap、flow流量、netbios流量等4种代理模式采集日志数据，同时支持日志文件导入离线数据，支持FTP、JDBC、SCP、SFTP等方式远程获取某个设备下的日志文件数据；（要求提供界面截图证明）；</w:t>
                  </w:r>
                </w:p>
                <w:p>
                  <w:pPr>
                    <w:pStyle w:val="null3"/>
                    <w:jc w:val="both"/>
                  </w:pPr>
                  <w:r>
                    <w:rPr>
                      <w:rFonts w:ascii="宋体" w:hAnsi="宋体" w:cs="宋体" w:eastAsia="宋体"/>
                      <w:sz w:val="18"/>
                    </w:rPr>
                    <w:t>12.内置漏洞扫描引擎，支持多任务快速扫描。支持漏洞与资产的自动关联及显示。支持资产弱点生命周期管理：新发现、确认、已消除、已防护。支持图形化方式表现资产脆弱性统计报表。支持与其他漏扫产品的数据共享及报表的导入和导出（要求提供界面截图证明）；</w:t>
                  </w:r>
                </w:p>
                <w:p>
                  <w:pPr>
                    <w:pStyle w:val="null3"/>
                    <w:jc w:val="both"/>
                  </w:pPr>
                  <w:r>
                    <w:rPr>
                      <w:rFonts w:ascii="宋体" w:hAnsi="宋体" w:cs="宋体" w:eastAsia="宋体"/>
                      <w:sz w:val="18"/>
                    </w:rPr>
                    <w:t>13.提供SNMP Trap、Syslog事件转发功能，支持对第三方的Web Service接口调用，可方便地与第三方系统进行整合（要求提供界面截图证明）；</w:t>
                  </w:r>
                </w:p>
                <w:p>
                  <w:pPr>
                    <w:pStyle w:val="null3"/>
                    <w:jc w:val="both"/>
                  </w:pPr>
                  <w:r>
                    <w:rPr>
                      <w:rFonts w:ascii="宋体" w:hAnsi="宋体" w:cs="宋体" w:eastAsia="宋体"/>
                      <w:sz w:val="18"/>
                    </w:rPr>
                    <w:t>14.日志收集后进行字段和安全等级的归一化处理，并保留原始日志，方便用户对关键日志快速定位（要求提供界面截图证明）；</w:t>
                  </w:r>
                </w:p>
                <w:p>
                  <w:pPr>
                    <w:pStyle w:val="null3"/>
                    <w:jc w:val="both"/>
                  </w:pPr>
                  <w:r>
                    <w:rPr>
                      <w:rFonts w:ascii="宋体" w:hAnsi="宋体" w:cs="宋体" w:eastAsia="宋体"/>
                      <w:sz w:val="18"/>
                    </w:rPr>
                    <w:t>数据防泄漏模块：对经由网络外发的敏感数据进行审计发现、阻断等。防止泄密事件，包括</w:t>
                  </w:r>
                  <w:r>
                    <w:rPr>
                      <w:rFonts w:ascii="宋体" w:hAnsi="宋体" w:cs="宋体" w:eastAsia="宋体"/>
                      <w:sz w:val="18"/>
                    </w:rPr>
                    <w:t>web通道外发、邮件外发、U盘拷贝、QQ、微信、等渠道外发的敏感信息进行监测，精准监控、识别追溯关键数据流转情况采用中文语义识别、深度内容检测、OCR、机器学习等核心技术实现对数据库、文档敏感内容的精准识别。</w:t>
                  </w:r>
                </w:p>
                <w:p>
                  <w:pPr>
                    <w:pStyle w:val="null3"/>
                    <w:jc w:val="both"/>
                  </w:pPr>
                  <w:r>
                    <w:rPr>
                      <w:rFonts w:ascii="宋体" w:hAnsi="宋体" w:cs="宋体" w:eastAsia="宋体"/>
                      <w:sz w:val="18"/>
                    </w:rPr>
                    <w:t>1.支持对关键字进行中文分词；支持数据字典算法，可按关键字个数或权重进行识别，权重设置支持负数；支持文档自动分类分级和自动聚类；支持设置最少正则命中次数或词数；支持文件指纹检测内容，可设置指纹相似度；可用于检测被保护文档派生文档，可对数据库文件中的表导出文件做指纹检测；支持图片指纹匹配，可自定义设置图片匹配阈值；支持对图片、文档中的图章进行识别；支持对复合文件、压缩文件作为整体识别，或对其中子文件进行单独识别；对于excel，支持对每个sheet页单独识别，也支持对整个excel进行汇总识别；</w:t>
                  </w:r>
                </w:p>
                <w:p>
                  <w:pPr>
                    <w:pStyle w:val="null3"/>
                    <w:jc w:val="both"/>
                  </w:pPr>
                  <w:r>
                    <w:rPr>
                      <w:rFonts w:ascii="宋体" w:hAnsi="宋体" w:cs="宋体" w:eastAsia="宋体"/>
                      <w:sz w:val="18"/>
                    </w:rPr>
                    <w:t>2.提供在线文件指纹生成工具，支持定期从FTP、共享目录、git仓库生成文件指纹，并进行自动分发；提供离线语义分析工具，对文档自动分类、分级、聚类；提供用户映射工具，实现IP地址到机器（或登录用户）的映射；</w:t>
                  </w:r>
                </w:p>
                <w:p>
                  <w:pPr>
                    <w:pStyle w:val="null3"/>
                    <w:jc w:val="both"/>
                  </w:pPr>
                  <w:r>
                    <w:rPr>
                      <w:rFonts w:ascii="宋体" w:hAnsi="宋体" w:cs="宋体" w:eastAsia="宋体"/>
                      <w:sz w:val="18"/>
                    </w:rPr>
                    <w:t>3.根据文件特征而非文件扩展名进行文件格式识别；识别常见的文件内容，包括doc、docx、xls、xlsx、ppt、pptx、pdf、zip、rar、7z、txt等；能够识别多层嵌套文件的内容能够识别多层压缩文件的内容；支持识别自定义文档类型；能够识别加密的Office类文档、RAR、ZIP、TAR压缩包、PDF文档；支持Unicode、GB18030、GBK、UTF-8编码格式；识别图片文件格式；支持识别音频、视频文件格式；</w:t>
                  </w:r>
                </w:p>
                <w:p>
                  <w:pPr>
                    <w:pStyle w:val="null3"/>
                    <w:jc w:val="both"/>
                  </w:pPr>
                  <w:r>
                    <w:rPr>
                      <w:rFonts w:ascii="宋体" w:hAnsi="宋体" w:cs="宋体" w:eastAsia="宋体"/>
                      <w:sz w:val="18"/>
                    </w:rPr>
                    <w:t>4.支持HTTP、FTP、SMTP、POP3、IMAP、QQ、TIM、TELNET、SMB等网络协议上的敏感数据监控审计；</w:t>
                  </w:r>
                </w:p>
                <w:p>
                  <w:pPr>
                    <w:pStyle w:val="null3"/>
                    <w:jc w:val="both"/>
                  </w:pPr>
                  <w:r>
                    <w:rPr>
                      <w:rFonts w:ascii="宋体" w:hAnsi="宋体" w:cs="宋体" w:eastAsia="宋体"/>
                      <w:sz w:val="18"/>
                    </w:rPr>
                    <w:t>5.对QQ等即时通讯软件上传文件的行为进行监控并识别上传的附件中是否包含敏感信息；能够识别通过QQ、Web邮箱、smtp邮箱、网盘等外传敏感文件；对通过HTTP下载敏感数据的行为进行监控和识别；</w:t>
                  </w:r>
                </w:p>
                <w:p>
                  <w:pPr>
                    <w:pStyle w:val="null3"/>
                    <w:jc w:val="both"/>
                  </w:pPr>
                  <w:r>
                    <w:rPr>
                      <w:rFonts w:ascii="宋体" w:hAnsi="宋体" w:cs="宋体" w:eastAsia="宋体"/>
                      <w:sz w:val="18"/>
                    </w:rPr>
                    <w:t>6.响应动作支持终端保护（审计、阻止、标注分级分类）、网络保护（审计、阻止HTTP/HTTPS/SMTP）、应用保护（审计、阻止HTTP/HTTPS）、邮件保护（审批、转发、抄送、审计）以及通用（发送电子邮件、记录到syslog服务器、添加注释、设置状态、设置属性、限制数据保留、上传文件）。同一策略中，可针对不同外泄方式/协议、监控位置定义不同的响应动作；</w:t>
                  </w:r>
                </w:p>
                <w:p>
                  <w:pPr>
                    <w:pStyle w:val="null3"/>
                    <w:jc w:val="both"/>
                  </w:pPr>
                  <w:r>
                    <w:rPr>
                      <w:rFonts w:ascii="宋体" w:hAnsi="宋体" w:cs="宋体" w:eastAsia="宋体"/>
                      <w:sz w:val="18"/>
                    </w:rPr>
                    <w:t>7.支持事件处理时效的检查，通过设定事件处理时长阈值，衡量事件的处理效率，通知管理员及时处理超时未处理的泄露事件；支持事件的模糊查询，通过事件中命中的特有信息如姓名、身份证号、手机号等，查询某些具体敏感信息的泄露情况，快速定位泄露事件的源头；</w:t>
                  </w:r>
                </w:p>
                <w:p>
                  <w:pPr>
                    <w:pStyle w:val="null3"/>
                    <w:jc w:val="both"/>
                  </w:pPr>
                  <w:r>
                    <w:rPr>
                      <w:rFonts w:ascii="宋体" w:hAnsi="宋体" w:cs="宋体" w:eastAsia="宋体"/>
                      <w:sz w:val="18"/>
                    </w:rPr>
                    <w:t>校园多级监测管理模块：支持按照全校不同场景的资源分级计量，实现区域</w:t>
                  </w:r>
                  <w:r>
                    <w:rPr>
                      <w:rFonts w:ascii="宋体" w:hAnsi="宋体" w:cs="宋体" w:eastAsia="宋体"/>
                      <w:sz w:val="18"/>
                    </w:rPr>
                    <w:t>GIS地图点位分布、区域拓扑、统计信息、区域负荷统计排序、告警信息等展示；支持对系统内所有设备以区域树状图的形式进行分组展示，并可对设备的基础信息、运行指标和历史运行趋势等进行展示；支持各数据的环比分析和与历史同期用电量的同比分析。</w:t>
                  </w:r>
                </w:p>
                <w:p>
                  <w:pPr>
                    <w:pStyle w:val="null3"/>
                    <w:jc w:val="both"/>
                  </w:pPr>
                  <w:r>
                    <w:rPr>
                      <w:rFonts w:ascii="宋体" w:hAnsi="宋体" w:cs="宋体" w:eastAsia="宋体"/>
                      <w:sz w:val="18"/>
                    </w:rPr>
                    <w:t>智慧计量配套组件：不低于</w:t>
                  </w:r>
                  <w:r>
                    <w:rPr>
                      <w:rFonts w:ascii="宋体" w:hAnsi="宋体" w:cs="宋体" w:eastAsia="宋体"/>
                      <w:sz w:val="18"/>
                    </w:rPr>
                    <w:t>5套</w:t>
                  </w:r>
                </w:p>
                <w:p>
                  <w:pPr>
                    <w:pStyle w:val="null3"/>
                    <w:jc w:val="both"/>
                  </w:pPr>
                  <w:r>
                    <w:rPr>
                      <w:rFonts w:ascii="宋体" w:hAnsi="宋体" w:cs="宋体" w:eastAsia="宋体"/>
                      <w:sz w:val="18"/>
                    </w:rPr>
                    <w:t>1、支持RS485通信；2、计量精度不低于0.5S级，工作环境最高温度≥55℃、最低温度≤-25℃；3、具备基础用电模块的所有功能，液晶显示器，显示内容包含但不限于：房号、累计使用数据、使用实时参数等信息；4、支持远程监测使用状态等；5、支持远程合断电操作；6、必须支持过载保护功能；7、自带缺项保护功能；8、国产处理器：核心数不低于四核，主频≥2.0GHz 。CPU、ROM、RAM、电源、晶振、连接器等所有器件均必须采用国产配件。9、架构设计必须基于边缘计算的架构，必须开放软硬件资源，必须支持多容器管理，嵌入式APP支持随需部署；10、标准Linux系统开发环境，提供SDK实现计算、存储、网络资源灵活调用；11、硬件设备需支持国密标准加密算法，支持业务数据安全加密 ,非特权容器，支持分区双备份，保障设备安全可靠。12、无风扇设计，支持长期工作的工作的最低温度≤-40℃，最高温度≥80℃间；13、支持强磁干扰下无故障工作，设计必须满足IEEE1613、EN61000-6-5(2009+2013)、IEC60950-1、IEC   61850-3要求；14、支持12-24VDC供电。支持3路以上485/232物联端口。15、支持RS485通讯,管径≥DN150,最低工作环境温度≤-10℃最高工作环境温度≥55℃。16、设备必须支持但不限于：支持流速、瞬时流量、累计流量等的监测，支持最高流速不得低于15M/S的监测，精确度：最大±0.3%(流速≥1m/s)；最大±3mm/s(流速＜1m/s)，17、防护等级：壳体部分不低于IP65，传感器部分不低于IP68。18、测量范围 ：不低于20MPa；19、显示方式：LCD；20、最低工作环境温度≤-10℃最高工作环境温度≥80℃。21、安装方式：支持可选螺纹；22、输出信号支持RS485Modbus协议；23、供电电源：支持12-24VDC供电；24、接口材质：采用不锈钢材质。</w:t>
                  </w:r>
                </w:p>
                <w:p>
                  <w:pPr>
                    <w:pStyle w:val="null3"/>
                    <w:jc w:val="both"/>
                  </w:pPr>
                  <w:r>
                    <w:rPr>
                      <w:rFonts w:ascii="宋体" w:hAnsi="宋体" w:cs="宋体" w:eastAsia="宋体"/>
                      <w:sz w:val="18"/>
                    </w:rPr>
                    <w:t>数字校园信息发布及管理模块：支持多类型信息</w:t>
                  </w:r>
                  <w:r>
                    <w:rPr>
                      <w:rFonts w:ascii="宋体" w:hAnsi="宋体" w:cs="宋体" w:eastAsia="宋体"/>
                      <w:sz w:val="18"/>
                    </w:rPr>
                    <w:t>(通知、公告、新闻)的分类发布与管理，支持视频、图片、文字等多媒体内容发布，发布信息的系统化归档与便捷检索。集成反馈系统，收集并分析受众反馈。具备信息发布的多级审核与权限管理功能，支持在线管理，实现线上答题与评分，参赛者管理功能，包括资格审核和信息确认，支持结果的公示，保障比赛的公平性，提供大赛历史记录和优秀作品展示平台，支持多层级权限管理，配置信息发布审核功能。</w:t>
                  </w:r>
                </w:p>
                <w:p>
                  <w:pPr>
                    <w:pStyle w:val="null3"/>
                    <w:jc w:val="both"/>
                  </w:pPr>
                  <w:r>
                    <w:rPr>
                      <w:rFonts w:ascii="宋体" w:hAnsi="宋体" w:cs="宋体" w:eastAsia="宋体"/>
                      <w:sz w:val="18"/>
                    </w:rPr>
                    <w:t>以上提供三年质保及一年驻场运维服务，梳理内容，完善资料，保障实施效果，确保操作人员能独立操作。</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网络全流量系统</w:t>
                  </w:r>
                </w:p>
                <w:p>
                  <w:pPr>
                    <w:pStyle w:val="null3"/>
                    <w:ind w:firstLine="360"/>
                    <w:jc w:val="center"/>
                  </w:p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信息安全应用创新平台项目（第一包：信息安全网络仿真创新应用平台）</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1.流量处理能力≥6Gbps，≥2个万兆SFP数据采集口,存储≥16TB，冗余电源。</w:t>
                  </w:r>
                </w:p>
                <w:p>
                  <w:pPr>
                    <w:pStyle w:val="null3"/>
                    <w:jc w:val="both"/>
                  </w:pPr>
                  <w:r>
                    <w:rPr>
                      <w:rFonts w:ascii="宋体" w:hAnsi="宋体" w:cs="宋体" w:eastAsia="宋体"/>
                      <w:sz w:val="18"/>
                    </w:rPr>
                    <w:t>2.B/S架构，便于任意主机通过浏览器直接进行数据查看及分析。数据包采集需支持全量采集，如互联网客户端IP需全量采集、统计、展示、存储，全量记录每个数据包及每个IP通讯对,系统可检索和展示未被定义的访问和通讯对。</w:t>
                  </w:r>
                </w:p>
                <w:p>
                  <w:pPr>
                    <w:pStyle w:val="null3"/>
                    <w:jc w:val="both"/>
                  </w:pPr>
                  <w:r>
                    <w:rPr>
                      <w:rFonts w:ascii="宋体" w:hAnsi="宋体" w:cs="宋体" w:eastAsia="宋体"/>
                      <w:sz w:val="18"/>
                    </w:rPr>
                    <w:t>3.支持与CMDB集成，实现数据关联，可以清晰的呈现出相关的资产信息，如指定IP的所属业务系统、用途、网络区域、服务器名称、中间件类型、业务级别等数据。自动巡检库可以用户自己更新，根据客户发生的故障，客户自己的想法，自动编写巡检脚本进行分析并输出自定义格式报告。</w:t>
                  </w:r>
                </w:p>
                <w:p>
                  <w:pPr>
                    <w:pStyle w:val="null3"/>
                    <w:jc w:val="both"/>
                  </w:pPr>
                  <w:r>
                    <w:rPr>
                      <w:rFonts w:ascii="宋体" w:hAnsi="宋体" w:cs="宋体" w:eastAsia="宋体"/>
                      <w:sz w:val="18"/>
                    </w:rPr>
                    <w:t>4.支持基于流量的访问关系自动发现，可通过数据中心，网络区域，业务系统等多个视角进行访问关系画像，并可将学习结果保存为访问关系白名单进行对比，识别新增，异常身份及访问。（提供功能截图并加盖公章）支持主动拨测功能，可主动拨测方式对目标进行网络质量监测，当发生异常可主动发起告警通知。至少支持网络延时和丢包率分析，同时支持设定参考值，基于参考值的偏离度进行告警。（提供功能截图并加盖公章）</w:t>
                  </w:r>
                </w:p>
                <w:p>
                  <w:pPr>
                    <w:pStyle w:val="null3"/>
                    <w:jc w:val="both"/>
                  </w:pPr>
                  <w:r>
                    <w:rPr>
                      <w:rFonts w:ascii="宋体" w:hAnsi="宋体" w:cs="宋体" w:eastAsia="宋体"/>
                      <w:sz w:val="18"/>
                    </w:rPr>
                    <w:t>5.支持基于用户配置数据包下载的IP黑白名单，对数据包下载权限进行控制。支持数据包在线解码，无需下载到本地，通过web界面即可支持对IP数据包在线解析包头，payload等。</w:t>
                  </w:r>
                </w:p>
                <w:p>
                  <w:pPr>
                    <w:pStyle w:val="null3"/>
                    <w:jc w:val="both"/>
                  </w:pPr>
                  <w:r>
                    <w:rPr>
                      <w:rFonts w:ascii="宋体" w:hAnsi="宋体" w:cs="宋体" w:eastAsia="宋体"/>
                      <w:sz w:val="18"/>
                    </w:rPr>
                    <w:t>6.支持多个离线数据包同一界面对比分析，从而直观展示数据质量差异并进行故障定位。（提供功能截图并加盖公章）在线包分析支持选择是否按通讯对聚合展示分析数据包。（提供功能截图并加盖公章）所有维度支持任意组合与嵌套组成复杂的数据过滤规则，支持通过表达式的方式实现对复杂的场景的维度和指标的过滤筛选，维度表达式与指标表达式支持图形化配置。支持多维度数据接入，支持的数据类型包括指标、日志、配置、API等。</w:t>
                  </w:r>
                </w:p>
                <w:p>
                  <w:pPr>
                    <w:pStyle w:val="null3"/>
                    <w:jc w:val="both"/>
                  </w:pPr>
                  <w:r>
                    <w:rPr>
                      <w:rFonts w:ascii="宋体" w:hAnsi="宋体" w:cs="宋体" w:eastAsia="宋体"/>
                      <w:sz w:val="18"/>
                    </w:rPr>
                    <w:t>7.数据关联，支持针对防火墙，负载均衡、NAT设备实现自动数据关联，缝合会话与流量指标，从而实现前后流量数据一致性跟踪与故障。（提供第三方权威机构证明材料）支持对所有负载均衡进行统一配置管理，实现对所纳管负载均衡设备基于不同维度的配置集中查询。根据不同场景需求，可以基于业务信息、设备名称、网络区域、 节点状态维度定制查询条件。（提供功能截图并加盖公章）告警支持对比规则，可自建表达式进行维度及指标差异计算并进行告警通知。（提供功能截图并加盖公章）</w:t>
                  </w:r>
                </w:p>
                <w:p>
                  <w:pPr>
                    <w:pStyle w:val="null3"/>
                    <w:jc w:val="both"/>
                  </w:pPr>
                  <w:r>
                    <w:rPr>
                      <w:rFonts w:ascii="宋体" w:hAnsi="宋体" w:cs="宋体" w:eastAsia="宋体"/>
                      <w:sz w:val="18"/>
                    </w:rPr>
                    <w:t>8.支持机器学习功能，自动鉴别异常故障并告警。实现免人工预设阈值告警，零配置动态告警，基于告警内容自动分析，生成智能诊断分析报告供查阅，报告内容包含异常时间、异常现象、诊断结论和排查建议。（提供功能截图并加盖公章）专线区域整体网络自动化诊断自服务，网络业务常见的异常现象，依据内置的规则匹配，场景中诊断故障必须包含且不限于：专线中断、专线路由器缺少路由、交换机缺少回指路由、防火墙未开通策略、防火墙NAT未转换、对端服务异常、对端服务未响应、对端服务队列异常、源端口复用等。（提供功能截图并加盖公章）</w:t>
                  </w:r>
                </w:p>
                <w:p>
                  <w:pPr>
                    <w:pStyle w:val="null3"/>
                    <w:jc w:val="both"/>
                  </w:pPr>
                  <w:r>
                    <w:rPr>
                      <w:rFonts w:ascii="宋体" w:hAnsi="宋体" w:cs="宋体" w:eastAsia="宋体"/>
                      <w:sz w:val="18"/>
                    </w:rPr>
                    <w:t>9.支持通过镜像方式采集并分析防火墙的流量。支持基于IP五元组统计吞吐量、SYN包数量、SYN-ACK数量、SYN-RST数量、SYN无响应数量、有效载荷大小等指标，需提供对应功能效果展示截图或功能验证证明文件。</w:t>
                  </w:r>
                </w:p>
                <w:p>
                  <w:pPr>
                    <w:pStyle w:val="null3"/>
                    <w:jc w:val="both"/>
                  </w:pPr>
                  <w:r>
                    <w:rPr>
                      <w:rFonts w:ascii="宋体" w:hAnsi="宋体" w:cs="宋体" w:eastAsia="宋体"/>
                      <w:sz w:val="18"/>
                    </w:rPr>
                    <w:t>10.支持集中展示各策略。支持以简洁、可读性好的排版展示策略。支持查看各策略调用的NAT规则。支持展示每一条策略的命中次数及总流量。支持展示每一条策略命中的IP五元组信息。支持展示自定义时间范围内的策略流量曲线。支持展示每一个墙未命中策略的IP五元组信息。支持展示被策略Deny的IP五元组信息。支持通过源IP、目的IP、端口、协议查询相关策略及其命中次数。支持查询一个通讯对在各个防火墙的策略开通情况。支持点击设备直接查看防火墙策略并展示策略的命中次数和流量。支持导出策略查询结果。</w:t>
                  </w:r>
                </w:p>
                <w:p>
                  <w:pPr>
                    <w:pStyle w:val="null3"/>
                    <w:jc w:val="both"/>
                  </w:pPr>
                  <w:r>
                    <w:rPr>
                      <w:rFonts w:ascii="宋体" w:hAnsi="宋体" w:cs="宋体" w:eastAsia="宋体"/>
                      <w:sz w:val="18"/>
                    </w:rPr>
                    <w:t>11.主动发现无效策略，包含：重复、被包含、可合并、停用、冲突、违规，分类展示并给出操作建议。支持排查高危端口策略，提供流量命中情况及流量大小信息。支持分析并列出策略中存在误定义的对象，列出调用了该对象的策略。支持导出所有问题策略。支持导出所有误定义对象。</w:t>
                  </w:r>
                </w:p>
                <w:p>
                  <w:pPr>
                    <w:pStyle w:val="null3"/>
                    <w:jc w:val="both"/>
                  </w:pPr>
                  <w:r>
                    <w:rPr>
                      <w:rFonts w:ascii="宋体" w:hAnsi="宋体" w:cs="宋体" w:eastAsia="宋体"/>
                      <w:sz w:val="18"/>
                    </w:rPr>
                    <w:t>12.支持分析长期没有流量命中的策略。支持分析有流量命中但没有有效载荷（净荷）的策略。支持分析宽泛策略，展示收敛比，列出实际命中的通讯对信息。支持自动聚合命中策略的源IP、目的IP、端口。</w:t>
                  </w:r>
                </w:p>
                <w:p>
                  <w:pPr>
                    <w:pStyle w:val="null3"/>
                    <w:jc w:val="both"/>
                  </w:pPr>
                  <w:r>
                    <w:rPr>
                      <w:rFonts w:ascii="宋体" w:hAnsi="宋体" w:cs="宋体" w:eastAsia="宋体"/>
                      <w:sz w:val="18"/>
                    </w:rPr>
                    <w:t>13.支持主备策略对比，标识出策略的差异。支持两份策略文件对比，标识出策略的差异。如更换防火墙厂商，新防火墙策略文件与原防火墙策略文件对比。</w:t>
                  </w:r>
                </w:p>
                <w:p>
                  <w:pPr>
                    <w:pStyle w:val="null3"/>
                    <w:jc w:val="both"/>
                  </w:pPr>
                  <w:r>
                    <w:rPr>
                      <w:rFonts w:ascii="宋体" w:hAnsi="宋体" w:cs="宋体" w:eastAsia="宋体"/>
                      <w:sz w:val="18"/>
                    </w:rPr>
                    <w:t>14.按计划自动生成短期、中期及长期报告（周报、月报、季报、年报），报告包含高危端口使用情况、问题策略整改情况，宽泛策略收敛情况。支持导出每个防火墙所有解析后的策略。</w:t>
                  </w:r>
                </w:p>
                <w:p>
                  <w:pPr>
                    <w:pStyle w:val="null3"/>
                    <w:jc w:val="both"/>
                  </w:pPr>
                  <w:r>
                    <w:rPr>
                      <w:rFonts w:ascii="宋体" w:hAnsi="宋体" w:cs="宋体" w:eastAsia="宋体"/>
                      <w:sz w:val="18"/>
                    </w:rPr>
                    <w:t>15.不低于三年质保、升级服务及一年驻场保障服务，包括策略采集，策略展示与查询，策略优化，策略收敛，变更验证，报表统计等，通过流量分析梳理优化业务，指导并培训操作人员熟练操作使用。</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容灾备份</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信息安全应用创新平台项目（第一包：信息安全网络仿真创新应用平台）</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1.CPU≥2*12核/24线程，内存≥256GB，≥4GB 缓存 RAID卡，≥2*GE电口，≥2*10GE光口（含多模光纤模块），提供≥200T的存储空间。</w:t>
                  </w:r>
                  <w:r>
                    <w:br/>
                  </w:r>
                  <w:r>
                    <w:rPr>
                      <w:rFonts w:ascii="宋体" w:hAnsi="宋体" w:cs="宋体" w:eastAsia="宋体"/>
                      <w:sz w:val="18"/>
                    </w:rPr>
                    <w:t>2.本次配置软件容量授权≥200TB容量授权，支持不限客户端数量的Windows、Linux、国产化平台下操作系统、文件、数据库保护功能，不限制客户端数量；满足≥10个AIX备份客户端授权；满足≥30个Oracle/Oracle RAC数据库实时备份客户端授权；满足≥30个MySQL数据库实时备份客户端授权；满足≥30个数据库灾备演练授权；满足≥30个文件合成备份功能授权；满足≥30个文件挂载恢复功能授权</w:t>
                  </w:r>
                  <w:r>
                    <w:br/>
                  </w:r>
                  <w:r>
                    <w:rPr>
                      <w:rFonts w:ascii="宋体" w:hAnsi="宋体" w:cs="宋体" w:eastAsia="宋体"/>
                      <w:sz w:val="18"/>
                    </w:rPr>
                    <w:t>3.兼容FusionCloud、H3C CAS、易捷行云EasyStack、腾讯云TStack、ZStack、等虚拟化（提供证明材料）</w:t>
                  </w:r>
                  <w:r>
                    <w:br/>
                  </w:r>
                  <w:r>
                    <w:rPr>
                      <w:rFonts w:ascii="宋体" w:hAnsi="宋体" w:cs="宋体" w:eastAsia="宋体"/>
                      <w:sz w:val="18"/>
                    </w:rPr>
                    <w:t>4.任务创建的过程中可以通过虚拟机名称进行搜索选择，可快速的找到需要保护的虚拟机（提供证明材料）</w:t>
                  </w:r>
                  <w:r>
                    <w:br/>
                  </w:r>
                  <w:r>
                    <w:rPr>
                      <w:rFonts w:ascii="宋体" w:hAnsi="宋体" w:cs="宋体" w:eastAsia="宋体"/>
                      <w:sz w:val="18"/>
                    </w:rPr>
                    <w:t>5.可支持VMware虚拟机的数据全量保障、增量数据保障、差异数据保障；支持自适应、Hot-Add、NBD、NBDSSL、SAN、等保护模式</w:t>
                  </w:r>
                  <w:r>
                    <w:br/>
                  </w:r>
                  <w:r>
                    <w:rPr>
                      <w:rFonts w:ascii="宋体" w:hAnsi="宋体" w:cs="宋体" w:eastAsia="宋体"/>
                      <w:sz w:val="18"/>
                    </w:rPr>
                    <w:t>6.因部分应用部署于多台虚拟机中，如若需要实现应用的同时保护，保证虚拟机的统一时间，即要求所选择虚拟机的并行保障，可自由设置并发数，增加效率（提供证明材料）</w:t>
                  </w:r>
                  <w:r>
                    <w:br/>
                  </w:r>
                  <w:r>
                    <w:rPr>
                      <w:rFonts w:ascii="宋体" w:hAnsi="宋体" w:cs="宋体" w:eastAsia="宋体"/>
                      <w:sz w:val="18"/>
                    </w:rPr>
                    <w:t>7.支持单独恢复虚拟机的文件，用户可根据实际需求，精细控制恢复的文件，从而避免整机恢复，提高恢复效率（提供证明材料）</w:t>
                  </w:r>
                  <w:r>
                    <w:br/>
                  </w:r>
                  <w:r>
                    <w:rPr>
                      <w:rFonts w:ascii="宋体" w:hAnsi="宋体" w:cs="宋体" w:eastAsia="宋体"/>
                      <w:sz w:val="18"/>
                    </w:rPr>
                    <w:t>8.虚拟机恢复时可支持源路径恢复、新路径恢复，同时可以配置恢复的目标以及配置，同时恢复后可选择保留源虚拟机版本、MAC地址等（提供证明材料）</w:t>
                  </w:r>
                  <w:r>
                    <w:br/>
                  </w:r>
                  <w:r>
                    <w:rPr>
                      <w:rFonts w:ascii="宋体" w:hAnsi="宋体" w:cs="宋体" w:eastAsia="宋体"/>
                      <w:sz w:val="18"/>
                    </w:rPr>
                    <w:t>9.须兼容龙芯、飞腾、海光、兆芯、申威、华为鲲鹏架构下银河麒麟等国产操作系统（提供证明材料）</w:t>
                  </w:r>
                  <w:r>
                    <w:br/>
                  </w:r>
                  <w:r>
                    <w:rPr>
                      <w:rFonts w:ascii="宋体" w:hAnsi="宋体" w:cs="宋体" w:eastAsia="宋体"/>
                      <w:sz w:val="18"/>
                    </w:rPr>
                    <w:t>10.</w:t>
                  </w:r>
                  <w:r>
                    <w:rPr>
                      <w:rFonts w:ascii="宋体" w:hAnsi="宋体" w:cs="宋体" w:eastAsia="宋体"/>
                      <w:sz w:val="18"/>
                      <w:color w:val="000000"/>
                    </w:rPr>
                    <w:t>兼容达梦（</w:t>
                  </w:r>
                  <w:r>
                    <w:rPr>
                      <w:rFonts w:ascii="宋体" w:hAnsi="宋体" w:cs="宋体" w:eastAsia="宋体"/>
                      <w:sz w:val="18"/>
                      <w:color w:val="000000"/>
                    </w:rPr>
                    <w:t>DM）、人大金仓（Kingbase）、GoldenDB等数据库（提供证明材料）</w:t>
                  </w:r>
                  <w:r>
                    <w:br/>
                  </w:r>
                  <w:r>
                    <w:rPr>
                      <w:rFonts w:ascii="宋体" w:hAnsi="宋体" w:cs="宋体" w:eastAsia="宋体"/>
                      <w:sz w:val="18"/>
                    </w:rPr>
                    <w:t>11.支持对Oracle、SQL Server、MySQL、DB2、PostgreSQL、达梦、人大金仓、神舟通用等主流数据库的保护数据进行定时容灾演练，符合等级保护的要求以检验已保护数据的可用性</w:t>
                  </w:r>
                  <w:r>
                    <w:br/>
                  </w:r>
                  <w:r>
                    <w:rPr>
                      <w:rFonts w:ascii="宋体" w:hAnsi="宋体" w:cs="宋体" w:eastAsia="宋体"/>
                      <w:sz w:val="18"/>
                    </w:rPr>
                    <w:t>12.支持Oracle、MySQL数据库的实时保护方式，实现RPO达到秒级的安全保护要求，可实现任意时间点的恢复（提供证明材料）</w:t>
                  </w:r>
                  <w:r>
                    <w:br/>
                  </w:r>
                  <w:r>
                    <w:rPr>
                      <w:rFonts w:ascii="宋体" w:hAnsi="宋体" w:cs="宋体" w:eastAsia="宋体"/>
                      <w:sz w:val="18"/>
                    </w:rPr>
                    <w:t>13.针对Oracle数据库归档日志数据，提供条件触发的日志备份机制，解决人为无法准确定义日志备份周期问题。（提供证明材料）</w:t>
                  </w:r>
                  <w:r>
                    <w:br/>
                  </w:r>
                  <w:r>
                    <w:rPr>
                      <w:rFonts w:ascii="宋体" w:hAnsi="宋体" w:cs="宋体" w:eastAsia="宋体"/>
                      <w:sz w:val="18"/>
                    </w:rPr>
                    <w:t>14.支持多通道技术，包括备份时设置并行遍历文件线程数，可根据代理主机 CPU 逻辑核心数量设置线程数；以及数据读取多通道，通道数设置范围支持1～255，可根据资源情况在线调整备份数量。</w:t>
                  </w:r>
                  <w:r>
                    <w:br/>
                  </w:r>
                  <w:r>
                    <w:rPr>
                      <w:rFonts w:ascii="宋体" w:hAnsi="宋体" w:cs="宋体" w:eastAsia="宋体"/>
                      <w:sz w:val="18"/>
                    </w:rPr>
                    <w:t>15.支持文件永久增量备份，永久增量数据通过挂载方式实现即时恢复</w:t>
                  </w:r>
                  <w:r>
                    <w:br/>
                  </w:r>
                  <w:r>
                    <w:rPr>
                      <w:rFonts w:ascii="宋体" w:hAnsi="宋体" w:cs="宋体" w:eastAsia="宋体"/>
                      <w:sz w:val="18"/>
                    </w:rPr>
                    <w:t>16.保护方式支持数据全量保障和数据增量保障</w:t>
                  </w:r>
                  <w:r>
                    <w:br/>
                  </w:r>
                  <w:r>
                    <w:rPr>
                      <w:rFonts w:ascii="宋体" w:hAnsi="宋体" w:cs="宋体" w:eastAsia="宋体"/>
                      <w:sz w:val="18"/>
                    </w:rPr>
                    <w:t>17.要求备份数据按需进行存储管理，可划分重删池、普通池、实时备份池、永久增量池。</w:t>
                  </w:r>
                  <w:r>
                    <w:br/>
                  </w:r>
                  <w:r>
                    <w:rPr>
                      <w:rFonts w:ascii="宋体" w:hAnsi="宋体" w:cs="宋体" w:eastAsia="宋体"/>
                      <w:sz w:val="18"/>
                    </w:rPr>
                    <w:t>18.采用统一界面管理架构，平台可兼容备份、恢复、用户组、存储管理、高可用功能要求。</w:t>
                  </w:r>
                  <w:r>
                    <w:br/>
                  </w:r>
                  <w:r>
                    <w:rPr>
                      <w:rFonts w:ascii="宋体" w:hAnsi="宋体" w:cs="宋体" w:eastAsia="宋体"/>
                      <w:sz w:val="18"/>
                    </w:rPr>
                    <w:t>19.支持用户应用系统密码定期自动变更和无密码场景下备份作业的按期执行。（提供证明材料）</w:t>
                  </w:r>
                  <w:r>
                    <w:br/>
                  </w:r>
                  <w:r>
                    <w:rPr>
                      <w:rFonts w:ascii="宋体" w:hAnsi="宋体" w:cs="宋体" w:eastAsia="宋体"/>
                      <w:sz w:val="18"/>
                    </w:rPr>
                    <w:t>20.要求产品非OEM、转售以及订阅，提供产品的著作权登记证书（提供证明材料）</w:t>
                  </w:r>
                  <w:r>
                    <w:br/>
                  </w:r>
                  <w:r>
                    <w:rPr>
                      <w:rFonts w:ascii="宋体" w:hAnsi="宋体" w:cs="宋体" w:eastAsia="宋体"/>
                      <w:sz w:val="18"/>
                    </w:rPr>
                    <w:t>21.投标产品必须具有提供网络安全专用产品安全检测证书（提供证明材料）</w:t>
                  </w:r>
                </w:p>
                <w:p>
                  <w:pPr>
                    <w:pStyle w:val="null3"/>
                    <w:jc w:val="both"/>
                  </w:pPr>
                  <w:r>
                    <w:rPr>
                      <w:rFonts w:ascii="宋体" w:hAnsi="宋体" w:cs="宋体" w:eastAsia="宋体"/>
                      <w:sz w:val="18"/>
                    </w:rPr>
                    <w:t>22.提供与机房现有同规格超六类配线架，端口≥24，数量≥150套。空配线架除可安装RJ45模块，也要可安装光纤配线盒，POE,语音模块等。必须采用模块化组合，采用按压式6模块配线架拉盘，配线架模块采用免打线方式，滑入式按压结构可快速简单的完成线缆端接；一个模块可≥20次端接并保证连接性能，IDC隐藏环形设计，避免打线工具误操作。提供ABS后端卡线式理线器，满足成组和单线理线方式。</w:t>
                  </w:r>
                  <w:r>
                    <w:br/>
                  </w:r>
                  <w:r>
                    <w:rPr>
                      <w:rFonts w:ascii="宋体" w:hAnsi="宋体" w:cs="宋体" w:eastAsia="宋体"/>
                      <w:sz w:val="18"/>
                    </w:rPr>
                    <w:t>23.为保证项目的顺利实施，要求提供3年硬件、3年软件升级服务、首次安装服务、1名以上容灾管理工程师驻场服务1年，协助校方完成业务梳理备份及容灾备份演练，并对操作人员进行相关培训。</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网络流量分流应用层缓存系统</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信息安全应用创新平台项目（第一包：信息安全网络仿真创新应用平台）</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1.支持GE/10GE(SFP+)≥48个,可扩展;</w:t>
                  </w:r>
                </w:p>
                <w:p>
                  <w:pPr>
                    <w:pStyle w:val="null3"/>
                    <w:jc w:val="both"/>
                  </w:pPr>
                  <w:r>
                    <w:rPr>
                      <w:rFonts w:ascii="宋体" w:hAnsi="宋体" w:cs="宋体" w:eastAsia="宋体"/>
                      <w:sz w:val="18"/>
                    </w:rPr>
                    <w:t>2.整机吞吐量≥960Gbps；流量复制性能≥480Gbps;</w:t>
                  </w:r>
                </w:p>
                <w:p>
                  <w:pPr>
                    <w:pStyle w:val="null3"/>
                    <w:jc w:val="both"/>
                  </w:pPr>
                  <w:r>
                    <w:rPr>
                      <w:rFonts w:ascii="宋体" w:hAnsi="宋体" w:cs="宋体" w:eastAsia="宋体"/>
                      <w:sz w:val="18"/>
                    </w:rPr>
                    <w:t>3.支持物理端口的收发包数量、速率和字节数分段统计;</w:t>
                  </w:r>
                </w:p>
                <w:p>
                  <w:pPr>
                    <w:pStyle w:val="null3"/>
                    <w:jc w:val="both"/>
                  </w:pPr>
                  <w:r>
                    <w:rPr>
                      <w:rFonts w:ascii="宋体" w:hAnsi="宋体" w:cs="宋体" w:eastAsia="宋体"/>
                      <w:sz w:val="18"/>
                    </w:rPr>
                    <w:t>4.支持基于规则的命中统计;</w:t>
                  </w:r>
                </w:p>
                <w:p>
                  <w:pPr>
                    <w:pStyle w:val="null3"/>
                    <w:jc w:val="both"/>
                  </w:pPr>
                  <w:r>
                    <w:rPr>
                      <w:rFonts w:ascii="宋体" w:hAnsi="宋体" w:cs="宋体" w:eastAsia="宋体"/>
                      <w:sz w:val="18"/>
                    </w:rPr>
                    <w:t>5.支持基于端口输入\输出双向的流量复制；支持基于流量分类规则的复制, 支持同时将报文输出到至少64个输出端口组以支持多个业务后端系统；支持基于指定输出接口转发；支持基于流分类结果转发；支持多端口实现N:1、M:N和1：N的流量汇聚复制;</w:t>
                  </w:r>
                </w:p>
                <w:p>
                  <w:pPr>
                    <w:pStyle w:val="null3"/>
                    <w:jc w:val="both"/>
                  </w:pPr>
                  <w:r>
                    <w:rPr>
                      <w:rFonts w:ascii="宋体" w:hAnsi="宋体" w:cs="宋体" w:eastAsia="宋体"/>
                      <w:sz w:val="18"/>
                    </w:rPr>
                    <w:t>6.支持源MAC、目的MAC、以太网协议、源IP、目的IP、协议类型、源端口、目的端口、TCP Flag、输入接口号,内外层VLAN ID等多元组匹配规则。规则支持IPv4和IPv6；支持固定偏移字符串规则，支持HTTP协议POST和GET字段；规则容量不低于2K条，所有规则携带掩码，可根据场景调整容量（支持mac规则256条、ipv4规则1488条、ipv6规则256条。所有规则带掩码）;</w:t>
                  </w:r>
                </w:p>
                <w:p>
                  <w:pPr>
                    <w:pStyle w:val="null3"/>
                    <w:jc w:val="both"/>
                  </w:pPr>
                  <w:r>
                    <w:rPr>
                      <w:rFonts w:ascii="宋体" w:hAnsi="宋体" w:cs="宋体" w:eastAsia="宋体"/>
                      <w:sz w:val="18"/>
                    </w:rPr>
                    <w:t>7.支持全局同源同宿负载均衡, 支持负载均衡Linkdown接口动态分发;</w:t>
                  </w:r>
                  <w:r>
                    <w:br/>
                  </w:r>
                  <w:r>
                    <w:rPr>
                      <w:rFonts w:ascii="宋体" w:hAnsi="宋体" w:cs="宋体" w:eastAsia="宋体"/>
                      <w:sz w:val="18"/>
                    </w:rPr>
                    <w:t>8.支持接口VLAN标签的添加或删除;</w:t>
                  </w:r>
                </w:p>
                <w:p>
                  <w:pPr>
                    <w:pStyle w:val="null3"/>
                    <w:jc w:val="both"/>
                  </w:pPr>
                  <w:r>
                    <w:rPr>
                      <w:rFonts w:ascii="宋体" w:hAnsi="宋体" w:cs="宋体" w:eastAsia="宋体"/>
                      <w:sz w:val="18"/>
                    </w:rPr>
                    <w:t>9.支持不低于2层VLAN、4层MPLS、IPinIP、GTP-U、GRE、VXLAN、ERSPAN隧道报文的识别和外层头部去封装;</w:t>
                  </w:r>
                </w:p>
                <w:p>
                  <w:pPr>
                    <w:pStyle w:val="null3"/>
                    <w:jc w:val="both"/>
                  </w:pPr>
                  <w:r>
                    <w:rPr>
                      <w:rFonts w:ascii="宋体" w:hAnsi="宋体" w:cs="宋体" w:eastAsia="宋体"/>
                      <w:sz w:val="18"/>
                    </w:rPr>
                    <w:t>10.支持CLI、SNMP、WEB管理，配置界面具有友好性易用性，WEB界面支持HTTPS且可导入导出配置；支持远程升级，系统配置不覆盖;</w:t>
                  </w:r>
                </w:p>
                <w:p>
                  <w:pPr>
                    <w:pStyle w:val="null3"/>
                    <w:jc w:val="both"/>
                  </w:pPr>
                  <w:r>
                    <w:rPr>
                      <w:rFonts w:ascii="宋体" w:hAnsi="宋体" w:cs="宋体" w:eastAsia="宋体"/>
                      <w:sz w:val="18"/>
                    </w:rPr>
                    <w:t>11.支持远程SYSLOG服务，可将系统登入、操作日志、接口异常等信息上报。提供身份认证功能，支持AAA服务和RADIUS服务;</w:t>
                  </w:r>
                </w:p>
                <w:p>
                  <w:pPr>
                    <w:pStyle w:val="null3"/>
                    <w:jc w:val="both"/>
                  </w:pPr>
                  <w:r>
                    <w:rPr>
                      <w:rFonts w:ascii="宋体" w:hAnsi="宋体" w:cs="宋体" w:eastAsia="宋体"/>
                      <w:sz w:val="18"/>
                    </w:rPr>
                    <w:t>12.不低于三年原厂技术售后维保服务。</w:t>
                  </w:r>
                </w:p>
                <w:p>
                  <w:pPr>
                    <w:pStyle w:val="null3"/>
                    <w:jc w:val="both"/>
                  </w:pPr>
                  <w:r>
                    <w:rPr>
                      <w:rFonts w:ascii="宋体" w:hAnsi="宋体" w:cs="宋体" w:eastAsia="宋体"/>
                      <w:sz w:val="18"/>
                    </w:rPr>
                    <w:t>缓存加速模块：为提高校园网访问互联网资源的访问速度，缓存或通过</w:t>
                  </w:r>
                  <w:r>
                    <w:rPr>
                      <w:rFonts w:ascii="宋体" w:hAnsi="宋体" w:cs="宋体" w:eastAsia="宋体"/>
                      <w:sz w:val="18"/>
                    </w:rPr>
                    <w:t>cdn加速访问的网络内容，从而减少数据在网络上的传输时间，进而提高整体的网络体验，通过本地缓存热门内容，减少了对外网络资源的重复请求，从而降低校园网的带宽消耗。</w:t>
                  </w:r>
                </w:p>
                <w:p>
                  <w:pPr>
                    <w:pStyle w:val="null3"/>
                    <w:jc w:val="both"/>
                  </w:pPr>
                  <w:r>
                    <w:rPr>
                      <w:rFonts w:ascii="宋体" w:hAnsi="宋体" w:cs="宋体" w:eastAsia="宋体"/>
                      <w:sz w:val="18"/>
                    </w:rPr>
                    <w:t>1.不限制用户数，缓存输出≥2.5Gbps，要求缓存系统存储容量≥20T SSD硬盘，内存≥32G；网络接口：千兆网络接口≥2个，万兆多模光纤网络接口≥2个；部署模式必须支持与出口设备联动，进行联合缓存；</w:t>
                  </w:r>
                </w:p>
                <w:p>
                  <w:pPr>
                    <w:pStyle w:val="null3"/>
                    <w:jc w:val="both"/>
                  </w:pPr>
                  <w:r>
                    <w:rPr>
                      <w:rFonts w:ascii="宋体" w:hAnsi="宋体" w:cs="宋体" w:eastAsia="宋体"/>
                      <w:sz w:val="18"/>
                    </w:rPr>
                    <w:t>2.缓存资源包括但不仅限于web视频（包含PC端浏览器、客户端）、移动视频（以及手机、平板、盒子等移动端浏览器端和客户端）、应用商店（手机应用商店以及手机系统更新）、软件下载（PC端软件下载以及苹果IOS更新）、补丁、WEB音乐（PC端浏览器以及客户端）、电视直播、测速平台、可根据文件类型（即文件后缀名）和域名来自定义资源，用以自定义以及补充现有资源库的不足；</w:t>
                  </w:r>
                </w:p>
                <w:p>
                  <w:pPr>
                    <w:pStyle w:val="null3"/>
                    <w:jc w:val="both"/>
                  </w:pPr>
                  <w:r>
                    <w:rPr>
                      <w:rFonts w:ascii="宋体" w:hAnsi="宋体" w:cs="宋体" w:eastAsia="宋体"/>
                      <w:sz w:val="18"/>
                    </w:rPr>
                    <w:t>3.支持监控不低于最近一月内每种资源或资源组每天的回源流量与输出流量以及节省流量等；支持监控最近一月内每种资源或资源组每天的请求数、命中数、服务数、命中率、服务率等；支持统计最近一月内每种资源组中各种资源的下载量饼图百分比，输出量饼图百分比等；支持监控系统当前正在回源（下载）的资源的具体信息：目标域名和目标IP和端口、所属资源、缓存进度、资源大小、具体URL、实时速率、当前访问该URL的次数等；支持监控系统资源库的识别率以及未知资源的详细信息：未知资源的具体文件类型和URL以及访问次数、最近一次访问时刻等；支持热门资源分析：可统计出当前所存文件中命中高的排名前100个文件的详细信息；支持回源分析功能：可统计和分析回源失败的目的IP列表、失败原因：连接超时、连接失败、源站拒绝、网络丢包等；</w:t>
                  </w:r>
                </w:p>
                <w:p>
                  <w:pPr>
                    <w:pStyle w:val="null3"/>
                    <w:jc w:val="both"/>
                  </w:pPr>
                  <w:r>
                    <w:rPr>
                      <w:rFonts w:ascii="宋体" w:hAnsi="宋体" w:cs="宋体" w:eastAsia="宋体"/>
                      <w:sz w:val="18"/>
                    </w:rPr>
                    <w:t>4.不低于三年原厂技术售后维保服务。</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异常行为实时监测平台</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信息安全应用创新平台项目（第一包：信息安全网络仿真创新应用平台）</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威胁态势：</w:t>
                  </w:r>
                  <w:r>
                    <w:br/>
                  </w:r>
                  <w:r>
                    <w:rPr>
                      <w:rFonts w:ascii="宋体" w:hAnsi="宋体" w:cs="宋体" w:eastAsia="宋体"/>
                      <w:sz w:val="18"/>
                    </w:rPr>
                    <w:t xml:space="preserve">1.态势感知界面支持轮播投屏展示，并支持不少于7种威胁态势展示的名称自定义。威胁态势界面包括但不限于：综合安全态势、安全金字塔、资产态势、威胁事件态势、攻击者态势、外连风险态势、横向威胁态势。 </w:t>
                  </w:r>
                  <w:r>
                    <w:br/>
                  </w:r>
                  <w:r>
                    <w:rPr>
                      <w:rFonts w:ascii="宋体" w:hAnsi="宋体" w:cs="宋体" w:eastAsia="宋体"/>
                      <w:sz w:val="18"/>
                    </w:rPr>
                    <w:t>威胁专项分析：</w:t>
                  </w:r>
                  <w:r>
                    <w:br/>
                  </w:r>
                  <w:r>
                    <w:rPr>
                      <w:rFonts w:ascii="宋体" w:hAnsi="宋体" w:cs="宋体" w:eastAsia="宋体"/>
                      <w:sz w:val="18"/>
                    </w:rPr>
                    <w:t>1.支持Web攻击专项分析，监控全部HTTP协议的威胁；以及支持邮件威胁专项分析，监控内网欺诈邮件，包含恶意附件的邮件和基于邮件的定向攻击。展示威胁邮件内容及收发人相关信息；支持钓鱼邮件检测，邮件定向攻击检测，邮件恶意链接检测，及恶意附件传播关联分析。</w:t>
                  </w:r>
                  <w:r>
                    <w:br/>
                  </w:r>
                  <w:r>
                    <w:rPr>
                      <w:rFonts w:ascii="宋体" w:hAnsi="宋体" w:cs="宋体" w:eastAsia="宋体"/>
                      <w:sz w:val="18"/>
                    </w:rPr>
                    <w:t>流量检测：</w:t>
                  </w:r>
                  <w:r>
                    <w:br/>
                  </w:r>
                  <w:r>
                    <w:rPr>
                      <w:rFonts w:ascii="宋体" w:hAnsi="宋体" w:cs="宋体" w:eastAsia="宋体"/>
                      <w:sz w:val="18"/>
                    </w:rPr>
                    <w:t>1)威胁情报检测：内置威胁情报检测，APT情报检测能力，内置IOC数据库覆盖主流的APT家族，覆盖不低于220个家族。（需提供功能截图证明）</w:t>
                  </w:r>
                  <w:r>
                    <w:br/>
                  </w:r>
                  <w:r>
                    <w:rPr>
                      <w:rFonts w:ascii="宋体" w:hAnsi="宋体" w:cs="宋体" w:eastAsia="宋体"/>
                      <w:sz w:val="18"/>
                    </w:rPr>
                    <w:t>2)DNS、ICMP、HTTP隐蔽隧道通信检测：（需提供功能截图和录屏证明）</w:t>
                  </w:r>
                  <w:r>
                    <w:br/>
                  </w:r>
                  <w:r>
                    <w:rPr>
                      <w:rFonts w:ascii="宋体" w:hAnsi="宋体" w:cs="宋体" w:eastAsia="宋体"/>
                      <w:sz w:val="18"/>
                    </w:rPr>
                    <w:t>3)支持暗网（Tor）通信检测（需提供功能截图和录屏证明）</w:t>
                  </w:r>
                  <w:r>
                    <w:br/>
                  </w:r>
                  <w:r>
                    <w:rPr>
                      <w:rFonts w:ascii="宋体" w:hAnsi="宋体" w:cs="宋体" w:eastAsia="宋体"/>
                      <w:sz w:val="18"/>
                    </w:rPr>
                    <w:t>4)支持Shadowsocks翻墙代理和VPN代理检测（需提供功能截图和录屏证明）</w:t>
                  </w:r>
                  <w:r>
                    <w:br/>
                  </w:r>
                  <w:r>
                    <w:rPr>
                      <w:rFonts w:ascii="宋体" w:hAnsi="宋体" w:cs="宋体" w:eastAsia="宋体"/>
                      <w:sz w:val="18"/>
                    </w:rPr>
                    <w:t>5)智能模型检测：支持基于智能模型（人工智能模型）检测DGA域名、恶意代码加密外联通信流量、暗网Tor流量、DNS隐秘隧道通信、ICMP隐秘隧道通信、HTTP隐秘隧道通信、Shadowsocks代理流量、VPN加密流量、Webshell、SQL注入、XSS注入、目录遍历攻击。（需提供截图证明）</w:t>
                  </w:r>
                  <w:r>
                    <w:br/>
                  </w:r>
                  <w:r>
                    <w:rPr>
                      <w:rFonts w:ascii="宋体" w:hAnsi="宋体" w:cs="宋体" w:eastAsia="宋体"/>
                      <w:sz w:val="18"/>
                    </w:rPr>
                    <w:t>4.文件检测</w:t>
                  </w:r>
                  <w:r>
                    <w:br/>
                  </w:r>
                  <w:r>
                    <w:rPr>
                      <w:rFonts w:ascii="宋体" w:hAnsi="宋体" w:cs="宋体" w:eastAsia="宋体"/>
                      <w:sz w:val="18"/>
                    </w:rPr>
                    <w:t xml:space="preserve">1)文件还原：支持还原HTTP、SMTP、IMAP、POP3、FTP、SMB、NFS、IEC61850-MMS、IEC60870-5-104等协议中的文件，并可配置还原协议策略。还原文件类型应包括DOC、DOCX、PPT、PPTX、XLS、XLSX、WPS、RTF、PDF、EXE、ZIP等不少于30种，并可配置还原文件类型策略。 </w:t>
                  </w:r>
                  <w:r>
                    <w:br/>
                  </w:r>
                  <w:r>
                    <w:rPr>
                      <w:rFonts w:ascii="宋体" w:hAnsi="宋体" w:cs="宋体" w:eastAsia="宋体"/>
                      <w:sz w:val="18"/>
                    </w:rPr>
                    <w:t>2)支持沙箱行为动态检测，根据主机或网络行为判断其是否为恶意文件，支持发现文件进程行为并显示沙箱内样本运行截图。支持多种沙箱运行模式，至少包括在线模式、沙箱模式、静态检测模式；支持Windows、Android和Linux类型沙箱，3种沙箱支持并行检测；支持的沙箱实例数量不少于10个；支持限制从流量中还原的可以进入沙箱的文件大小，可配置沙箱动态分析时间及截图功能等。（需提供功能截图和录屏证明）</w:t>
                  </w:r>
                  <w:r>
                    <w:br/>
                  </w:r>
                  <w:r>
                    <w:rPr>
                      <w:rFonts w:ascii="宋体" w:hAnsi="宋体" w:cs="宋体" w:eastAsia="宋体"/>
                      <w:sz w:val="18"/>
                    </w:rPr>
                    <w:t xml:space="preserve">5.元数据解析 </w:t>
                  </w:r>
                  <w:r>
                    <w:br/>
                  </w:r>
                  <w:r>
                    <w:rPr>
                      <w:rFonts w:ascii="宋体" w:hAnsi="宋体" w:cs="宋体" w:eastAsia="宋体"/>
                      <w:sz w:val="18"/>
                    </w:rPr>
                    <w:t>1）全流量协议元数据解析：支持网络流量协议元数据提取、解析、展示，支持的协议应包括TCP、ICMP、DH·ACLE、MSSQL、IEC60870-5-104、IEC61850-MMS、IEC61850-GOOSE、IEC61850-SV、UDP、LDAP、NNTP、TELNET、RLOGIN、TACACS、CVS等。（需提供功能截图和录屏证明）</w:t>
                  </w:r>
                  <w:r>
                    <w:br/>
                  </w:r>
                  <w:r>
                    <w:rPr>
                      <w:rFonts w:ascii="宋体" w:hAnsi="宋体" w:cs="宋体" w:eastAsia="宋体"/>
                      <w:sz w:val="18"/>
                    </w:rPr>
                    <w:t>6.系统管理</w:t>
                  </w:r>
                  <w:r>
                    <w:br/>
                  </w:r>
                  <w:r>
                    <w:rPr>
                      <w:rFonts w:ascii="宋体" w:hAnsi="宋体" w:cs="宋体" w:eastAsia="宋体"/>
                      <w:sz w:val="18"/>
                    </w:rPr>
                    <w:t>具有系统加固、资产识别、黑白名单等功能。</w:t>
                  </w:r>
                  <w:r>
                    <w:br/>
                  </w:r>
                  <w:r>
                    <w:rPr>
                      <w:rFonts w:ascii="宋体" w:hAnsi="宋体" w:cs="宋体" w:eastAsia="宋体"/>
                      <w:sz w:val="18"/>
                    </w:rPr>
                    <w:t>7.硬件要求</w:t>
                  </w:r>
                  <w:r>
                    <w:br/>
                  </w:r>
                  <w:r>
                    <w:rPr>
                      <w:rFonts w:ascii="宋体" w:hAnsi="宋体" w:cs="宋体" w:eastAsia="宋体"/>
                      <w:sz w:val="18"/>
                    </w:rPr>
                    <w:t>CPU≥2*18核，内存≥256GB，系统盘：≥480GB SSD，数据盘：≥3*4TB ，≥2个千兆电口，≥2万兆光口，可检测流量≥10Gbps，≥4个空闲PCIE可扩展槽位，双电源。</w:t>
                  </w:r>
                </w:p>
                <w:p>
                  <w:pPr>
                    <w:pStyle w:val="null3"/>
                    <w:jc w:val="both"/>
                  </w:pPr>
                  <w:r>
                    <w:rPr>
                      <w:rFonts w:ascii="宋体" w:hAnsi="宋体" w:cs="宋体" w:eastAsia="宋体"/>
                      <w:sz w:val="18"/>
                    </w:rPr>
                    <w:t>8.不低于三年原厂技术售后维保服务。</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bl>
          <w:p/>
        </w:tc>
      </w:tr>
      <w:tr>
        <w:tc>
          <w:tcPr>
            <w:tcW w:type="dxa" w:w="2769"/>
          </w:tcPr>
          <w:p/>
        </w:tc>
        <w:tc>
          <w:tcPr>
            <w:tcW w:type="dxa" w:w="2769"/>
          </w:tcPr>
          <w:p>
            <w:pPr>
              <w:pStyle w:val="null3"/>
            </w:pPr>
            <w:r>
              <w:rPr/>
              <w:t>2</w:t>
            </w:r>
          </w:p>
        </w:tc>
        <w:tc>
          <w:tcPr>
            <w:tcW w:type="dxa" w:w="2769"/>
          </w:tcPr>
          <w:p>
            <w:pPr>
              <w:pStyle w:val="null3"/>
              <w:jc w:val="both"/>
            </w:pPr>
            <w:r>
              <w:rPr>
                <w:rFonts w:ascii="simsun" w:hAnsi="simsun" w:cs="simsun" w:eastAsia="simsun"/>
                <w:sz w:val="18"/>
              </w:rPr>
              <w:t>核心产品：异常行为实时监测平台</w:t>
            </w:r>
          </w:p>
        </w:tc>
      </w:tr>
      <w:tr>
        <w:tc>
          <w:tcPr>
            <w:tcW w:type="dxa" w:w="2769"/>
          </w:tcPr>
          <w:p/>
        </w:tc>
        <w:tc>
          <w:tcPr>
            <w:tcW w:type="dxa" w:w="2769"/>
          </w:tcPr>
          <w:p>
            <w:pPr>
              <w:pStyle w:val="null3"/>
            </w:pPr>
            <w:r>
              <w:rPr/>
              <w:t>3</w:t>
            </w:r>
          </w:p>
        </w:tc>
        <w:tc>
          <w:tcPr>
            <w:tcW w:type="dxa" w:w="2769"/>
          </w:tcPr>
          <w:p>
            <w:pPr>
              <w:pStyle w:val="null3"/>
            </w:pPr>
            <w:r>
              <w:rPr>
                <w:rFonts w:ascii="simsun" w:hAnsi="simsun" w:cs="simsun" w:eastAsia="simsun"/>
                <w:sz w:val="18"/>
              </w:rPr>
              <w:t>交货时间：1.交货期：合同签订之日起60个日历日内；2.安装调试期：到货之日起45个日历日内。</w:t>
            </w:r>
          </w:p>
        </w:tc>
      </w:tr>
      <w:tr>
        <w:tc>
          <w:tcPr>
            <w:tcW w:type="dxa" w:w="2769"/>
          </w:tcPr>
          <w:p>
            <w:pPr>
              <w:pStyle w:val="null3"/>
            </w:pPr>
            <w:r>
              <w:rPr/>
              <w:t>★</w:t>
            </w:r>
          </w:p>
        </w:tc>
        <w:tc>
          <w:tcPr>
            <w:tcW w:type="dxa" w:w="2769"/>
          </w:tcPr>
          <w:p>
            <w:pPr>
              <w:pStyle w:val="null3"/>
            </w:pPr>
            <w:r>
              <w:rPr/>
              <w:t>4</w:t>
            </w:r>
          </w:p>
        </w:tc>
        <w:tc>
          <w:tcPr>
            <w:tcW w:type="dxa" w:w="2769"/>
          </w:tcPr>
          <w:p>
            <w:pPr>
              <w:pStyle w:val="null3"/>
              <w:jc w:val="both"/>
            </w:pPr>
            <w:r>
              <w:rPr>
                <w:rFonts w:ascii="宋体" w:hAnsi="宋体" w:cs="宋体" w:eastAsia="宋体"/>
                <w:sz w:val="21"/>
              </w:rPr>
              <w:t>合同款支付全部通过银行转账至双方约定开设的项目专用账户，乙方应及时与甲方沟通专用账户开通事宜并在中标</w:t>
            </w:r>
            <w:r>
              <w:rPr>
                <w:rFonts w:ascii="&quot;times new roman&quot;" w:hAnsi="&quot;times new roman&quot;" w:cs="&quot;times new roman&quot;" w:eastAsia="&quot;times new roman&quot;"/>
                <w:sz w:val="21"/>
              </w:rPr>
              <w:t>/</w:t>
            </w:r>
            <w:r>
              <w:rPr>
                <w:rFonts w:ascii="宋体" w:hAnsi="宋体" w:cs="宋体" w:eastAsia="宋体"/>
                <w:sz w:val="21"/>
              </w:rPr>
              <w:t>成交通知书发出之日起</w:t>
            </w:r>
            <w:r>
              <w:rPr>
                <w:rFonts w:ascii="&quot;times new roman&quot;" w:hAnsi="&quot;times new roman&quot;" w:cs="&quot;times new roman&quot;" w:eastAsia="&quot;times new roman&quot;"/>
                <w:sz w:val="21"/>
                <w:u w:val="single"/>
              </w:rPr>
              <w:t xml:space="preserve"> 2 </w:t>
            </w:r>
            <w:r>
              <w:rPr>
                <w:rFonts w:ascii="宋体" w:hAnsi="宋体" w:cs="宋体" w:eastAsia="宋体"/>
                <w:sz w:val="21"/>
              </w:rPr>
              <w:t>个工作日内开通专用账户</w:t>
            </w:r>
            <w:r>
              <w:rPr>
                <w:rFonts w:ascii="&quot;times new roman&quot;" w:hAnsi="&quot;times new roman&quot;" w:cs="&quot;times new roman&quot;" w:eastAsia="&quot;times new roman&quot;"/>
                <w:sz w:val="21"/>
              </w:rPr>
              <w:t>,</w:t>
            </w:r>
            <w:r>
              <w:rPr>
                <w:rFonts w:ascii="宋体" w:hAnsi="宋体" w:cs="宋体" w:eastAsia="宋体"/>
                <w:sz w:val="21"/>
              </w:rPr>
              <w:t>确保项目资金专款专用。乙方确认其所提供的账户符合甲方要求且正确无误，因乙方账户错误或者其他任何原因导致乙方无法收取款项的，责任由乙方自行承担。甲方支付款项到达乙方提供账户之日即视为甲方已按照本协议约定妥善履行付款义务。</w:t>
            </w:r>
          </w:p>
        </w:tc>
      </w:tr>
      <w:tr>
        <w:tc>
          <w:tcPr>
            <w:tcW w:type="dxa" w:w="2769"/>
          </w:tcPr>
          <w:p/>
        </w:tc>
        <w:tc>
          <w:tcPr>
            <w:tcW w:type="dxa" w:w="2769"/>
          </w:tcPr>
          <w:p>
            <w:pPr>
              <w:pStyle w:val="null3"/>
            </w:pPr>
            <w:r>
              <w:rPr/>
              <w:t>5</w:t>
            </w:r>
          </w:p>
        </w:tc>
        <w:tc>
          <w:tcPr>
            <w:tcW w:type="dxa" w:w="2769"/>
          </w:tcPr>
          <w:p>
            <w:pPr>
              <w:pStyle w:val="null3"/>
            </w:pPr>
            <w:r>
              <w:rPr/>
              <w:t>质保期：三年</w:t>
            </w: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标的名称：信息安全应用创新平台项目（第二包：信息安全攻防演练创新应用平台）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Ind w:type="dxa" w:w="405"/>
              <w:tblBorders>
                <w:top w:val="none" w:color="000000" w:sz="4"/>
                <w:left w:val="none" w:color="000000" w:sz="4"/>
                <w:bottom w:val="none" w:color="000000" w:sz="4"/>
                <w:right w:val="none" w:color="000000" w:sz="4"/>
                <w:insideH w:val="none"/>
                <w:insideV w:val="none"/>
              </w:tblBorders>
            </w:tblPr>
            <w:tblGrid>
              <w:gridCol w:w="293"/>
              <w:gridCol w:w="188"/>
              <w:gridCol w:w="367"/>
              <w:gridCol w:w="1446"/>
              <w:gridCol w:w="252"/>
            </w:tblGrid>
            <w:tr>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产品类型</w:t>
                  </w:r>
                </w:p>
              </w:tc>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单位</w:t>
                  </w:r>
                </w:p>
              </w:tc>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分包</w:t>
                  </w:r>
                </w:p>
              </w:tc>
              <w:tc>
                <w:tcPr>
                  <w:tcW w:type="dxa" w:w="1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参数</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数量</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网络管理分析平台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套</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信息安全应用创新平台项目（第二包：信息安全攻防演练创新应用平台）</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网络管理分析平台硬件</w:t>
                  </w:r>
                  <w:r>
                    <w:rPr>
                      <w:rFonts w:ascii="宋体" w:hAnsi="宋体" w:cs="宋体" w:eastAsia="宋体"/>
                      <w:sz w:val="18"/>
                    </w:rPr>
                    <w:t>3台：</w:t>
                  </w:r>
                  <w:r>
                    <w:br/>
                  </w:r>
                  <w:r>
                    <w:rPr>
                      <w:rFonts w:ascii="宋体" w:hAnsi="宋体" w:cs="宋体" w:eastAsia="宋体"/>
                      <w:sz w:val="18"/>
                    </w:rPr>
                    <w:t>1.支持纳管交换机、无线控制器和AP等网络设备；</w:t>
                  </w:r>
                  <w:r>
                    <w:br/>
                  </w:r>
                  <w:r>
                    <w:rPr>
                      <w:rFonts w:ascii="宋体" w:hAnsi="宋体" w:cs="宋体" w:eastAsia="宋体"/>
                      <w:sz w:val="18"/>
                    </w:rPr>
                    <w:t>2.支持Syslog采集设备异常日志，及时感知设备异常信息；</w:t>
                  </w:r>
                  <w:r>
                    <w:br/>
                  </w:r>
                  <w:r>
                    <w:rPr>
                      <w:rFonts w:ascii="宋体" w:hAnsi="宋体" w:cs="宋体" w:eastAsia="宋体"/>
                      <w:sz w:val="18"/>
                    </w:rPr>
                    <w:t>3.支持基于应用/流配置实现对网络中丢包和时延进行实时监控；</w:t>
                  </w:r>
                  <w:r>
                    <w:br/>
                  </w:r>
                  <w:r>
                    <w:rPr>
                      <w:rFonts w:ascii="宋体" w:hAnsi="宋体" w:cs="宋体" w:eastAsia="宋体"/>
                      <w:sz w:val="18"/>
                    </w:rPr>
                    <w:t>4.支持NetStream采样获取流量信息进行统计，并将统计信息封装成NetStream报文发送给系统做进一步的分析和可视化展示。</w:t>
                  </w:r>
                  <w:r>
                    <w:br/>
                  </w:r>
                  <w:r>
                    <w:rPr>
                      <w:rFonts w:ascii="宋体" w:hAnsi="宋体" w:cs="宋体" w:eastAsia="宋体"/>
                      <w:sz w:val="18"/>
                    </w:rPr>
                    <w:t>5.支持提供无线网络健康度评估体系，通过对接入成功率、接入耗时、漫游达标率、信号与干扰、容量健康度、吞吐达标率这六大维度指标进行无线网络健康度评估和达标率排名，并给出影响排名的劣化指标；</w:t>
                  </w:r>
                  <w:r>
                    <w:br/>
                  </w:r>
                  <w:r>
                    <w:rPr>
                      <w:rFonts w:ascii="宋体" w:hAnsi="宋体" w:cs="宋体" w:eastAsia="宋体"/>
                      <w:sz w:val="18"/>
                    </w:rPr>
                    <w:t>6.支持提供有线网络健康度评估体系，通过对设备环境、设备容量、网络性能、网络状态、网络协议这五大维度指标进行有线网络健康度评估，主动识别出影响网络质量的主要问题；</w:t>
                  </w:r>
                  <w:r>
                    <w:br/>
                  </w:r>
                  <w:r>
                    <w:rPr>
                      <w:rFonts w:ascii="宋体" w:hAnsi="宋体" w:cs="宋体" w:eastAsia="宋体"/>
                      <w:sz w:val="18"/>
                    </w:rPr>
                    <w:t>7.支持连接、空口性能、漫游三大无线类问题的智能识别，帮忙管理员主动识别出网络中可能存在的问题，并提供问题或事件列表，以及根因分析；</w:t>
                  </w:r>
                  <w:r>
                    <w:br/>
                  </w:r>
                  <w:r>
                    <w:rPr>
                      <w:rFonts w:ascii="宋体" w:hAnsi="宋体" w:cs="宋体" w:eastAsia="宋体"/>
                      <w:sz w:val="18"/>
                    </w:rPr>
                    <w:t>8.支持将用户设置成VIP用户，提供常规视图和VIP视图，重点保障VIP用户的接入体验；</w:t>
                  </w:r>
                  <w:r>
                    <w:br/>
                  </w:r>
                  <w:r>
                    <w:rPr>
                      <w:rFonts w:ascii="宋体" w:hAnsi="宋体" w:cs="宋体" w:eastAsia="宋体"/>
                      <w:sz w:val="18"/>
                    </w:rPr>
                    <w:t>9.支持查看接入用户列表，用户信息主要包括用户MAC、用户名、质差时长、VIP用户、接入类型、最近状态、总体验时长、平均RSSI、平均速率、总流量、时延、丢包率、厂商等；</w:t>
                  </w:r>
                  <w:r>
                    <w:br/>
                  </w:r>
                  <w:r>
                    <w:rPr>
                      <w:rFonts w:ascii="宋体" w:hAnsi="宋体" w:cs="宋体" w:eastAsia="宋体"/>
                      <w:sz w:val="18"/>
                    </w:rPr>
                    <w:t>10.支持支持查看用户接入全旅程（接入、上网体验、漫游、应用），提供用户信息、指标概览、接入趋势统计、体验指标趋势、用户接入回放等；</w:t>
                  </w:r>
                  <w:r>
                    <w:br/>
                  </w:r>
                  <w:r>
                    <w:rPr>
                      <w:rFonts w:ascii="宋体" w:hAnsi="宋体" w:cs="宋体" w:eastAsia="宋体"/>
                      <w:sz w:val="18"/>
                    </w:rPr>
                    <w:t>11.支持基于所有用户接入的关联、认证、DHCP三个阶段，进行协议级别的过程呈现，通过细化各个协议交互阶段结果与耗时，提供用户接入过程问题的精细化分析；</w:t>
                  </w:r>
                  <w:r>
                    <w:br/>
                  </w:r>
                  <w:r>
                    <w:rPr>
                      <w:rFonts w:ascii="宋体" w:hAnsi="宋体" w:cs="宋体" w:eastAsia="宋体"/>
                      <w:sz w:val="18"/>
                    </w:rPr>
                    <w:t>12.支持LAN&amp;WAN应用一体化分析，支持精准识别1K+主流应用，支持基于多种维度的应用流量统计。</w:t>
                  </w:r>
                  <w:r>
                    <w:br/>
                  </w:r>
                  <w:r>
                    <w:rPr>
                      <w:rFonts w:ascii="宋体" w:hAnsi="宋体" w:cs="宋体" w:eastAsia="宋体"/>
                      <w:sz w:val="18"/>
                    </w:rPr>
                    <w:t>13.支持智能无线射频调优功能，能够基于历史大数据+预测，运用AI算法驱动设备基于大数据分析结果差异性地进行射频资源调优；</w:t>
                  </w:r>
                  <w:r>
                    <w:br/>
                  </w:r>
                  <w:r>
                    <w:rPr>
                      <w:rFonts w:ascii="宋体" w:hAnsi="宋体" w:cs="宋体" w:eastAsia="宋体"/>
                      <w:sz w:val="18"/>
                    </w:rPr>
                    <w:t>14.单台硬件配置：CPU ≥2个，CPU频率≥2.6GHz，CPU核心≥32核，内存≥128G，硬盘容量≥7T SSD，GE电口≥8个，10GE/25GE光口≥6个,模块化电源≥2个；</w:t>
                  </w:r>
                </w:p>
                <w:p>
                  <w:pPr>
                    <w:pStyle w:val="null3"/>
                    <w:jc w:val="both"/>
                  </w:pPr>
                  <w:r>
                    <w:rPr>
                      <w:rFonts w:ascii="宋体" w:hAnsi="宋体" w:cs="宋体" w:eastAsia="宋体"/>
                      <w:sz w:val="18"/>
                    </w:rPr>
                    <w:t>15.与机房现有同规格超六类非屏蔽跳线，长度≥5米，线径≥24AWG，传输带宽：≥500MHz，符合TIA/EIA-568C.2、ISO11801 2nd、EN50173标准，数量≥1500条。</w:t>
                  </w:r>
                </w:p>
                <w:p>
                  <w:pPr>
                    <w:pStyle w:val="null3"/>
                    <w:jc w:val="both"/>
                  </w:pPr>
                  <w:r>
                    <w:rPr>
                      <w:rFonts w:ascii="宋体" w:hAnsi="宋体" w:cs="宋体" w:eastAsia="宋体"/>
                      <w:sz w:val="18"/>
                    </w:rPr>
                    <w:t>16.配置所需的有线及无线设备管理授权。</w:t>
                  </w:r>
                </w:p>
                <w:p>
                  <w:pPr>
                    <w:pStyle w:val="null3"/>
                    <w:jc w:val="both"/>
                  </w:pPr>
                  <w:r>
                    <w:rPr>
                      <w:rFonts w:ascii="宋体" w:hAnsi="宋体" w:cs="宋体" w:eastAsia="宋体"/>
                      <w:sz w:val="18"/>
                    </w:rPr>
                    <w:t>17.多端融合驾驶舱管理模块：提供集中的信息发布监控和管理驾驶舱界面。实时监控信息发布状态和效果，提高响应速度。集成关键性能指标(KPI)实时展示，优化决策支持。支持自定义驾驶舱布局和数据展示，提升个性化体验。支持多层级权限管理，具备年度信息发布报告生成功能。</w:t>
                  </w:r>
                </w:p>
                <w:p>
                  <w:pPr>
                    <w:pStyle w:val="null3"/>
                    <w:jc w:val="both"/>
                  </w:pPr>
                  <w:r>
                    <w:rPr>
                      <w:rFonts w:ascii="宋体" w:hAnsi="宋体" w:cs="宋体" w:eastAsia="宋体"/>
                      <w:sz w:val="18"/>
                    </w:rPr>
                    <w:t>18.全校数字素养提升管理模块</w:t>
                  </w:r>
                  <w:r>
                    <w:rPr>
                      <w:rFonts w:ascii="宋体" w:hAnsi="宋体" w:cs="宋体" w:eastAsia="宋体"/>
                      <w:sz w:val="18"/>
                    </w:rPr>
                    <w:t>：行业数字化转型案例查询功能，热点资讯、行业解决方案、应用案例，支持视频、图片、文字等多媒体案例内容，集成反馈系统，收集并分析受众反馈。支持多层级权限管理，配置信息发布审核功能。</w:t>
                  </w:r>
                </w:p>
                <w:p>
                  <w:pPr>
                    <w:pStyle w:val="null3"/>
                    <w:jc w:val="both"/>
                  </w:pPr>
                  <w:r>
                    <w:rPr>
                      <w:rFonts w:ascii="宋体" w:hAnsi="宋体" w:cs="宋体" w:eastAsia="宋体"/>
                      <w:sz w:val="18"/>
                    </w:rPr>
                    <w:t>19.实现网站群平台安全升级与加固；站点安全升级服务；子站站点建设，满足PC+手机端访问；下一代安全威胁防控体系；全文检索升级为智能搜索；运维及保障服务。</w:t>
                  </w:r>
                </w:p>
                <w:p>
                  <w:pPr>
                    <w:pStyle w:val="null3"/>
                    <w:ind w:firstLine="360"/>
                    <w:jc w:val="both"/>
                  </w:pPr>
                  <w:r>
                    <w:rPr>
                      <w:rFonts w:ascii="宋体" w:hAnsi="宋体" w:cs="宋体" w:eastAsia="宋体"/>
                      <w:sz w:val="18"/>
                    </w:rPr>
                    <w:t>汇聚交换模块：</w:t>
                  </w:r>
                  <w:r>
                    <w:rPr>
                      <w:rFonts w:ascii="宋体" w:hAnsi="宋体" w:cs="宋体" w:eastAsia="宋体"/>
                      <w:sz w:val="18"/>
                    </w:rPr>
                    <w:t>3个</w:t>
                  </w:r>
                </w:p>
                <w:p>
                  <w:pPr>
                    <w:pStyle w:val="null3"/>
                    <w:jc w:val="both"/>
                  </w:pPr>
                  <w:r>
                    <w:rPr>
                      <w:rFonts w:ascii="宋体" w:hAnsi="宋体" w:cs="宋体" w:eastAsia="宋体"/>
                      <w:sz w:val="18"/>
                    </w:rPr>
                    <w:t>1.交换容量≥4.8Tbps，包转发率≥2000Mpps；</w:t>
                  </w:r>
                </w:p>
                <w:p>
                  <w:pPr>
                    <w:pStyle w:val="null3"/>
                    <w:jc w:val="both"/>
                  </w:pPr>
                  <w:r>
                    <w:rPr>
                      <w:rFonts w:ascii="宋体" w:hAnsi="宋体" w:cs="宋体" w:eastAsia="宋体"/>
                      <w:sz w:val="18"/>
                    </w:rPr>
                    <w:t>2.10GE光端口数量≥48个，40GE光端口数量≥6个；</w:t>
                  </w:r>
                </w:p>
                <w:p>
                  <w:pPr>
                    <w:pStyle w:val="null3"/>
                    <w:jc w:val="both"/>
                  </w:pPr>
                  <w:r>
                    <w:rPr>
                      <w:rFonts w:ascii="宋体" w:hAnsi="宋体" w:cs="宋体" w:eastAsia="宋体"/>
                      <w:sz w:val="18"/>
                    </w:rPr>
                    <w:t>3.电源1+1备份，风扇模块≥4个，支持前后风道；</w:t>
                  </w:r>
                </w:p>
                <w:p>
                  <w:pPr>
                    <w:pStyle w:val="null3"/>
                    <w:jc w:val="both"/>
                  </w:pPr>
                  <w:r>
                    <w:rPr>
                      <w:rFonts w:ascii="宋体" w:hAnsi="宋体" w:cs="宋体" w:eastAsia="宋体"/>
                      <w:sz w:val="18"/>
                    </w:rPr>
                    <w:t>4.支持VxLAN功能，支持BGP EVPN，支持分布式 Anycast 网关；</w:t>
                  </w:r>
                </w:p>
                <w:p>
                  <w:pPr>
                    <w:pStyle w:val="null3"/>
                    <w:jc w:val="both"/>
                  </w:pPr>
                  <w:r>
                    <w:rPr>
                      <w:rFonts w:ascii="宋体" w:hAnsi="宋体" w:cs="宋体" w:eastAsia="宋体"/>
                      <w:sz w:val="18"/>
                    </w:rPr>
                    <w:t>5.支持M-LAG技术（跨框链路聚合，非堆叠等多虚一技术实现）；</w:t>
                  </w:r>
                </w:p>
                <w:p>
                  <w:pPr>
                    <w:pStyle w:val="null3"/>
                    <w:jc w:val="both"/>
                  </w:pPr>
                  <w:r>
                    <w:rPr>
                      <w:rFonts w:ascii="宋体" w:hAnsi="宋体" w:cs="宋体" w:eastAsia="宋体"/>
                      <w:sz w:val="18"/>
                    </w:rPr>
                    <w:t>6.支持静态路由、RIP V1/2、OSPF、IS-IS、BGP、RIPng、OSPFv3、BGP4+、ISISv6等IPv4及IPv6路由协议；</w:t>
                  </w:r>
                </w:p>
                <w:p>
                  <w:pPr>
                    <w:pStyle w:val="null3"/>
                    <w:jc w:val="both"/>
                  </w:pPr>
                  <w:r>
                    <w:rPr>
                      <w:rFonts w:ascii="宋体" w:hAnsi="宋体" w:cs="宋体" w:eastAsia="宋体"/>
                      <w:sz w:val="18"/>
                    </w:rPr>
                    <w:t>7.支持统一用户管理功能，支持802.1X/MAC等多种认证方式</w:t>
                  </w:r>
                </w:p>
                <w:p>
                  <w:pPr>
                    <w:pStyle w:val="null3"/>
                    <w:jc w:val="both"/>
                  </w:pPr>
                  <w:r>
                    <w:rPr>
                      <w:rFonts w:ascii="宋体" w:hAnsi="宋体" w:cs="宋体" w:eastAsia="宋体"/>
                      <w:sz w:val="18"/>
                    </w:rPr>
                    <w:t>8.支持 Telemetry 技术，实时采集设备数据并上送至网络分析组件平台；</w:t>
                  </w:r>
                </w:p>
                <w:p>
                  <w:pPr>
                    <w:pStyle w:val="null3"/>
                    <w:jc w:val="both"/>
                  </w:pPr>
                  <w:r>
                    <w:rPr>
                      <w:rFonts w:ascii="宋体" w:hAnsi="宋体" w:cs="宋体" w:eastAsia="宋体"/>
                      <w:sz w:val="18"/>
                    </w:rPr>
                    <w:t>9.支持真实业务流实时检测技术，能实时检测网络故障；</w:t>
                  </w:r>
                </w:p>
                <w:p>
                  <w:pPr>
                    <w:pStyle w:val="null3"/>
                    <w:jc w:val="both"/>
                  </w:pPr>
                  <w:r>
                    <w:rPr>
                      <w:rFonts w:ascii="宋体" w:hAnsi="宋体" w:cs="宋体" w:eastAsia="宋体"/>
                      <w:sz w:val="18"/>
                    </w:rPr>
                    <w:t>10.支持NetStream、SNMPv1/v2c/v3、RMON等协议；</w:t>
                  </w:r>
                </w:p>
                <w:p>
                  <w:pPr>
                    <w:pStyle w:val="null3"/>
                    <w:jc w:val="both"/>
                  </w:pPr>
                  <w:r>
                    <w:rPr>
                      <w:rFonts w:ascii="宋体" w:hAnsi="宋体" w:cs="宋体" w:eastAsia="宋体"/>
                      <w:sz w:val="18"/>
                    </w:rPr>
                    <w:t>11.提供万兆单模光模块5个，提供40G单模光模块1个，提供三年原厂维保服务。</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智能化动力环境监控</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套</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信息安全应用创新平台项目（第二包：信息安全攻防演练创新应用平台）</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综合管理机房各动力设备以及环境监测设备及智能化管理，至少包含服务器、交换机、短信猫、移动</w:t>
                  </w:r>
                  <w:r>
                    <w:rPr>
                      <w:rFonts w:ascii="宋体" w:hAnsi="宋体" w:cs="宋体" w:eastAsia="宋体"/>
                      <w:sz w:val="18"/>
                    </w:rPr>
                    <w:t>APP运维、3D视图、视频监控、门禁系统管理等功能。具体要求如下：</w:t>
                  </w:r>
                  <w:r>
                    <w:br/>
                  </w:r>
                  <w:r>
                    <w:rPr>
                      <w:rFonts w:ascii="宋体" w:hAnsi="宋体" w:cs="宋体" w:eastAsia="宋体"/>
                      <w:sz w:val="18"/>
                    </w:rPr>
                    <w:t>动环监控模块：</w:t>
                  </w:r>
                </w:p>
                <w:p>
                  <w:pPr>
                    <w:pStyle w:val="null3"/>
                    <w:jc w:val="both"/>
                  </w:pPr>
                  <w:r>
                    <w:rPr>
                      <w:rFonts w:ascii="宋体" w:hAnsi="宋体" w:cs="宋体" w:eastAsia="宋体"/>
                      <w:sz w:val="18"/>
                    </w:rPr>
                    <w:t>1、动环系统本身需支持主流国产麒麟操作系统，需提供相关适配认证证书。</w:t>
                  </w:r>
                </w:p>
                <w:p>
                  <w:pPr>
                    <w:pStyle w:val="null3"/>
                    <w:jc w:val="both"/>
                  </w:pPr>
                  <w:r>
                    <w:rPr>
                      <w:rFonts w:ascii="宋体" w:hAnsi="宋体" w:cs="宋体" w:eastAsia="宋体"/>
                      <w:sz w:val="18"/>
                    </w:rPr>
                    <w:t>2、动环系统需提供相关软件著作权及第三方软件测试报告，报告需有明确单项功能测试说明。</w:t>
                  </w:r>
                </w:p>
                <w:p>
                  <w:pPr>
                    <w:pStyle w:val="null3"/>
                    <w:jc w:val="both"/>
                  </w:pPr>
                  <w:r>
                    <w:rPr>
                      <w:rFonts w:ascii="宋体" w:hAnsi="宋体" w:cs="宋体" w:eastAsia="宋体"/>
                      <w:sz w:val="18"/>
                    </w:rPr>
                    <w:t>3、系统采用B/S技术架构，无需安装客户端，支持以全景式电子地图、3D、2D组态等多种形式进行机房呈现，支持用户分类查询及多机房切换，设备运行参数以弹窗形式呈现。</w:t>
                  </w:r>
                </w:p>
                <w:p>
                  <w:pPr>
                    <w:pStyle w:val="null3"/>
                    <w:jc w:val="both"/>
                  </w:pPr>
                  <w:r>
                    <w:rPr>
                      <w:rFonts w:ascii="宋体" w:hAnsi="宋体" w:cs="宋体" w:eastAsia="宋体"/>
                      <w:sz w:val="18"/>
                    </w:rPr>
                    <w:t>4、提供组件自定义工具，用户可自行定义首页的组件位置，组件可包括供电、制冷、环境、PUE等统计组件，也包含视频轮巡等组件，满足大屏显示需求。(需提供截图盖章)</w:t>
                  </w:r>
                </w:p>
                <w:p>
                  <w:pPr>
                    <w:pStyle w:val="null3"/>
                    <w:jc w:val="both"/>
                  </w:pPr>
                  <w:r>
                    <w:rPr>
                      <w:rFonts w:ascii="宋体" w:hAnsi="宋体" w:cs="宋体" w:eastAsia="宋体"/>
                      <w:sz w:val="18"/>
                    </w:rPr>
                    <w:t>5、告警管理：系统应默认提供四级告警管理，可按告警分类、等级、时长等进行统计分析，以饼图、柱状图及列表进行可视化呈现。</w:t>
                  </w:r>
                </w:p>
                <w:p>
                  <w:pPr>
                    <w:pStyle w:val="null3"/>
                    <w:jc w:val="both"/>
                  </w:pPr>
                  <w:r>
                    <w:rPr>
                      <w:rFonts w:ascii="宋体" w:hAnsi="宋体" w:cs="宋体" w:eastAsia="宋体"/>
                      <w:sz w:val="18"/>
                    </w:rPr>
                    <w:t>6、支持现场撤布防模式、工程状态模式，支持告警翻转、告警延时、告警分级推送等设置。</w:t>
                  </w:r>
                </w:p>
                <w:p>
                  <w:pPr>
                    <w:pStyle w:val="null3"/>
                    <w:jc w:val="both"/>
                  </w:pPr>
                  <w:r>
                    <w:rPr>
                      <w:rFonts w:ascii="宋体" w:hAnsi="宋体" w:cs="宋体" w:eastAsia="宋体"/>
                      <w:sz w:val="18"/>
                    </w:rPr>
                    <w:t>7、报表管理：系统需具备自定义报表功能及跨设备信号的对比曲线，便于用户进行更灵活进行相关性分析。</w:t>
                  </w:r>
                </w:p>
                <w:p>
                  <w:pPr>
                    <w:pStyle w:val="null3"/>
                    <w:jc w:val="both"/>
                  </w:pPr>
                  <w:r>
                    <w:rPr>
                      <w:rFonts w:ascii="宋体" w:hAnsi="宋体" w:cs="宋体" w:eastAsia="宋体"/>
                      <w:sz w:val="18"/>
                    </w:rPr>
                    <w:t>8、资料管理：系统可以按照机房，将现场的资料信息进行上传，且支持现场设备图片、工程图纸等资料上传保存，便于资料存档，资料可与设备进行绑定，并通过设备数据查看界面直接查看该设备相关资料并进行浏览、下载。</w:t>
                  </w:r>
                </w:p>
                <w:p>
                  <w:pPr>
                    <w:pStyle w:val="null3"/>
                    <w:jc w:val="both"/>
                  </w:pPr>
                  <w:r>
                    <w:rPr>
                      <w:rFonts w:ascii="宋体" w:hAnsi="宋体" w:cs="宋体" w:eastAsia="宋体"/>
                      <w:sz w:val="18"/>
                    </w:rPr>
                    <w:t>9、自检功能：系统需具备自检功能，可以通过固定时间自动查询等方式检测系统、自检结果并能够通过短信方式输出；</w:t>
                  </w:r>
                </w:p>
                <w:p>
                  <w:pPr>
                    <w:pStyle w:val="null3"/>
                    <w:jc w:val="both"/>
                  </w:pPr>
                  <w:r>
                    <w:rPr>
                      <w:rFonts w:ascii="宋体" w:hAnsi="宋体" w:cs="宋体" w:eastAsia="宋体"/>
                      <w:sz w:val="18"/>
                    </w:rPr>
                    <w:t>10、联动管理：可实现设备本身或设备之间的关联操作，包括联动弹出弹窗、执行设定的控制命令，并可在系统内查看设置的联动规则列表。</w:t>
                  </w:r>
                </w:p>
                <w:p>
                  <w:pPr>
                    <w:pStyle w:val="null3"/>
                    <w:jc w:val="both"/>
                  </w:pPr>
                  <w:r>
                    <w:rPr>
                      <w:rFonts w:ascii="宋体" w:hAnsi="宋体" w:cs="宋体" w:eastAsia="宋体"/>
                      <w:sz w:val="18"/>
                    </w:rPr>
                    <w:t>11、资产管理：支持对系统中接入的设备进行资产信息管理，含厂家、型号、资产编码、合同编号、启用日期、运行时长、维保状态，停产状态等，并可通过报表快速查看设备状态，且可以进行系统内修改。</w:t>
                  </w:r>
                </w:p>
                <w:p>
                  <w:pPr>
                    <w:pStyle w:val="null3"/>
                    <w:jc w:val="both"/>
                  </w:pPr>
                  <w:r>
                    <w:rPr>
                      <w:rFonts w:ascii="宋体" w:hAnsi="宋体" w:cs="宋体" w:eastAsia="宋体"/>
                      <w:sz w:val="18"/>
                    </w:rPr>
                    <w:t>12、空调群控：系统需支持空调群控管理模块，可根据机房内空调制冷量与实际需求制冷量的关系，对现有空调进行分组，设置轮巡逻辑、主备逻辑等不同策略，实现对空调群组的整体管控。(需提供截图盖章)</w:t>
                  </w:r>
                </w:p>
                <w:p>
                  <w:pPr>
                    <w:pStyle w:val="null3"/>
                    <w:jc w:val="both"/>
                  </w:pPr>
                  <w:r>
                    <w:rPr>
                      <w:rFonts w:ascii="宋体" w:hAnsi="宋体" w:cs="宋体" w:eastAsia="宋体"/>
                      <w:sz w:val="18"/>
                    </w:rPr>
                    <w:t>13、手机APP：移动终端用户（iOS和Android、鸿蒙系统）对纳入监控系统的数据进行总览、巡检和实时监控。支持视频的远程浏览，支持定时报平安信息推送。支持浅色/深色模式切换。</w:t>
                  </w:r>
                </w:p>
                <w:p>
                  <w:pPr>
                    <w:pStyle w:val="null3"/>
                    <w:jc w:val="both"/>
                  </w:pPr>
                  <w:r>
                    <w:rPr>
                      <w:rFonts w:ascii="宋体" w:hAnsi="宋体" w:cs="宋体" w:eastAsia="宋体"/>
                      <w:sz w:val="18"/>
                    </w:rPr>
                    <w:t>14、系统需将现有主机房、配电室、及2套微模块设备，全部接入至动环监控系统内统一化管理，展示。</w:t>
                  </w:r>
                </w:p>
                <w:p>
                  <w:pPr>
                    <w:pStyle w:val="null3"/>
                    <w:jc w:val="both"/>
                  </w:pPr>
                  <w:r>
                    <w:rPr>
                      <w:rFonts w:ascii="宋体" w:hAnsi="宋体" w:cs="宋体" w:eastAsia="宋体"/>
                      <w:sz w:val="18"/>
                    </w:rPr>
                    <w:t>15、提供与机房现有同规格超六类非屏蔽网线，材料为低氧或无氧铜，铜丝线径23AWG，传输带宽：≥500MHz，符合TIA/EIA-568C.2、ISO11801 2nd、EN50173标准，长度≥30000米。</w:t>
                  </w:r>
                </w:p>
                <w:p>
                  <w:pPr>
                    <w:pStyle w:val="null3"/>
                    <w:jc w:val="both"/>
                  </w:pPr>
                  <w:r>
                    <w:rPr>
                      <w:rFonts w:ascii="宋体" w:hAnsi="宋体" w:cs="宋体" w:eastAsia="宋体"/>
                      <w:sz w:val="18"/>
                    </w:rPr>
                    <w:t>16.主要硬件要求：</w:t>
                  </w:r>
                </w:p>
                <w:p>
                  <w:pPr>
                    <w:pStyle w:val="null3"/>
                    <w:jc w:val="both"/>
                  </w:pPr>
                  <w:r>
                    <w:rPr>
                      <w:rFonts w:ascii="宋体" w:hAnsi="宋体" w:cs="宋体" w:eastAsia="宋体"/>
                      <w:sz w:val="18"/>
                    </w:rPr>
                    <w:t>硬件：</w:t>
                  </w:r>
                  <w:r>
                    <w:rPr>
                      <w:rFonts w:ascii="宋体" w:hAnsi="宋体" w:cs="宋体" w:eastAsia="宋体"/>
                      <w:sz w:val="18"/>
                    </w:rPr>
                    <w:t>1)CPU：≥24核、2.6GHz主频；2)内存：≥2*32GB；3)硬盘：≥2*1200 GB；4)电源性能：2路900W热插拔电源，支持1+1冗余备份；支持100~240V AC，240V DC；</w:t>
                  </w:r>
                </w:p>
                <w:p>
                  <w:pPr>
                    <w:pStyle w:val="null3"/>
                    <w:jc w:val="both"/>
                  </w:pPr>
                  <w:r>
                    <w:rPr>
                      <w:rFonts w:ascii="宋体" w:hAnsi="宋体" w:cs="宋体" w:eastAsia="宋体"/>
                      <w:sz w:val="18"/>
                    </w:rPr>
                    <w:t>采集器：支持数字量输入</w:t>
                  </w:r>
                  <w:r>
                    <w:rPr>
                      <w:rFonts w:ascii="宋体" w:hAnsi="宋体" w:cs="宋体" w:eastAsia="宋体"/>
                      <w:sz w:val="18"/>
                    </w:rPr>
                    <w:t>/输出及继电器输出等多种接口；支持通用Socket操作模式，包括TCP Server/Client和UDP模式，可设置为 DHCP/固定IP，可通过 Web/串口服务器配置软件进行管理和配置，易于操作维护简单；支持DNS功能；支持网络在线升级固件功能；可跨越网关，交换机，路由器；可以工作在局域网，也可工作在互联网；支持协议： ETHERNET、ARP、IP、ICMP、UDP、DHCP、TCP等，≥2个RS232，6个RS485串口（可配IO卡）；IO通道：不低于8DI 4 DO （扩展可最多增加12路开关量采集+4路开关量控制插卡2个）；电源输入：AC100-240V，功耗：&lt;19W。</w:t>
                  </w:r>
                </w:p>
                <w:p>
                  <w:pPr>
                    <w:pStyle w:val="null3"/>
                    <w:jc w:val="both"/>
                  </w:pPr>
                  <w:r>
                    <w:rPr>
                      <w:rFonts w:ascii="宋体" w:hAnsi="宋体" w:cs="宋体" w:eastAsia="宋体"/>
                      <w:sz w:val="18"/>
                    </w:rPr>
                    <w:t>动力电池组满足</w:t>
                  </w:r>
                  <w:r>
                    <w:rPr>
                      <w:rFonts w:ascii="宋体" w:hAnsi="宋体" w:cs="宋体" w:eastAsia="宋体"/>
                      <w:sz w:val="18"/>
                    </w:rPr>
                    <w:t>200kVA负载25%的情况下应急≥6小时，阀控式密封铅酸蓄电池,不低于12V,150Ah,UPS专用电池120块。</w:t>
                  </w:r>
                </w:p>
                <w:p>
                  <w:pPr>
                    <w:pStyle w:val="null3"/>
                    <w:jc w:val="both"/>
                  </w:pPr>
                  <w:r>
                    <w:rPr>
                      <w:rFonts w:ascii="宋体" w:hAnsi="宋体" w:cs="宋体" w:eastAsia="宋体"/>
                      <w:sz w:val="18"/>
                    </w:rPr>
                    <w:t>1.蓄电池产品应能在下述条件下允许工作：工作温度：－15～+45℃；相对湿度：90％（40℃±2℃）。</w:t>
                  </w:r>
                </w:p>
                <w:p>
                  <w:pPr>
                    <w:pStyle w:val="null3"/>
                    <w:jc w:val="both"/>
                  </w:pPr>
                  <w:r>
                    <w:rPr>
                      <w:rFonts w:ascii="宋体" w:hAnsi="宋体" w:cs="宋体" w:eastAsia="宋体"/>
                      <w:sz w:val="18"/>
                    </w:rPr>
                    <w:t>2.10h率容量（单体放电终止电压1.8V）第一次循环应达到0.95C10；在第三次循环之前，10h率容量（单体放电终止电压1.8V）应达到C10，3h率容量（放电终止电压1.8V）应达到0.75C10，1h率容量（单体放电终止电压1.75V）应达到0.55C10。</w:t>
                  </w:r>
                </w:p>
                <w:p>
                  <w:pPr>
                    <w:pStyle w:val="null3"/>
                    <w:jc w:val="both"/>
                  </w:pPr>
                  <w:r>
                    <w:rPr>
                      <w:rFonts w:ascii="宋体" w:hAnsi="宋体" w:cs="宋体" w:eastAsia="宋体"/>
                      <w:sz w:val="18"/>
                    </w:rPr>
                    <w:t>3.进行10h率放电容量测试时，蓄电池实测容量与标称额定容量不允许出现负偏差。</w:t>
                  </w:r>
                </w:p>
                <w:p>
                  <w:pPr>
                    <w:pStyle w:val="null3"/>
                    <w:jc w:val="both"/>
                  </w:pPr>
                  <w:r>
                    <w:rPr>
                      <w:rFonts w:ascii="宋体" w:hAnsi="宋体" w:cs="宋体" w:eastAsia="宋体"/>
                      <w:sz w:val="18"/>
                    </w:rPr>
                    <w:t>4.过度放电能力：经过C10容量实验并已达到额定容量值的蓄电池，在其输出端与一个外电阻连接，其阻值应满足使单体电池电压2V/单体、放电电流1.0I10的条件，蓄电池在环境温度为25±5℃条件中保持30d。30d过度放电结束后，立即用厂家规定的均充电压（限流2.0I10）充电48h，然后再按进行C10容量试验，其容量恢复值应≥100%，需提供第三方检测报告。</w:t>
                  </w:r>
                </w:p>
                <w:p>
                  <w:pPr>
                    <w:pStyle w:val="null3"/>
                    <w:jc w:val="both"/>
                  </w:pPr>
                  <w:r>
                    <w:rPr>
                      <w:rFonts w:ascii="宋体" w:hAnsi="宋体" w:cs="宋体" w:eastAsia="宋体"/>
                      <w:sz w:val="18"/>
                    </w:rPr>
                    <w:t>5.低温敏感性：达到额定容量值的蓄电池，经完全充电后，在25℃±5℃环境中，以I10电流放电至终止电压，蓄电池不经再充电置于－18℃±2℃的低温室（箱）中静置72h，再在室温下开路静置24h，在25℃±5℃环境中以Uflo电压（限流0.2C10）连续充电168h。蓄电池进行10h率容量试验，此时测得的容量修正值应≥0.9C10。外观应无破裂、过度膨胀及槽、盖分离现象，需提供第三方检测报告。</w:t>
                  </w:r>
                </w:p>
                <w:p>
                  <w:pPr>
                    <w:pStyle w:val="null3"/>
                    <w:jc w:val="both"/>
                  </w:pPr>
                  <w:r>
                    <w:rPr>
                      <w:rFonts w:ascii="宋体" w:hAnsi="宋体" w:cs="宋体" w:eastAsia="宋体"/>
                      <w:sz w:val="18"/>
                    </w:rPr>
                    <w:t>6.再充电性能：达到额定容量值的蓄电池，经完全充电后，在25℃±2℃环境中，以I10电流放电至终止电压，将所得的容量值修正至25℃容量Ca。 放电后蓄电池静置1h，以Uflo电压（限流0.2 C10）进行再充电24h，然后以I10电流放电至终止电压，将所得的容量值修正至25℃容量Ca24h。 计算蓄电池再充电能力因素Rbf24h=100%*Ca24h/Ca，Rbf24h应≥95%，需提供第三方检测报告。</w:t>
                  </w:r>
                </w:p>
                <w:p>
                  <w:pPr>
                    <w:pStyle w:val="null3"/>
                    <w:jc w:val="both"/>
                  </w:pPr>
                  <w:r>
                    <w:rPr>
                      <w:rFonts w:ascii="宋体" w:hAnsi="宋体" w:cs="宋体" w:eastAsia="宋体"/>
                      <w:sz w:val="18"/>
                    </w:rPr>
                    <w:t>7.同组蓄电池内阻偏差应不超过2%，同组蓄电池10h率容量试验时，最大实际容量与最小实际容量差值应不大于2%。</w:t>
                  </w:r>
                </w:p>
                <w:p>
                  <w:pPr>
                    <w:pStyle w:val="null3"/>
                    <w:jc w:val="both"/>
                  </w:pPr>
                  <w:r>
                    <w:rPr>
                      <w:rFonts w:ascii="宋体" w:hAnsi="宋体" w:cs="宋体" w:eastAsia="宋体"/>
                      <w:sz w:val="18"/>
                    </w:rPr>
                    <w:t>8.蓄电池在充电过程中遇有明火内部不应引爆。</w:t>
                  </w:r>
                </w:p>
                <w:p>
                  <w:pPr>
                    <w:pStyle w:val="null3"/>
                    <w:jc w:val="both"/>
                  </w:pPr>
                  <w:r>
                    <w:rPr>
                      <w:rFonts w:ascii="宋体" w:hAnsi="宋体" w:cs="宋体" w:eastAsia="宋体"/>
                      <w:sz w:val="18"/>
                    </w:rPr>
                    <w:t>9.蓄电池密封反应效率应不低于98%，需提供第三方检测报告。</w:t>
                  </w:r>
                </w:p>
                <w:p>
                  <w:pPr>
                    <w:pStyle w:val="null3"/>
                    <w:jc w:val="both"/>
                  </w:pPr>
                  <w:r>
                    <w:rPr>
                      <w:rFonts w:ascii="宋体" w:hAnsi="宋体" w:cs="宋体" w:eastAsia="宋体"/>
                      <w:sz w:val="18"/>
                    </w:rPr>
                    <w:t>10.蓄电池应能承受50kPa的正压或负压而不破裂、不开胶，压力释放后壳体无残余变形。需提供第三方检测报告。</w:t>
                  </w:r>
                </w:p>
                <w:p>
                  <w:pPr>
                    <w:pStyle w:val="null3"/>
                    <w:jc w:val="both"/>
                  </w:pPr>
                  <w:r>
                    <w:rPr>
                      <w:rFonts w:ascii="宋体" w:hAnsi="宋体" w:cs="宋体" w:eastAsia="宋体"/>
                      <w:sz w:val="18"/>
                    </w:rPr>
                    <w:t>11.热失控敏感性：达到额定容量值的蓄电池，经完全充电后，在25℃±5℃环境中，以（2.45V±0.1V）/单体的恒定电压（不限流）连续充电168h。充电过程中每隔24h记录一次充电电流值和蓄电池表面（端子部位）温度值，蓄电池温度应≤30℃，每24h的电流增长率应≤35％。需提供第三方检测报告。</w:t>
                  </w:r>
                </w:p>
                <w:p>
                  <w:pPr>
                    <w:pStyle w:val="null3"/>
                    <w:jc w:val="both"/>
                  </w:pPr>
                  <w:r>
                    <w:rPr>
                      <w:rFonts w:ascii="宋体" w:hAnsi="宋体" w:cs="宋体" w:eastAsia="宋体"/>
                      <w:sz w:val="18"/>
                    </w:rPr>
                    <w:t>12.依据《通信用阀控式密封铅酸蓄电池》（YD/T 799-2010）第7.23.2款的试验方法进行高温加速浮充寿命试验，试验结果折合蓄电池浮充寿命不小于8年。提供蓄电池高温加速浮充寿命试验测试报告，测试报告必须由具有CNAS、CMA资质的第三方检测机构出具。</w:t>
                  </w:r>
                </w:p>
                <w:p>
                  <w:pPr>
                    <w:pStyle w:val="null3"/>
                    <w:jc w:val="both"/>
                  </w:pPr>
                  <w:r>
                    <w:rPr>
                      <w:rFonts w:ascii="宋体" w:hAnsi="宋体" w:cs="宋体" w:eastAsia="宋体"/>
                      <w:sz w:val="18"/>
                    </w:rPr>
                    <w:t>13.依据《通信用阀控式密封铅酸蓄电池》（YD/T 799-2010）第7.23.1款的试验方法进行循环耐久性寿命试验，试验结果循环次数不少于400次。提供循环耐久性寿命试验测试报告，测试报告必须由具有CNAS、CMA资质的第三方检测机构出具。</w:t>
                  </w:r>
                </w:p>
                <w:p>
                  <w:pPr>
                    <w:pStyle w:val="null3"/>
                    <w:jc w:val="both"/>
                  </w:pPr>
                  <w:r>
                    <w:rPr>
                      <w:rFonts w:ascii="宋体" w:hAnsi="宋体" w:cs="宋体" w:eastAsia="宋体"/>
                      <w:sz w:val="18"/>
                    </w:rPr>
                    <w:t>14.提供三年质保。</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蜜罐</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信息安全应用创新平台项目（第二包：信息安全攻防演练创新应用平台）</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1.处理器≥16核，≥64G内存，≥256G固态硬盘，≥2T企业级机械硬盘，≥6*GE口，≥4*网卡扩展槽位，冗余电源，蜜罐配套探针。</w:t>
                  </w:r>
                  <w:r>
                    <w:br/>
                  </w:r>
                  <w:r>
                    <w:rPr>
                      <w:rFonts w:ascii="宋体" w:hAnsi="宋体" w:cs="宋体" w:eastAsia="宋体"/>
                      <w:sz w:val="18"/>
                    </w:rPr>
                    <w:t>2.蜜罐支持伪装Jenkins、Joomla、Jboss、Wordpress、Webmin、Zabbix、Wiki、CRM、OA、企业邮箱、堡垒机、WAS、HRM、RouYi、phpMyAdmin、Solr、RabbitMQ、Apollo、Nexus3、Druid、Metabase、YApi、Grafana、Vmware ESXI等服务或中间件。蜜罐受到攻击后，可以记录访问请求、Web攻击和账号密码登录等事件。（提供产品功能截图证明并加盖公章）</w:t>
                  </w:r>
                  <w:r>
                    <w:br/>
                  </w:r>
                  <w:r>
                    <w:rPr>
                      <w:rFonts w:ascii="宋体" w:hAnsi="宋体" w:cs="宋体" w:eastAsia="宋体"/>
                      <w:sz w:val="18"/>
                    </w:rPr>
                    <w:t>3.蜜罐支持伪装Shellshock、Eternalblue、Struts2、Tomcat、Shiro、Weblogic、Coremail、Fastjson、负载均衡、VMwarevCenter、RMI反制、NBR路由器等存在漏洞的服务，并可以通过POC验证。（提供产品功能截图证明并加盖公章）</w:t>
                  </w:r>
                  <w:r>
                    <w:br/>
                  </w:r>
                  <w:r>
                    <w:rPr>
                      <w:rFonts w:ascii="宋体" w:hAnsi="宋体" w:cs="宋体" w:eastAsia="宋体"/>
                      <w:sz w:val="18"/>
                    </w:rPr>
                    <w:t>4.支持运行模拟300种以上服务指纹信息的蜜罐。蜜罐受到攻击后，可以查询完整的连接建立与断开记录；（提供产品功能截图证明并加盖公章）</w:t>
                  </w:r>
                  <w:r>
                    <w:br/>
                  </w:r>
                  <w:r>
                    <w:rPr>
                      <w:rFonts w:ascii="宋体" w:hAnsi="宋体" w:cs="宋体" w:eastAsia="宋体"/>
                      <w:sz w:val="18"/>
                    </w:rPr>
                    <w:t>5.支持上传网站页面和数据库文件生成PHP、Python、Lua等不同语言类型的Web类蜜罐，当蜜罐受到攻击时，可记录Web攻击事件。（提供产品功能截图证明并加盖公章）</w:t>
                  </w:r>
                  <w:r>
                    <w:br/>
                  </w:r>
                  <w:r>
                    <w:rPr>
                      <w:rFonts w:ascii="宋体" w:hAnsi="宋体" w:cs="宋体" w:eastAsia="宋体"/>
                      <w:sz w:val="18"/>
                    </w:rPr>
                    <w:t>6.支持运行真实MySQL反制、MongoDB、Redis、PostgreSQL、Memcached、Microsoft SQL Server、MadiaDB服务的蜜罐；蜜罐受到攻击后，可以查询连接建立与断开记录和完整的数据库操作记录；（提供产品功能截图证明并加盖公章）</w:t>
                  </w:r>
                  <w:r>
                    <w:br/>
                  </w:r>
                  <w:r>
                    <w:rPr>
                      <w:rFonts w:ascii="宋体" w:hAnsi="宋体" w:cs="宋体" w:eastAsia="宋体"/>
                      <w:sz w:val="18"/>
                    </w:rPr>
                    <w:t>7.仿真蜜罐支持灵活启用Git、Chrome反制、Burp、社交溯源、Goby溯源等多种溯源反制方式；（提供产品功能截图证明并加盖公章）</w:t>
                  </w:r>
                  <w:r>
                    <w:br/>
                  </w:r>
                  <w:r>
                    <w:rPr>
                      <w:rFonts w:ascii="宋体" w:hAnsi="宋体" w:cs="宋体" w:eastAsia="宋体"/>
                      <w:sz w:val="18"/>
                    </w:rPr>
                    <w:t>8.可以感知攻击者对Web类服务蜜罐发起的攻击请求，并智能识别其Payload攻击类型和威胁等级；（提供产品功能截图证明并加盖公章）</w:t>
                  </w:r>
                  <w:r>
                    <w:br/>
                  </w:r>
                  <w:r>
                    <w:rPr>
                      <w:rFonts w:ascii="宋体" w:hAnsi="宋体" w:cs="宋体" w:eastAsia="宋体"/>
                      <w:sz w:val="18"/>
                    </w:rPr>
                    <w:t>9.支持接收HIDS等设备代理转发的webshell等后门程序，并对后门程序的连接、攻击请求等进行响应和监测；（提供产品功能截图证明并加盖公章）</w:t>
                  </w:r>
                  <w:r>
                    <w:br/>
                  </w:r>
                  <w:r>
                    <w:rPr>
                      <w:rFonts w:ascii="宋体" w:hAnsi="宋体" w:cs="宋体" w:eastAsia="宋体"/>
                      <w:sz w:val="18"/>
                    </w:rPr>
                    <w:t>10.支持为 Web 蜜罐预置 Webshell，能够记录攻击者对其的连接行为和连接成功后的操作，包括命令执行、代码执行等；（提供产品功能截图证明并加盖公章）</w:t>
                  </w:r>
                  <w:r>
                    <w:br/>
                  </w:r>
                  <w:r>
                    <w:rPr>
                      <w:rFonts w:ascii="宋体" w:hAnsi="宋体" w:cs="宋体" w:eastAsia="宋体"/>
                      <w:sz w:val="18"/>
                    </w:rPr>
                    <w:t>11.产品适配国产化平台及操作系统，提供以下认证证书：麒麟软件NeoCertify认证、海光合作认证书、华为鲲鹏技术认证书、长城飞腾产品兼容性互认证明、中科方德产品兼容性认证证书；（提供证明并加盖公章）</w:t>
                  </w:r>
                  <w:r>
                    <w:br/>
                  </w:r>
                  <w:r>
                    <w:rPr>
                      <w:rFonts w:ascii="宋体" w:hAnsi="宋体" w:cs="宋体" w:eastAsia="宋体"/>
                      <w:sz w:val="18"/>
                    </w:rPr>
                    <w:t>12.提供不低于三年质保及一年驻场服务，协助学校完成质保期间的重保、等保测评、攻防演习等重大活动，并肩负培训校内安全员任务。</w:t>
                  </w:r>
                </w:p>
                <w:p>
                  <w:pPr>
                    <w:pStyle w:val="null3"/>
                    <w:ind w:firstLine="360"/>
                    <w:jc w:val="both"/>
                  </w:pPr>
                  <w:r>
                    <w:rPr>
                      <w:rFonts w:ascii="宋体" w:hAnsi="宋体" w:cs="宋体" w:eastAsia="宋体"/>
                      <w:sz w:val="18"/>
                    </w:rPr>
                    <w:t>汇聚交换模块：</w:t>
                  </w:r>
                  <w:r>
                    <w:rPr>
                      <w:rFonts w:ascii="宋体" w:hAnsi="宋体" w:cs="宋体" w:eastAsia="宋体"/>
                      <w:sz w:val="18"/>
                    </w:rPr>
                    <w:t>4个</w:t>
                  </w:r>
                </w:p>
                <w:p>
                  <w:pPr>
                    <w:pStyle w:val="null3"/>
                    <w:jc w:val="both"/>
                  </w:pPr>
                  <w:r>
                    <w:rPr>
                      <w:rFonts w:ascii="宋体" w:hAnsi="宋体" w:cs="宋体" w:eastAsia="宋体"/>
                      <w:sz w:val="18"/>
                    </w:rPr>
                    <w:t>1.交换容量≥4.8Tbps，包转发率≥2000Mpps；</w:t>
                  </w:r>
                </w:p>
                <w:p>
                  <w:pPr>
                    <w:pStyle w:val="null3"/>
                    <w:jc w:val="both"/>
                  </w:pPr>
                  <w:r>
                    <w:rPr>
                      <w:rFonts w:ascii="宋体" w:hAnsi="宋体" w:cs="宋体" w:eastAsia="宋体"/>
                      <w:sz w:val="18"/>
                    </w:rPr>
                    <w:t>2.10GE光端口数量≥48个，40GE光端口数量≥6个；</w:t>
                  </w:r>
                </w:p>
                <w:p>
                  <w:pPr>
                    <w:pStyle w:val="null3"/>
                    <w:jc w:val="both"/>
                  </w:pPr>
                  <w:r>
                    <w:rPr>
                      <w:rFonts w:ascii="宋体" w:hAnsi="宋体" w:cs="宋体" w:eastAsia="宋体"/>
                      <w:sz w:val="18"/>
                    </w:rPr>
                    <w:t>3.电源1+1备份，风扇模块≥4个，支持前后风道；</w:t>
                  </w:r>
                </w:p>
                <w:p>
                  <w:pPr>
                    <w:pStyle w:val="null3"/>
                    <w:jc w:val="both"/>
                  </w:pPr>
                  <w:r>
                    <w:rPr>
                      <w:rFonts w:ascii="宋体" w:hAnsi="宋体" w:cs="宋体" w:eastAsia="宋体"/>
                      <w:sz w:val="18"/>
                    </w:rPr>
                    <w:t>4.支持VxLAN功能，支持BGP EVPN，支持分布式 Anycast 网关；</w:t>
                  </w:r>
                </w:p>
                <w:p>
                  <w:pPr>
                    <w:pStyle w:val="null3"/>
                    <w:jc w:val="both"/>
                  </w:pPr>
                  <w:r>
                    <w:rPr>
                      <w:rFonts w:ascii="宋体" w:hAnsi="宋体" w:cs="宋体" w:eastAsia="宋体"/>
                      <w:sz w:val="18"/>
                    </w:rPr>
                    <w:t>5.支持M-LAG技术（跨框链路聚合，非堆叠等多虚一技术实现）；</w:t>
                  </w:r>
                </w:p>
                <w:p>
                  <w:pPr>
                    <w:pStyle w:val="null3"/>
                    <w:jc w:val="both"/>
                  </w:pPr>
                  <w:r>
                    <w:rPr>
                      <w:rFonts w:ascii="宋体" w:hAnsi="宋体" w:cs="宋体" w:eastAsia="宋体"/>
                      <w:sz w:val="18"/>
                    </w:rPr>
                    <w:t>6.支持静态路由、RIP V1/2、OSPF、IS-IS、BGP、RIPng、OSPFv3、BGP4+、ISISv6等IPv4及IPv6路由协议；</w:t>
                  </w:r>
                </w:p>
                <w:p>
                  <w:pPr>
                    <w:pStyle w:val="null3"/>
                    <w:jc w:val="both"/>
                  </w:pPr>
                  <w:r>
                    <w:rPr>
                      <w:rFonts w:ascii="宋体" w:hAnsi="宋体" w:cs="宋体" w:eastAsia="宋体"/>
                      <w:sz w:val="18"/>
                    </w:rPr>
                    <w:t>7.支持统一用户管理功能，支持802.1X/MAC等多种认证方式</w:t>
                  </w:r>
                </w:p>
                <w:p>
                  <w:pPr>
                    <w:pStyle w:val="null3"/>
                    <w:jc w:val="both"/>
                  </w:pPr>
                  <w:r>
                    <w:rPr>
                      <w:rFonts w:ascii="宋体" w:hAnsi="宋体" w:cs="宋体" w:eastAsia="宋体"/>
                      <w:sz w:val="18"/>
                    </w:rPr>
                    <w:t>8.支持 Telemetry 技术，实时采集设备数据并上送至网络分析组件平台；</w:t>
                  </w:r>
                </w:p>
                <w:p>
                  <w:pPr>
                    <w:pStyle w:val="null3"/>
                    <w:jc w:val="both"/>
                  </w:pPr>
                  <w:r>
                    <w:rPr>
                      <w:rFonts w:ascii="宋体" w:hAnsi="宋体" w:cs="宋体" w:eastAsia="宋体"/>
                      <w:sz w:val="18"/>
                    </w:rPr>
                    <w:t>9.支持真实业务流实时检测技术，能实时检测网络故障；</w:t>
                  </w:r>
                </w:p>
                <w:p>
                  <w:pPr>
                    <w:pStyle w:val="null3"/>
                    <w:jc w:val="both"/>
                  </w:pPr>
                  <w:r>
                    <w:rPr>
                      <w:rFonts w:ascii="宋体" w:hAnsi="宋体" w:cs="宋体" w:eastAsia="宋体"/>
                      <w:sz w:val="18"/>
                    </w:rPr>
                    <w:t>10.支持NetStream、SNMPv1/v2c/v3、RMON等协议；</w:t>
                  </w:r>
                </w:p>
                <w:p>
                  <w:pPr>
                    <w:pStyle w:val="null3"/>
                    <w:jc w:val="both"/>
                  </w:pPr>
                  <w:r>
                    <w:rPr>
                      <w:rFonts w:ascii="宋体" w:hAnsi="宋体" w:cs="宋体" w:eastAsia="宋体"/>
                      <w:sz w:val="18"/>
                    </w:rPr>
                    <w:t>11.提供万兆单模光模块5个，提供40G单模光模块1个，提供三年原厂维保服务。</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远程安全评估系统</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信息安全应用创新平台项目（第二包：信息安全攻防演练创新应用平台）</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1.≥16G内存，≥4*千兆光口，≥2T硬盘，≥1*扩展槽位，提供≥1路扫描端口授权，冗余电源；</w:t>
                  </w:r>
                </w:p>
                <w:p>
                  <w:pPr>
                    <w:pStyle w:val="null3"/>
                    <w:jc w:val="both"/>
                  </w:pPr>
                  <w:r>
                    <w:rPr>
                      <w:rFonts w:ascii="宋体" w:hAnsi="宋体" w:cs="宋体" w:eastAsia="宋体"/>
                      <w:sz w:val="18"/>
                    </w:rPr>
                    <w:t>2.最大并发主机数≥60,最大并发任务数≥10；</w:t>
                  </w:r>
                </w:p>
                <w:p>
                  <w:pPr>
                    <w:pStyle w:val="null3"/>
                  </w:pPr>
                  <w:r>
                    <w:rPr/>
                    <w:t xml:space="preserve"> </w:t>
                  </w:r>
                </w:p>
                <w:p>
                  <w:pPr>
                    <w:pStyle w:val="null3"/>
                    <w:jc w:val="both"/>
                  </w:pPr>
                  <w:r>
                    <w:rPr>
                      <w:rFonts w:ascii="宋体" w:hAnsi="宋体" w:cs="宋体" w:eastAsia="宋体"/>
                      <w:sz w:val="18"/>
                    </w:rPr>
                    <w:t>3.支持对原理扫描、web漏洞扫描、国产化扫描、HW重大漏洞扫描、OWASP_top10、大数据组件、物联网、虚拟化组件、网络设备扫描、数据库扫描、WebServer等场景维度下发漏洞扫描任务的能力；（提供产品功能截图证明并加盖公章）</w:t>
                  </w:r>
                </w:p>
                <w:p>
                  <w:pPr>
                    <w:pStyle w:val="null3"/>
                  </w:pPr>
                  <w:r>
                    <w:rPr/>
                    <w:t xml:space="preserve"> </w:t>
                  </w:r>
                </w:p>
                <w:p>
                  <w:pPr>
                    <w:pStyle w:val="null3"/>
                    <w:jc w:val="both"/>
                  </w:pPr>
                  <w:r>
                    <w:rPr>
                      <w:rFonts w:ascii="宋体" w:hAnsi="宋体" w:cs="宋体" w:eastAsia="宋体"/>
                      <w:sz w:val="18"/>
                    </w:rPr>
                    <w:t>4.支持按需自定义漏洞POC检测插件，支持漏洞数量≥2500，包括漏洞名称、漏洞类型、漏洞危害、CVSS信息、检测脚本等，用于日常突发漏洞应急（提供产品功能截图证明并加盖公章）</w:t>
                  </w:r>
                </w:p>
                <w:p>
                  <w:pPr>
                    <w:pStyle w:val="null3"/>
                  </w:pPr>
                  <w:r>
                    <w:rPr/>
                    <w:t xml:space="preserve"> </w:t>
                  </w:r>
                </w:p>
                <w:p>
                  <w:pPr>
                    <w:pStyle w:val="null3"/>
                    <w:jc w:val="both"/>
                  </w:pPr>
                  <w:r>
                    <w:rPr>
                      <w:rFonts w:ascii="宋体" w:hAnsi="宋体" w:cs="宋体" w:eastAsia="宋体"/>
                      <w:sz w:val="18"/>
                    </w:rPr>
                    <w:t>5.内置扫描任务报表、基线检查报表、资产报表、漏洞报表、对比报表和自定义报表模板；自定义的维度包括且不限于资产（主机存活性、主机指纹、端口、web指纹等）、漏洞（修复方案、CVSS评分、漏洞细节、漏洞描述、漏洞危害、影响范围等）进行筛选（提供产品功能截图证明并加盖公章）</w:t>
                  </w:r>
                </w:p>
                <w:p>
                  <w:pPr>
                    <w:pStyle w:val="null3"/>
                    <w:jc w:val="both"/>
                  </w:pPr>
                  <w:r>
                    <w:rPr>
                      <w:rFonts w:ascii="宋体" w:hAnsi="宋体" w:cs="宋体" w:eastAsia="宋体"/>
                      <w:sz w:val="18"/>
                    </w:rPr>
                    <w:t>6.支持基于系统扫描的结果，下发Web深度扫描任务，能够针对Web和系统扫描的结果深入的进行风险综合分析（提供产品功能截图证明并加盖公章）</w:t>
                  </w:r>
                </w:p>
                <w:p>
                  <w:pPr>
                    <w:pStyle w:val="null3"/>
                  </w:pPr>
                  <w:r>
                    <w:rPr/>
                    <w:t xml:space="preserve"> </w:t>
                  </w:r>
                </w:p>
                <w:p>
                  <w:pPr>
                    <w:pStyle w:val="null3"/>
                    <w:jc w:val="both"/>
                  </w:pPr>
                  <w:r>
                    <w:rPr>
                      <w:rFonts w:ascii="宋体" w:hAnsi="宋体" w:cs="宋体" w:eastAsia="宋体"/>
                      <w:sz w:val="18"/>
                    </w:rPr>
                    <w:t>7.主机扫描：并发主机数、主机存活探测强度（超时等待时长、最小/最大重试次数）、端口扫描强度（超时等待时长、最小/最大重试次数）等；（提供产品功能截图证明并加盖公章）</w:t>
                  </w:r>
                </w:p>
                <w:p>
                  <w:pPr>
                    <w:pStyle w:val="null3"/>
                  </w:pPr>
                  <w:r>
                    <w:rPr/>
                    <w:t xml:space="preserve"> </w:t>
                  </w:r>
                </w:p>
                <w:p>
                  <w:pPr>
                    <w:pStyle w:val="null3"/>
                    <w:jc w:val="both"/>
                  </w:pPr>
                  <w:r>
                    <w:rPr>
                      <w:rFonts w:ascii="宋体" w:hAnsi="宋体" w:cs="宋体" w:eastAsia="宋体"/>
                      <w:sz w:val="18"/>
                    </w:rPr>
                    <w:t>8.支持JS渲染的Web2.0应用，包括JQuery、Ajax、Flash、Applet等Web2.0应用和Vue、React等单页应用；（需提供功能截图和原理说明并加盖公章）</w:t>
                  </w:r>
                </w:p>
                <w:p>
                  <w:pPr>
                    <w:pStyle w:val="null3"/>
                  </w:pPr>
                  <w:r>
                    <w:rPr/>
                    <w:t xml:space="preserve"> </w:t>
                  </w:r>
                </w:p>
                <w:p>
                  <w:pPr>
                    <w:pStyle w:val="null3"/>
                    <w:jc w:val="both"/>
                  </w:pPr>
                  <w:r>
                    <w:rPr>
                      <w:rFonts w:ascii="宋体" w:hAnsi="宋体" w:cs="宋体" w:eastAsia="宋体"/>
                      <w:sz w:val="18"/>
                    </w:rPr>
                    <w:t>9.支持全量和部分弱口令字典爆破的能力，可以配置用户名字典、密码字典、口令猜测时间、口令猜测次数等；（提供产品功能截图证明并加盖公章）</w:t>
                  </w:r>
                </w:p>
                <w:p>
                  <w:pPr>
                    <w:pStyle w:val="null3"/>
                  </w:pPr>
                  <w:r>
                    <w:rPr/>
                    <w:t xml:space="preserve"> </w:t>
                  </w:r>
                </w:p>
                <w:p>
                  <w:pPr>
                    <w:pStyle w:val="null3"/>
                    <w:jc w:val="both"/>
                  </w:pPr>
                  <w:r>
                    <w:rPr>
                      <w:rFonts w:ascii="宋体" w:hAnsi="宋体" w:cs="宋体" w:eastAsia="宋体"/>
                      <w:sz w:val="18"/>
                    </w:rPr>
                    <w:t>10.支持对资产进行标签化管理，通过对资产自定义标签的方式，通过标签对资产进行筛选、编辑、下发任务等操作；（提供产品功能截图证明并加盖公章）</w:t>
                  </w:r>
                </w:p>
                <w:p>
                  <w:pPr>
                    <w:pStyle w:val="null3"/>
                  </w:pPr>
                  <w:r>
                    <w:rPr/>
                    <w:t xml:space="preserve"> </w:t>
                  </w:r>
                </w:p>
                <w:p>
                  <w:pPr>
                    <w:pStyle w:val="null3"/>
                    <w:jc w:val="both"/>
                  </w:pPr>
                  <w:r>
                    <w:rPr>
                      <w:rFonts w:ascii="宋体" w:hAnsi="宋体" w:cs="宋体" w:eastAsia="宋体"/>
                      <w:sz w:val="18"/>
                    </w:rPr>
                    <w:t>11.支持在系统内置的扫描策略基础上自定义扫描策略模板，支持自定义模板增加、删除、编辑、查询功能；支持批量删除自定义扫描策略模板；（提供产品功能截图证明并加盖公章）</w:t>
                  </w:r>
                </w:p>
                <w:p>
                  <w:pPr>
                    <w:pStyle w:val="null3"/>
                  </w:pPr>
                  <w:r>
                    <w:rPr/>
                    <w:t xml:space="preserve"> </w:t>
                  </w:r>
                </w:p>
                <w:p>
                  <w:pPr>
                    <w:pStyle w:val="null3"/>
                    <w:jc w:val="both"/>
                  </w:pPr>
                  <w:r>
                    <w:rPr>
                      <w:rFonts w:ascii="宋体" w:hAnsi="宋体" w:cs="宋体" w:eastAsia="宋体"/>
                      <w:sz w:val="18"/>
                    </w:rPr>
                    <w:t>12.支持盲打平台反连配置，fastjson、SSRF、log4j、代理未授权等需要反向连接确定的漏洞；（需提供功能截图和原理说明并加盖公章）</w:t>
                  </w:r>
                </w:p>
                <w:p>
                  <w:pPr>
                    <w:pStyle w:val="null3"/>
                  </w:pPr>
                  <w:r>
                    <w:rPr/>
                    <w:t xml:space="preserve"> </w:t>
                  </w:r>
                </w:p>
                <w:p>
                  <w:pPr>
                    <w:pStyle w:val="null3"/>
                    <w:jc w:val="both"/>
                  </w:pPr>
                  <w:r>
                    <w:rPr>
                      <w:rFonts w:ascii="宋体" w:hAnsi="宋体" w:cs="宋体" w:eastAsia="宋体"/>
                      <w:sz w:val="18"/>
                    </w:rPr>
                    <w:t>13.产品适配国产化平台及操作系统，提供以下认证证书：麒麟软件NeoCertify认证、海光合作认证书、华为鲲鹏技术认证书、统信软件产品互认证明、中科方德产品兼容性认证证书；（提供证明并加盖公章）</w:t>
                  </w:r>
                </w:p>
                <w:p>
                  <w:pPr>
                    <w:pStyle w:val="null3"/>
                  </w:pPr>
                  <w:r>
                    <w:rPr/>
                    <w:t xml:space="preserve"> </w:t>
                  </w:r>
                </w:p>
                <w:p>
                  <w:pPr>
                    <w:pStyle w:val="null3"/>
                    <w:jc w:val="both"/>
                  </w:pPr>
                  <w:r>
                    <w:rPr>
                      <w:rFonts w:ascii="宋体" w:hAnsi="宋体" w:cs="宋体" w:eastAsia="宋体"/>
                      <w:sz w:val="18"/>
                    </w:rPr>
                    <w:t>14.≥三年质保及一年驻场服务。协助并指导用户优化业务，完善安全体系，减少可见风险，并使操作员可以独立熟练操作。</w:t>
                  </w:r>
                </w:p>
                <w:p>
                  <w:pPr>
                    <w:pStyle w:val="null3"/>
                    <w:jc w:val="both"/>
                  </w:pPr>
                  <w:r>
                    <w:rPr>
                      <w:rFonts w:ascii="宋体" w:hAnsi="宋体" w:cs="宋体" w:eastAsia="宋体"/>
                      <w:sz w:val="18"/>
                    </w:rPr>
                    <w:t>智能</w:t>
                  </w:r>
                  <w:r>
                    <w:rPr>
                      <w:rFonts w:ascii="宋体" w:hAnsi="宋体" w:cs="宋体" w:eastAsia="宋体"/>
                      <w:sz w:val="18"/>
                    </w:rPr>
                    <w:t>AI大模型：</w:t>
                  </w:r>
                </w:p>
                <w:p>
                  <w:pPr>
                    <w:pStyle w:val="null3"/>
                    <w:ind w:firstLine="420"/>
                    <w:jc w:val="both"/>
                  </w:pPr>
                  <w:r>
                    <w:rPr>
                      <w:rFonts w:ascii="宋体" w:hAnsi="宋体" w:cs="宋体" w:eastAsia="宋体"/>
                      <w:sz w:val="18"/>
                    </w:rPr>
                    <w:t>1.支持对接校内统一身份认证系统，支持接入到学校企业微信、微信小程序上实现免密单点。支持访客身份登录AI助手；（须提供与统一身份认证系统无缝对接的证明材料）</w:t>
                  </w:r>
                </w:p>
                <w:p>
                  <w:pPr>
                    <w:pStyle w:val="null3"/>
                    <w:ind w:firstLine="420"/>
                    <w:jc w:val="both"/>
                  </w:pPr>
                  <w:r>
                    <w:rPr>
                      <w:rFonts w:ascii="宋体" w:hAnsi="宋体" w:cs="宋体" w:eastAsia="宋体"/>
                      <w:sz w:val="18"/>
                    </w:rPr>
                    <w:t>2.多终端兼容，包含但不仅限于PC端、移动端；</w:t>
                  </w:r>
                </w:p>
                <w:p>
                  <w:pPr>
                    <w:pStyle w:val="null3"/>
                    <w:ind w:firstLine="420"/>
                    <w:jc w:val="both"/>
                  </w:pPr>
                  <w:r>
                    <w:rPr>
                      <w:rFonts w:ascii="宋体" w:hAnsi="宋体" w:cs="宋体" w:eastAsia="宋体"/>
                      <w:sz w:val="18"/>
                    </w:rPr>
                    <w:t>3.基于向量库的 FAQ 智能问答。基于用户权限，通过向量语义检索，实现高效的 FAQ 问答对的精准匹配。引导用户选择最合适的问题，确保回复准确性与用户体验。具备实时更新与学习能力，确保匹配结果的持续优化与准确度提升；</w:t>
                  </w:r>
                </w:p>
                <w:p>
                  <w:pPr>
                    <w:pStyle w:val="null3"/>
                    <w:ind w:firstLine="420"/>
                    <w:jc w:val="both"/>
                  </w:pPr>
                  <w:r>
                    <w:rPr>
                      <w:rFonts w:ascii="宋体" w:hAnsi="宋体" w:cs="宋体" w:eastAsia="宋体"/>
                      <w:sz w:val="18"/>
                    </w:rPr>
                    <w:t>4.基于RAG+大语言模型的智能问答。利用 RAG（检索增强生成）技术，结合大语言模型，系统支持基于用户身份及权限动态检索并生成精准回答。系统可在用户权限范围内，快速检索多文档片段中的相关信息，确保提供的答案符合用户需求和权限要求。支持智能分析当前上下文，提供更为精准的多轮对话回答，提升复杂场景下的用户体验；</w:t>
                  </w:r>
                </w:p>
                <w:p>
                  <w:pPr>
                    <w:pStyle w:val="null3"/>
                    <w:ind w:firstLine="420"/>
                    <w:jc w:val="both"/>
                  </w:pPr>
                  <w:r>
                    <w:rPr>
                      <w:rFonts w:ascii="宋体" w:hAnsi="宋体" w:cs="宋体" w:eastAsia="宋体"/>
                      <w:sz w:val="18"/>
                    </w:rPr>
                    <w:t>5.各终端均需要提供语音输入能力，能识别普通话和英文，支持清空当前问答内容并生成一个新的问答记录，支持调阅历史问答记录并在某个历史问答对话中继续提问；</w:t>
                  </w:r>
                </w:p>
                <w:p>
                  <w:pPr>
                    <w:pStyle w:val="null3"/>
                    <w:ind w:firstLine="420"/>
                    <w:jc w:val="both"/>
                  </w:pPr>
                  <w:r>
                    <w:rPr>
                      <w:rFonts w:ascii="宋体" w:hAnsi="宋体" w:cs="宋体" w:eastAsia="宋体"/>
                      <w:sz w:val="18"/>
                    </w:rPr>
                    <w:t>6.应支持无需用户主动询问，AI助手能主动推送用户当前的待办事项，并支持直接办理。并支持用户查课表、查考试信息、查借阅等在校学习、生活等常用场景。（须提供该服务场景真实案例校的功能截图予以证明并加盖公章）</w:t>
                  </w:r>
                </w:p>
                <w:p>
                  <w:pPr>
                    <w:pStyle w:val="null3"/>
                    <w:ind w:firstLine="420"/>
                    <w:jc w:val="both"/>
                  </w:pPr>
                  <w:r>
                    <w:rPr>
                      <w:rFonts w:ascii="宋体" w:hAnsi="宋体" w:cs="宋体" w:eastAsia="宋体"/>
                      <w:sz w:val="18"/>
                    </w:rPr>
                    <w:t>7. 应支持直接通过AI助手，创建个人日程，并保证我校现有门户与移动端的个人日程信息数据保持一致；支持无需用户主动询问，AI助手能主动推送用户当日的日程事务。（须提供该服务场景真实案例校的功能截图予以证明并加盖公章）</w:t>
                  </w:r>
                </w:p>
                <w:p>
                  <w:pPr>
                    <w:pStyle w:val="null3"/>
                    <w:ind w:firstLine="420"/>
                    <w:jc w:val="both"/>
                  </w:pPr>
                  <w:r>
                    <w:rPr>
                      <w:rFonts w:ascii="宋体" w:hAnsi="宋体" w:cs="宋体" w:eastAsia="宋体"/>
                      <w:sz w:val="18"/>
                    </w:rPr>
                    <w:t>8. 应支持用户在询问到某个办事的流程时，能主动回答出与该事务相关的办理流程信息；以及推送该事务的相关业务制度文件来源，并支持在线查看、下载该文件。（须提供该服务场景真实案例校的功能截图予以证明并加盖公章）</w:t>
                  </w:r>
                </w:p>
                <w:p>
                  <w:pPr>
                    <w:pStyle w:val="null3"/>
                    <w:ind w:firstLine="420"/>
                    <w:jc w:val="both"/>
                  </w:pPr>
                  <w:r>
                    <w:rPr>
                      <w:rFonts w:ascii="宋体" w:hAnsi="宋体" w:cs="宋体" w:eastAsia="宋体"/>
                      <w:sz w:val="18"/>
                    </w:rPr>
                    <w:t>9.支持配置多个机器人实体，并单独设置机器人名称、形象、欢迎语、使用大模型参数、机器人角色提示词、FAQ 知识库、文档知识库等信息；智能机器人支持配置多个渠道，如企业微信、服务号、浏览器等，并根据不同渠道自动生成机器人链接 URL；（须提供真实环境的功能截图予以证明并加盖公章）</w:t>
                  </w:r>
                </w:p>
                <w:p>
                  <w:pPr>
                    <w:pStyle w:val="null3"/>
                    <w:ind w:firstLine="420"/>
                    <w:jc w:val="both"/>
                  </w:pPr>
                  <w:r>
                    <w:rPr>
                      <w:rFonts w:ascii="宋体" w:hAnsi="宋体" w:cs="宋体" w:eastAsia="宋体"/>
                      <w:sz w:val="18"/>
                    </w:rPr>
                    <w:t>10.支持创建多种分类，由各分类的管理员独立维护文档知识；支持通过 API 方式导入文档，并可根据部门、用户、角色设置文档的检索权限，实现更加灵活的权限管理与系统集成；</w:t>
                  </w:r>
                </w:p>
                <w:p>
                  <w:pPr>
                    <w:pStyle w:val="null3"/>
                    <w:ind w:firstLine="420"/>
                    <w:jc w:val="both"/>
                  </w:pPr>
                  <w:r>
                    <w:rPr>
                      <w:rFonts w:ascii="宋体" w:hAnsi="宋体" w:cs="宋体" w:eastAsia="宋体"/>
                      <w:sz w:val="18"/>
                    </w:rPr>
                    <w:t>11.支持导入多种类型的文档，如word、txt、md和PDF等。导入时支持选择文档的适用对象和关联的机器人，明晰文档的使用边界；支持选择文档的分段方式，提供自动分段与手动添加分段标识符两种方式，提高文档检索的精准度和答案的准确度。（须提供真实环境的功能截图予以证明并加盖公章）</w:t>
                  </w:r>
                </w:p>
                <w:p>
                  <w:pPr>
                    <w:pStyle w:val="null3"/>
                    <w:ind w:firstLine="420"/>
                    <w:jc w:val="both"/>
                  </w:pPr>
                  <w:r>
                    <w:rPr>
                      <w:rFonts w:ascii="宋体" w:hAnsi="宋体" w:cs="宋体" w:eastAsia="宋体"/>
                      <w:sz w:val="18"/>
                    </w:rPr>
                    <w:t>12.支持统一维护用户意图及例句，并设置不同意图对应的工作流；</w:t>
                  </w:r>
                </w:p>
                <w:p>
                  <w:pPr>
                    <w:pStyle w:val="null3"/>
                    <w:ind w:firstLine="420"/>
                    <w:jc w:val="both"/>
                  </w:pPr>
                  <w:r>
                    <w:rPr>
                      <w:rFonts w:ascii="宋体" w:hAnsi="宋体" w:cs="宋体" w:eastAsia="宋体"/>
                      <w:sz w:val="18"/>
                    </w:rPr>
                    <w:t>13.支持查看指定时间段的问答记录，系统根据用户身份及对话过程显示本次完整的对话记录；支持查看用户不满意的问答记录，支持创建新的FAQ或维护已有的 FAQ。系统支持通过语义识别合并相似的不满意问答；支持查看无法回答的问答记录，支持创建新的 FAQ ；</w:t>
                  </w:r>
                </w:p>
                <w:p>
                  <w:pPr>
                    <w:pStyle w:val="null3"/>
                    <w:ind w:firstLine="420"/>
                    <w:jc w:val="both"/>
                  </w:pPr>
                  <w:r>
                    <w:rPr>
                      <w:rFonts w:ascii="宋体" w:hAnsi="宋体" w:cs="宋体" w:eastAsia="宋体"/>
                      <w:sz w:val="18"/>
                    </w:rPr>
                    <w:t>14.支持数据统计，包括使用数据：统计意见反馈数、热门/冷门问题排行榜、点赞/点踩排行榜。场景数据：统计在线办事、各类场景被提问的次数。部门数据：统计不同部门的总提问次数、提问知识包及其次数、提问问答及其次数；支持在任意时间段内，对提问量趋势进行折线图统计，对热门问题TOP榜、点赞问题TOP榜、点踩问题TOP榜、知识包命中数量进行集中展示。支持按照时间段统计大模型使用情况，包括调用次数、输入 token 数、输出 token 数、总token 数，使用大模型 token 数消耗人员 TOP榜排名等。</w:t>
                  </w:r>
                </w:p>
                <w:p>
                  <w:pPr>
                    <w:pStyle w:val="null3"/>
                    <w:ind w:firstLine="420"/>
                    <w:jc w:val="both"/>
                  </w:pPr>
                  <w:r>
                    <w:rPr>
                      <w:rFonts w:ascii="宋体" w:hAnsi="宋体" w:cs="宋体" w:eastAsia="宋体"/>
                      <w:sz w:val="18"/>
                    </w:rPr>
                    <w:t>15.要求提供AI助手相关著作权登记证书。</w:t>
                  </w:r>
                </w:p>
                <w:p>
                  <w:pPr>
                    <w:pStyle w:val="null3"/>
                    <w:ind w:firstLine="420"/>
                    <w:jc w:val="both"/>
                  </w:pPr>
                  <w:r>
                    <w:rPr>
                      <w:rFonts w:ascii="宋体" w:hAnsi="宋体" w:cs="宋体" w:eastAsia="宋体"/>
                      <w:sz w:val="18"/>
                    </w:rPr>
                    <w:t>16.为保障项目顺利实施，项目负责人应具备包含但不限于信息安全保障人员、信息系统项目管理师（高级）、全国专业标准化技术委员会委员、参与高等学校数字校园建设规范项目研制工作。</w:t>
                  </w:r>
                </w:p>
                <w:p>
                  <w:pPr>
                    <w:pStyle w:val="null3"/>
                    <w:ind w:firstLine="420"/>
                    <w:jc w:val="both"/>
                  </w:pPr>
                  <w:r>
                    <w:rPr>
                      <w:rFonts w:ascii="宋体" w:hAnsi="宋体" w:cs="宋体" w:eastAsia="宋体"/>
                      <w:sz w:val="18"/>
                    </w:rPr>
                    <w:t>17.投标人应承诺本次AI大模型原厂商提供≥2名工程师驻场不低于2年，以保障项目的顺利完成和达到预期效果。</w:t>
                  </w:r>
                </w:p>
                <w:p>
                  <w:pPr>
                    <w:pStyle w:val="null3"/>
                    <w:jc w:val="both"/>
                  </w:pPr>
                  <w:r>
                    <w:rPr>
                      <w:rFonts w:ascii="宋体" w:hAnsi="宋体" w:cs="宋体" w:eastAsia="宋体"/>
                      <w:sz w:val="18"/>
                    </w:rPr>
                    <w:t>汇聚交换模块：</w:t>
                  </w:r>
                  <w:r>
                    <w:rPr>
                      <w:rFonts w:ascii="宋体" w:hAnsi="宋体" w:cs="宋体" w:eastAsia="宋体"/>
                      <w:sz w:val="18"/>
                    </w:rPr>
                    <w:t>4个</w:t>
                  </w:r>
                </w:p>
                <w:p>
                  <w:pPr>
                    <w:pStyle w:val="null3"/>
                  </w:pPr>
                  <w:r>
                    <w:rPr/>
                    <w:t xml:space="preserve"> </w:t>
                  </w:r>
                </w:p>
                <w:p>
                  <w:pPr>
                    <w:pStyle w:val="null3"/>
                    <w:jc w:val="both"/>
                  </w:pPr>
                  <w:r>
                    <w:rPr>
                      <w:rFonts w:ascii="宋体" w:hAnsi="宋体" w:cs="宋体" w:eastAsia="宋体"/>
                      <w:sz w:val="18"/>
                    </w:rPr>
                    <w:t>1.交换容量≥4.8Tbps，包转发率≥2000Mpps；</w:t>
                  </w:r>
                </w:p>
                <w:p>
                  <w:pPr>
                    <w:pStyle w:val="null3"/>
                    <w:jc w:val="both"/>
                  </w:pPr>
                  <w:r>
                    <w:rPr>
                      <w:rFonts w:ascii="宋体" w:hAnsi="宋体" w:cs="宋体" w:eastAsia="宋体"/>
                      <w:sz w:val="18"/>
                    </w:rPr>
                    <w:t>2.10GE光端口数量≥48个，40GE光端口数量≥6个；</w:t>
                  </w:r>
                </w:p>
                <w:p>
                  <w:pPr>
                    <w:pStyle w:val="null3"/>
                    <w:jc w:val="both"/>
                  </w:pPr>
                  <w:r>
                    <w:rPr>
                      <w:rFonts w:ascii="宋体" w:hAnsi="宋体" w:cs="宋体" w:eastAsia="宋体"/>
                      <w:sz w:val="18"/>
                    </w:rPr>
                    <w:t>3.电源1+1备份，风扇模块≥4个，支持前后风道；</w:t>
                  </w:r>
                </w:p>
                <w:p>
                  <w:pPr>
                    <w:pStyle w:val="null3"/>
                    <w:jc w:val="both"/>
                  </w:pPr>
                  <w:r>
                    <w:rPr>
                      <w:rFonts w:ascii="宋体" w:hAnsi="宋体" w:cs="宋体" w:eastAsia="宋体"/>
                      <w:sz w:val="18"/>
                    </w:rPr>
                    <w:t>4.支持VxLAN功能，支持BGP EVPN，支持分布式 Anycast 网关；</w:t>
                  </w:r>
                </w:p>
                <w:p>
                  <w:pPr>
                    <w:pStyle w:val="null3"/>
                    <w:jc w:val="both"/>
                  </w:pPr>
                  <w:r>
                    <w:rPr>
                      <w:rFonts w:ascii="宋体" w:hAnsi="宋体" w:cs="宋体" w:eastAsia="宋体"/>
                      <w:sz w:val="18"/>
                    </w:rPr>
                    <w:t>5.支持M-LAG技术（跨框链路聚合，非堆叠等多虚一技术实现）；</w:t>
                  </w:r>
                </w:p>
                <w:p>
                  <w:pPr>
                    <w:pStyle w:val="null3"/>
                    <w:jc w:val="both"/>
                  </w:pPr>
                  <w:r>
                    <w:rPr>
                      <w:rFonts w:ascii="宋体" w:hAnsi="宋体" w:cs="宋体" w:eastAsia="宋体"/>
                      <w:sz w:val="18"/>
                    </w:rPr>
                    <w:t>6.支持静态路由、RIP V1/2、OSPF、IS-IS、BGP、RIPng、OSPFv3、BGP4+、ISISv6等IPv4及IPv6路由协议；</w:t>
                  </w:r>
                </w:p>
                <w:p>
                  <w:pPr>
                    <w:pStyle w:val="null3"/>
                    <w:jc w:val="both"/>
                  </w:pPr>
                  <w:r>
                    <w:rPr>
                      <w:rFonts w:ascii="宋体" w:hAnsi="宋体" w:cs="宋体" w:eastAsia="宋体"/>
                      <w:sz w:val="18"/>
                    </w:rPr>
                    <w:t>7.支持统一用户管理功能，支持802.1X/MAC等多种认证方式</w:t>
                  </w:r>
                </w:p>
                <w:p>
                  <w:pPr>
                    <w:pStyle w:val="null3"/>
                    <w:jc w:val="both"/>
                  </w:pPr>
                  <w:r>
                    <w:rPr>
                      <w:rFonts w:ascii="宋体" w:hAnsi="宋体" w:cs="宋体" w:eastAsia="宋体"/>
                      <w:sz w:val="18"/>
                    </w:rPr>
                    <w:t>8.支持 Telemetry 技术，实时采集设备数据并上送至网络分析组件平台；</w:t>
                  </w:r>
                </w:p>
                <w:p>
                  <w:pPr>
                    <w:pStyle w:val="null3"/>
                    <w:jc w:val="both"/>
                  </w:pPr>
                  <w:r>
                    <w:rPr>
                      <w:rFonts w:ascii="宋体" w:hAnsi="宋体" w:cs="宋体" w:eastAsia="宋体"/>
                      <w:sz w:val="18"/>
                    </w:rPr>
                    <w:t>9.支持真实业务流实时检测技术，能实时检测网络故障；</w:t>
                  </w:r>
                </w:p>
                <w:p>
                  <w:pPr>
                    <w:pStyle w:val="null3"/>
                    <w:jc w:val="both"/>
                  </w:pPr>
                  <w:r>
                    <w:rPr>
                      <w:rFonts w:ascii="宋体" w:hAnsi="宋体" w:cs="宋体" w:eastAsia="宋体"/>
                      <w:sz w:val="18"/>
                    </w:rPr>
                    <w:t>10.支持NetStream、SNMPv1/v2c/v3、RMON等协议；</w:t>
                  </w:r>
                </w:p>
                <w:p>
                  <w:pPr>
                    <w:pStyle w:val="null3"/>
                    <w:jc w:val="both"/>
                  </w:pPr>
                  <w:r>
                    <w:rPr>
                      <w:rFonts w:ascii="宋体" w:hAnsi="宋体" w:cs="宋体" w:eastAsia="宋体"/>
                      <w:sz w:val="18"/>
                    </w:rPr>
                    <w:t>11.提供万兆单模光模块5个，提供40G单模光模块1个，提供三年原厂维保服务。</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安全管理平台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信息安全应用创新平台项目（第二包：信息安全攻防演练创新应用平台）</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安全管理平台包含：</w:t>
                  </w:r>
                </w:p>
                <w:p>
                  <w:pPr>
                    <w:pStyle w:val="null3"/>
                    <w:jc w:val="both"/>
                  </w:pPr>
                  <w:r>
                    <w:rPr>
                      <w:rFonts w:ascii="宋体" w:hAnsi="宋体" w:cs="宋体" w:eastAsia="宋体"/>
                      <w:sz w:val="18"/>
                    </w:rPr>
                    <w:t>1.CPU≥8核，内存≥32G，硬盘≥2T，≥2个千兆光口，≥2个万兆光口;冗余电源模块;</w:t>
                  </w:r>
                </w:p>
                <w:p>
                  <w:pPr>
                    <w:pStyle w:val="null3"/>
                    <w:jc w:val="both"/>
                  </w:pPr>
                  <w:r>
                    <w:rPr>
                      <w:rFonts w:ascii="宋体" w:hAnsi="宋体" w:cs="宋体" w:eastAsia="宋体"/>
                      <w:sz w:val="18"/>
                    </w:rPr>
                    <w:t>2.支持根据域名、IP段、关键字进行信息资产探测，IP端口服务探测，以及对监测到的所有信息系统进行安全监测，支持监测的信息系统数量不少于1000个。（提供产品功能截图）</w:t>
                  </w:r>
                </w:p>
                <w:p>
                  <w:pPr>
                    <w:pStyle w:val="null3"/>
                    <w:jc w:val="both"/>
                  </w:pPr>
                  <w:r>
                    <w:rPr>
                      <w:rFonts w:ascii="宋体" w:hAnsi="宋体" w:cs="宋体" w:eastAsia="宋体"/>
                      <w:sz w:val="18"/>
                    </w:rPr>
                    <w:t>3.支持根据域名、IP/IP段、关键字、进行网站及Web应用资产探测，识别所有互联网侧的网站及Web应用系统。（提供产品功能截图）</w:t>
                  </w:r>
                </w:p>
                <w:p>
                  <w:pPr>
                    <w:pStyle w:val="null3"/>
                    <w:jc w:val="both"/>
                  </w:pPr>
                  <w:r>
                    <w:rPr>
                      <w:rFonts w:ascii="宋体" w:hAnsi="宋体" w:cs="宋体" w:eastAsia="宋体"/>
                      <w:sz w:val="18"/>
                    </w:rPr>
                    <w:t>4.支持对监测到的资产进行清晰分类，如域名资产、URL资产、可疑资产等。（提供产品功能截图）</w:t>
                  </w:r>
                </w:p>
                <w:p>
                  <w:pPr>
                    <w:pStyle w:val="null3"/>
                    <w:jc w:val="both"/>
                  </w:pPr>
                  <w:r>
                    <w:rPr>
                      <w:rFonts w:ascii="宋体" w:hAnsi="宋体" w:cs="宋体" w:eastAsia="宋体"/>
                      <w:sz w:val="18"/>
                    </w:rPr>
                    <w:t>5.支持对互联网存活IP、存活端口探测、高危端口分类标记及高危原因描述等。（提供产品功能截图）</w:t>
                  </w:r>
                </w:p>
                <w:p>
                  <w:pPr>
                    <w:pStyle w:val="null3"/>
                    <w:jc w:val="both"/>
                  </w:pPr>
                  <w:r>
                    <w:rPr>
                      <w:rFonts w:ascii="宋体" w:hAnsi="宋体" w:cs="宋体" w:eastAsia="宋体"/>
                      <w:sz w:val="18"/>
                    </w:rPr>
                    <w:t>6.支持对信息系统探测任务识别到的信息系统导入安全监测任务进行全面安全监测；支持监测网站及Web应用的可用性、篡改、敏感词、外链、错链、错词、漏洞等。支持对外链的分类监测，如非法外链、错误外链，支持展示外链可用性、外链详情，外链标题、外链来源，监控时间、是否包含敏感内容等。支持监测错词URL详情、错误词语、正确词语、监控时间等。支持监测篡改、变更，支持正常变更监测、篡改监测、通过算法识别正常变更或者页面篡改，并进行标记。支持监控实时数据展示，监控数据实时动态更新，支持周期任务历史数据展示。（提供产品功能截图）</w:t>
                  </w:r>
                </w:p>
                <w:p>
                  <w:pPr>
                    <w:pStyle w:val="null3"/>
                    <w:jc w:val="both"/>
                  </w:pPr>
                  <w:r>
                    <w:rPr>
                      <w:rFonts w:ascii="宋体" w:hAnsi="宋体" w:cs="宋体" w:eastAsia="宋体"/>
                      <w:sz w:val="18"/>
                    </w:rPr>
                    <w:t>7.支持攻击面管理数据的整体统计展示，统计展示监控的信息系统数量、恶意外链、敏感词、错词、错链数量等整体综述，以及各类数据统计图表展示。支持勾选相关站点以Excel格式导出所勾选的网站外链等所有监控结果数据。（提供产品功能截图）</w:t>
                  </w:r>
                </w:p>
                <w:p>
                  <w:pPr>
                    <w:pStyle w:val="null3"/>
                    <w:jc w:val="both"/>
                  </w:pPr>
                  <w:r>
                    <w:rPr>
                      <w:rFonts w:ascii="宋体" w:hAnsi="宋体" w:cs="宋体" w:eastAsia="宋体"/>
                      <w:sz w:val="18"/>
                    </w:rPr>
                    <w:t>8.支持信息系统探测任务、端口服务探测任务、网站安全监测任务独立执行。网站监测任务支持可用性、安全内容、安全漏洞等任务的单选或多选，支持监测页面变更或仅监测页面篡改。漏洞扫描任务支持调用第三方漏洞扫描器接口进行扫描。（提供产品功能截图）</w:t>
                  </w:r>
                </w:p>
                <w:p>
                  <w:pPr>
                    <w:pStyle w:val="null3"/>
                    <w:jc w:val="both"/>
                  </w:pPr>
                  <w:r>
                    <w:rPr>
                      <w:rFonts w:ascii="宋体" w:hAnsi="宋体" w:cs="宋体" w:eastAsia="宋体"/>
                      <w:sz w:val="18"/>
                    </w:rPr>
                    <w:t>9.支持根据单位名称、IP段、域名、URL、关键字、ICP备案号、图标等不少于7种方式作为检测源进行互联网暴露面监测，支持单次任务及周期任务监测；（提供产品功能截图）</w:t>
                  </w:r>
                </w:p>
                <w:p>
                  <w:pPr>
                    <w:pStyle w:val="null3"/>
                    <w:jc w:val="both"/>
                  </w:pPr>
                  <w:r>
                    <w:rPr>
                      <w:rFonts w:ascii="宋体" w:hAnsi="宋体" w:cs="宋体" w:eastAsia="宋体"/>
                      <w:sz w:val="18"/>
                    </w:rPr>
                    <w:t>10.支持对互联网存活IP、存活端口探测、高危端口分类标记及高危原因描述等。（提供产品功能截图）</w:t>
                  </w:r>
                </w:p>
                <w:p>
                  <w:pPr>
                    <w:pStyle w:val="null3"/>
                    <w:jc w:val="both"/>
                  </w:pPr>
                  <w:r>
                    <w:rPr>
                      <w:rFonts w:ascii="宋体" w:hAnsi="宋体" w:cs="宋体" w:eastAsia="宋体"/>
                      <w:sz w:val="18"/>
                    </w:rPr>
                    <w:t>11.支持对移动端应用介绍、应用来源、应用截图、微信号、公众号二维码等各类详情信息的监测。（提供产品功能截图）</w:t>
                  </w:r>
                </w:p>
                <w:p>
                  <w:pPr>
                    <w:pStyle w:val="null3"/>
                    <w:jc w:val="both"/>
                  </w:pPr>
                  <w:r>
                    <w:rPr>
                      <w:rFonts w:ascii="宋体" w:hAnsi="宋体" w:cs="宋体" w:eastAsia="宋体"/>
                      <w:sz w:val="18"/>
                    </w:rPr>
                    <w:t>12.支持对邮箱泄漏源、邮箱密码泄漏途径及泄露内容的监测。（提供产品功能截图）</w:t>
                  </w:r>
                </w:p>
                <w:p>
                  <w:pPr>
                    <w:pStyle w:val="null3"/>
                    <w:jc w:val="both"/>
                  </w:pPr>
                  <w:r>
                    <w:rPr>
                      <w:rFonts w:ascii="宋体" w:hAnsi="宋体" w:cs="宋体" w:eastAsia="宋体"/>
                      <w:sz w:val="18"/>
                    </w:rPr>
                    <w:t>13.支持对泄露代码文档的审阅标记，支持已审阅、未审阅标记，一旦用户查阅了相关信息，则进行已审阅标记，帮助用户进行泄露敏感文件的管理。（提供产品功能截图）</w:t>
                  </w:r>
                </w:p>
                <w:p>
                  <w:pPr>
                    <w:pStyle w:val="null3"/>
                    <w:jc w:val="both"/>
                  </w:pPr>
                  <w:r>
                    <w:rPr>
                      <w:rFonts w:ascii="宋体" w:hAnsi="宋体" w:cs="宋体" w:eastAsia="宋体"/>
                      <w:sz w:val="18"/>
                    </w:rPr>
                    <w:t>14.支持对目标单位相关人员等社会信息监测、如人员姓名、职位、所属单位、人员介绍等相关信息。（提供产品功能截图）</w:t>
                  </w:r>
                </w:p>
                <w:p>
                  <w:pPr>
                    <w:pStyle w:val="null3"/>
                    <w:jc w:val="both"/>
                  </w:pPr>
                  <w:r>
                    <w:rPr>
                      <w:rFonts w:ascii="宋体" w:hAnsi="宋体" w:cs="宋体" w:eastAsia="宋体"/>
                      <w:sz w:val="18"/>
                    </w:rPr>
                    <w:t>15.支持暗网数据泄露的事件描述、暗网链接详情等信息。支持匿名社交群Telgram数据泄露的事件描述、群号、消息发送人、消息内容、消息发送时间、涉及附件详情等信息。（提供产品功能截图）</w:t>
                  </w:r>
                </w:p>
                <w:p>
                  <w:pPr>
                    <w:pStyle w:val="null3"/>
                    <w:jc w:val="both"/>
                  </w:pPr>
                  <w:r>
                    <w:rPr>
                      <w:rFonts w:ascii="宋体" w:hAnsi="宋体" w:cs="宋体" w:eastAsia="宋体"/>
                      <w:sz w:val="18"/>
                    </w:rPr>
                    <w:t>16、提供三年原厂质保及一年驻场服务。协助并指导用户优化业务，完善安全体系，减少可见风险，并使操作员可以独立熟练操作。</w:t>
                  </w:r>
                </w:p>
                <w:p>
                  <w:pPr>
                    <w:pStyle w:val="null3"/>
                    <w:ind w:firstLine="360"/>
                    <w:jc w:val="both"/>
                  </w:pPr>
                  <w:r>
                    <w:rPr>
                      <w:rFonts w:ascii="宋体" w:hAnsi="宋体" w:cs="宋体" w:eastAsia="宋体"/>
                      <w:sz w:val="18"/>
                    </w:rPr>
                    <w:t>汇聚交换模块：</w:t>
                  </w:r>
                  <w:r>
                    <w:rPr>
                      <w:rFonts w:ascii="宋体" w:hAnsi="宋体" w:cs="宋体" w:eastAsia="宋体"/>
                      <w:sz w:val="18"/>
                    </w:rPr>
                    <w:t>1个</w:t>
                  </w:r>
                  <w:r>
                    <w:br/>
                  </w:r>
                  <w:r>
                    <w:rPr>
                      <w:rFonts w:ascii="宋体" w:hAnsi="宋体" w:cs="宋体" w:eastAsia="宋体"/>
                      <w:sz w:val="18"/>
                    </w:rPr>
                    <w:t>1.交换容量≥4.8Tbps，包转发率≥2000Mpps；</w:t>
                  </w:r>
                </w:p>
                <w:p>
                  <w:pPr>
                    <w:pStyle w:val="null3"/>
                    <w:jc w:val="both"/>
                  </w:pPr>
                  <w:r>
                    <w:rPr>
                      <w:rFonts w:ascii="宋体" w:hAnsi="宋体" w:cs="宋体" w:eastAsia="宋体"/>
                      <w:sz w:val="18"/>
                    </w:rPr>
                    <w:t>2.10GE光端口数量≥48个，40GE光端口数量≥6个；</w:t>
                  </w:r>
                </w:p>
                <w:p>
                  <w:pPr>
                    <w:pStyle w:val="null3"/>
                    <w:jc w:val="both"/>
                  </w:pPr>
                  <w:r>
                    <w:rPr>
                      <w:rFonts w:ascii="宋体" w:hAnsi="宋体" w:cs="宋体" w:eastAsia="宋体"/>
                      <w:sz w:val="18"/>
                    </w:rPr>
                    <w:t>3.电源1+1备份，风扇模块≥4个，支持前后风道；</w:t>
                  </w:r>
                </w:p>
                <w:p>
                  <w:pPr>
                    <w:pStyle w:val="null3"/>
                    <w:jc w:val="both"/>
                  </w:pPr>
                  <w:r>
                    <w:rPr>
                      <w:rFonts w:ascii="宋体" w:hAnsi="宋体" w:cs="宋体" w:eastAsia="宋体"/>
                      <w:sz w:val="18"/>
                    </w:rPr>
                    <w:t>4.支持VxLAN功能，支持BGP EVPN，支持分布式 Anycast 网关；</w:t>
                  </w:r>
                </w:p>
                <w:p>
                  <w:pPr>
                    <w:pStyle w:val="null3"/>
                    <w:jc w:val="both"/>
                  </w:pPr>
                  <w:r>
                    <w:rPr>
                      <w:rFonts w:ascii="宋体" w:hAnsi="宋体" w:cs="宋体" w:eastAsia="宋体"/>
                      <w:sz w:val="18"/>
                    </w:rPr>
                    <w:t>5.支持M-LAG技术（跨框链路聚合，非堆叠等多虚一技术实现）；</w:t>
                  </w:r>
                </w:p>
                <w:p>
                  <w:pPr>
                    <w:pStyle w:val="null3"/>
                    <w:jc w:val="both"/>
                  </w:pPr>
                  <w:r>
                    <w:rPr>
                      <w:rFonts w:ascii="宋体" w:hAnsi="宋体" w:cs="宋体" w:eastAsia="宋体"/>
                      <w:sz w:val="18"/>
                    </w:rPr>
                    <w:t>6.支持静态路由、RIP V1/2、OSPF、IS-IS、BGP、RIPng、OSPFv3、BGP4+、ISISv6等IPv4及IPv6路由协议；</w:t>
                  </w:r>
                </w:p>
                <w:p>
                  <w:pPr>
                    <w:pStyle w:val="null3"/>
                    <w:jc w:val="both"/>
                  </w:pPr>
                  <w:r>
                    <w:rPr>
                      <w:rFonts w:ascii="宋体" w:hAnsi="宋体" w:cs="宋体" w:eastAsia="宋体"/>
                      <w:sz w:val="18"/>
                    </w:rPr>
                    <w:t>7.支持统一用户管理功能，支持802.1X/MAC等多种认证方式</w:t>
                  </w:r>
                </w:p>
                <w:p>
                  <w:pPr>
                    <w:pStyle w:val="null3"/>
                    <w:jc w:val="both"/>
                  </w:pPr>
                  <w:r>
                    <w:rPr>
                      <w:rFonts w:ascii="宋体" w:hAnsi="宋体" w:cs="宋体" w:eastAsia="宋体"/>
                      <w:sz w:val="18"/>
                    </w:rPr>
                    <w:t>8.支持 Telemetry 技术，实时采集设备数据并上送至网络分析组件平台；</w:t>
                  </w:r>
                </w:p>
                <w:p>
                  <w:pPr>
                    <w:pStyle w:val="null3"/>
                    <w:jc w:val="both"/>
                  </w:pPr>
                  <w:r>
                    <w:rPr>
                      <w:rFonts w:ascii="宋体" w:hAnsi="宋体" w:cs="宋体" w:eastAsia="宋体"/>
                      <w:sz w:val="18"/>
                    </w:rPr>
                    <w:t>9.支持真实业务流实时检测技术，能实时检测网络故障；</w:t>
                  </w:r>
                </w:p>
                <w:p>
                  <w:pPr>
                    <w:pStyle w:val="null3"/>
                    <w:jc w:val="both"/>
                  </w:pPr>
                  <w:r>
                    <w:rPr>
                      <w:rFonts w:ascii="宋体" w:hAnsi="宋体" w:cs="宋体" w:eastAsia="宋体"/>
                      <w:sz w:val="18"/>
                    </w:rPr>
                    <w:t>10.支持NetStream、SNMPv1/v2c/v3、RMON等协议；</w:t>
                  </w:r>
                </w:p>
                <w:p>
                  <w:pPr>
                    <w:pStyle w:val="null3"/>
                    <w:jc w:val="both"/>
                  </w:pPr>
                  <w:r>
                    <w:rPr>
                      <w:rFonts w:ascii="宋体" w:hAnsi="宋体" w:cs="宋体" w:eastAsia="宋体"/>
                      <w:sz w:val="18"/>
                    </w:rPr>
                    <w:t>11.提供万兆单模光模块5个，提供40G单模光模块1个，提供三年原厂维保服务。</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智能应用网关</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信息安全应用创新平台项目（第二包：信息安全攻防演练创新应用平台）</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智能应用网关在校园网不仅提升了网络的接入效率和安全性，还通过其多功能集成为校园网络环境的优化和管理提供了全面的解决方案。</w:t>
                  </w:r>
                  <w:r>
                    <w:br/>
                  </w:r>
                  <w:r>
                    <w:rPr>
                      <w:rFonts w:ascii="宋体" w:hAnsi="宋体" w:cs="宋体" w:eastAsia="宋体"/>
                      <w:sz w:val="18"/>
                    </w:rPr>
                    <w:t>1.多链路负载均衡，部署在出口实现公网地址的转换、应用管控和多运营商的负载，并且在多校区通过SD-WAN技术和现有网关设备对接实现校区之间的互联互通；</w:t>
                  </w:r>
                  <w:r>
                    <w:br/>
                  </w:r>
                  <w:r>
                    <w:rPr>
                      <w:rFonts w:ascii="宋体" w:hAnsi="宋体" w:cs="宋体" w:eastAsia="宋体"/>
                      <w:sz w:val="18"/>
                    </w:rPr>
                    <w:t>2.具备上网行为的管控；</w:t>
                  </w:r>
                  <w:r>
                    <w:br/>
                  </w:r>
                  <w:r>
                    <w:rPr>
                      <w:rFonts w:ascii="宋体" w:hAnsi="宋体" w:cs="宋体" w:eastAsia="宋体"/>
                      <w:sz w:val="18"/>
                    </w:rPr>
                    <w:t>3.定位网络故障范围帮助解决远程教学中可能出现的视频卡顿；</w:t>
                  </w:r>
                  <w:r>
                    <w:br/>
                  </w:r>
                  <w:r>
                    <w:rPr>
                      <w:rFonts w:ascii="宋体" w:hAnsi="宋体" w:cs="宋体" w:eastAsia="宋体"/>
                      <w:sz w:val="18"/>
                    </w:rPr>
                    <w:t>4.优化源地址隶属于ISP进行权威DNS应答，优化域名解析过程，提高访问速度和效率；</w:t>
                  </w:r>
                  <w:r>
                    <w:br/>
                  </w:r>
                  <w:r>
                    <w:rPr>
                      <w:rFonts w:ascii="宋体" w:hAnsi="宋体" w:cs="宋体" w:eastAsia="宋体"/>
                      <w:sz w:val="18"/>
                    </w:rPr>
                    <w:t>5.</w:t>
                  </w:r>
                  <w:r>
                    <w:rPr>
                      <w:rFonts w:ascii="calibri" w:hAnsi="calibri" w:cs="calibri" w:eastAsia="calibri"/>
                      <w:sz w:val="21"/>
                    </w:rPr>
                    <w:t xml:space="preserve"> </w:t>
                  </w:r>
                  <w:r>
                    <w:rPr>
                      <w:rFonts w:ascii="宋体" w:hAnsi="宋体" w:cs="宋体" w:eastAsia="宋体"/>
                      <w:sz w:val="18"/>
                    </w:rPr>
                    <w:t>NAT模式下单WAN IP并发会话数≥90万，整机真实应用层处理能力≥40Gbps，并发IP数≥3.5万，每秒新建会话数≥200万/秒，PPS≥1000万；</w:t>
                  </w:r>
                  <w:r>
                    <w:br/>
                  </w:r>
                  <w:r>
                    <w:rPr>
                      <w:rFonts w:ascii="宋体" w:hAnsi="宋体" w:cs="宋体" w:eastAsia="宋体"/>
                      <w:sz w:val="18"/>
                    </w:rPr>
                    <w:t>6.接口数量：10Gbps≥8,40Gbps≥2；配置相应模块；</w:t>
                  </w:r>
                  <w:r>
                    <w:br/>
                  </w:r>
                  <w:r>
                    <w:rPr>
                      <w:rFonts w:ascii="宋体" w:hAnsi="宋体" w:cs="宋体" w:eastAsia="宋体"/>
                      <w:sz w:val="18"/>
                    </w:rPr>
                    <w:t>7.支持双OS备份，自动切换，切换时间≤50毫秒，支持电口bypass，软件bypass，配置策略不需重新启动；</w:t>
                  </w:r>
                  <w:r>
                    <w:br/>
                  </w:r>
                  <w:r>
                    <w:rPr>
                      <w:rFonts w:ascii="宋体" w:hAnsi="宋体" w:cs="宋体" w:eastAsia="宋体"/>
                      <w:sz w:val="18"/>
                    </w:rPr>
                    <w:t>8.支持对IPv4和IPv6的2-7层流量的应用识别能力，识别率95%以上，对于七层应用流量识别精度应符合原子性，比如HTTP协议、WEB视频，能够逐级细分至应用的最小颗粒度；</w:t>
                  </w:r>
                  <w:r>
                    <w:br/>
                  </w:r>
                  <w:r>
                    <w:rPr>
                      <w:rFonts w:ascii="宋体" w:hAnsi="宋体" w:cs="宋体" w:eastAsia="宋体"/>
                      <w:sz w:val="18"/>
                    </w:rPr>
                    <w:t>9.提供但不限于特定IP、特定域名、特定应用、特定协议的客户时延、服务时延、应用时延分析；</w:t>
                  </w:r>
                </w:p>
                <w:p>
                  <w:pPr>
                    <w:pStyle w:val="null3"/>
                    <w:jc w:val="both"/>
                  </w:pPr>
                  <w:r>
                    <w:rPr>
                      <w:rFonts w:ascii="宋体" w:hAnsi="宋体" w:cs="宋体" w:eastAsia="宋体"/>
                      <w:sz w:val="18"/>
                    </w:rPr>
                    <w:t>10.具备网络质量监测能力，能够针对校园网内的用户访问各类应用提出的网络投诉请求进行判别是否是校内问题或者是运营商链路问题或者是内容提供商所导致；</w:t>
                  </w:r>
                </w:p>
                <w:p>
                  <w:pPr>
                    <w:pStyle w:val="null3"/>
                    <w:jc w:val="both"/>
                  </w:pPr>
                  <w:r>
                    <w:rPr>
                      <w:rFonts w:ascii="宋体" w:hAnsi="宋体" w:cs="宋体" w:eastAsia="宋体"/>
                      <w:sz w:val="18"/>
                    </w:rPr>
                    <w:t>11.基于网络质量的监控，可以实现五元组地址信息、网络应用、域名进行路由选路，降低网络投诉等问题；</w:t>
                  </w:r>
                </w:p>
                <w:p>
                  <w:pPr>
                    <w:pStyle w:val="null3"/>
                    <w:jc w:val="both"/>
                  </w:pPr>
                  <w:r>
                    <w:rPr>
                      <w:rFonts w:ascii="宋体" w:hAnsi="宋体" w:cs="宋体" w:eastAsia="宋体"/>
                      <w:sz w:val="18"/>
                    </w:rPr>
                    <w:t>12.能够和校内现有认证计费系统做对接，实现基于用户的流量管理及负载选路；</w:t>
                  </w:r>
                </w:p>
                <w:p>
                  <w:pPr>
                    <w:pStyle w:val="null3"/>
                    <w:jc w:val="both"/>
                  </w:pPr>
                  <w:r>
                    <w:rPr>
                      <w:rFonts w:ascii="宋体" w:hAnsi="宋体" w:cs="宋体" w:eastAsia="宋体"/>
                      <w:sz w:val="18"/>
                    </w:rPr>
                    <w:t>13.支持代拨功能；</w:t>
                  </w:r>
                </w:p>
                <w:p>
                  <w:pPr>
                    <w:pStyle w:val="null3"/>
                    <w:jc w:val="both"/>
                  </w:pPr>
                  <w:r>
                    <w:rPr>
                      <w:rFonts w:ascii="宋体" w:hAnsi="宋体" w:cs="宋体" w:eastAsia="宋体"/>
                      <w:sz w:val="18"/>
                    </w:rPr>
                    <w:t>14.能够及时检测通过路由共享上网的PC个数,能够检测出路由器后PC所使用的Windows版本类型, 可以根据PC终端个数做条件，对流量做识别检测;可根据时间和在线用户数等条件使用不同的策略组来控制流量；支持单条策略总控和单IP限速，可分别设置总控带宽和单IP带宽，可设置为一个具体的数值；</w:t>
                  </w:r>
                </w:p>
                <w:p>
                  <w:pPr>
                    <w:pStyle w:val="null3"/>
                    <w:jc w:val="both"/>
                  </w:pPr>
                  <w:r>
                    <w:rPr>
                      <w:rFonts w:ascii="宋体" w:hAnsi="宋体" w:cs="宋体" w:eastAsia="宋体"/>
                      <w:sz w:val="18"/>
                    </w:rPr>
                    <w:t>15.满足公安等网络监管部门对于上网行为日志、网络NAT地址转换日志的查询流程的政策性要求；</w:t>
                  </w:r>
                </w:p>
                <w:p>
                  <w:pPr>
                    <w:pStyle w:val="null3"/>
                    <w:jc w:val="both"/>
                  </w:pPr>
                  <w:r>
                    <w:rPr>
                      <w:rFonts w:ascii="宋体" w:hAnsi="宋体" w:cs="宋体" w:eastAsia="宋体"/>
                      <w:sz w:val="18"/>
                    </w:rPr>
                    <w:t>16.可根据不同组织创建可继承ipv6地址整体规划的方案，以方案纬度查看每个ipv6规划及使用地图；与网络设备进行联动，可将设备的基础信息进行实时刷新获取（包括：系统名称，设备型号，接口状态，接口描述，接口速率等）；与主流网络设备联动，实现终端的准入控制;</w:t>
                  </w:r>
                </w:p>
                <w:p>
                  <w:pPr>
                    <w:pStyle w:val="null3"/>
                    <w:jc w:val="both"/>
                  </w:pPr>
                  <w:r>
                    <w:rPr>
                      <w:rFonts w:ascii="宋体" w:hAnsi="宋体" w:cs="宋体" w:eastAsia="宋体"/>
                      <w:sz w:val="18"/>
                    </w:rPr>
                    <w:t>17.系统永久授权，不低于三年全功能模块软硬件质保升级服务。</w:t>
                  </w:r>
                  <w:r>
                    <w:br/>
                  </w:r>
                  <w:r>
                    <w:rPr>
                      <w:rFonts w:ascii="宋体" w:hAnsi="宋体" w:cs="宋体" w:eastAsia="宋体"/>
                      <w:sz w:val="18"/>
                    </w:rPr>
                    <w:t>汇聚交换模块：</w:t>
                  </w:r>
                  <w:r>
                    <w:rPr>
                      <w:rFonts w:ascii="宋体" w:hAnsi="宋体" w:cs="宋体" w:eastAsia="宋体"/>
                      <w:sz w:val="18"/>
                    </w:rPr>
                    <w:t>3个</w:t>
                  </w:r>
                  <w:r>
                    <w:br/>
                  </w:r>
                  <w:r>
                    <w:rPr>
                      <w:rFonts w:ascii="宋体" w:hAnsi="宋体" w:cs="宋体" w:eastAsia="宋体"/>
                      <w:sz w:val="18"/>
                    </w:rPr>
                    <w:t>1.交换容量≥4.8Tbps，包转发率≥2000Mpps；</w:t>
                  </w:r>
                </w:p>
                <w:p>
                  <w:pPr>
                    <w:pStyle w:val="null3"/>
                    <w:jc w:val="both"/>
                  </w:pPr>
                  <w:r>
                    <w:rPr>
                      <w:rFonts w:ascii="宋体" w:hAnsi="宋体" w:cs="宋体" w:eastAsia="宋体"/>
                      <w:sz w:val="18"/>
                    </w:rPr>
                    <w:t>2.10GE光端口数量≥48个，40GE光端口数量≥6个；</w:t>
                  </w:r>
                </w:p>
                <w:p>
                  <w:pPr>
                    <w:pStyle w:val="null3"/>
                    <w:jc w:val="both"/>
                  </w:pPr>
                  <w:r>
                    <w:rPr>
                      <w:rFonts w:ascii="宋体" w:hAnsi="宋体" w:cs="宋体" w:eastAsia="宋体"/>
                      <w:sz w:val="18"/>
                    </w:rPr>
                    <w:t>3.电源1+1备份，风扇模块≥4个，支持前后风道；</w:t>
                  </w:r>
                </w:p>
                <w:p>
                  <w:pPr>
                    <w:pStyle w:val="null3"/>
                    <w:jc w:val="both"/>
                  </w:pPr>
                  <w:r>
                    <w:rPr>
                      <w:rFonts w:ascii="宋体" w:hAnsi="宋体" w:cs="宋体" w:eastAsia="宋体"/>
                      <w:sz w:val="18"/>
                    </w:rPr>
                    <w:t>4.支持VxLAN功能，支持BGP EVPN，支持分布式 Anycast 网关；</w:t>
                  </w:r>
                </w:p>
                <w:p>
                  <w:pPr>
                    <w:pStyle w:val="null3"/>
                    <w:jc w:val="both"/>
                  </w:pPr>
                  <w:r>
                    <w:rPr>
                      <w:rFonts w:ascii="宋体" w:hAnsi="宋体" w:cs="宋体" w:eastAsia="宋体"/>
                      <w:sz w:val="18"/>
                    </w:rPr>
                    <w:t>5.支持M-LAG技术（跨框链路聚合，非堆叠等多虚一技术实现）；</w:t>
                  </w:r>
                </w:p>
                <w:p>
                  <w:pPr>
                    <w:pStyle w:val="null3"/>
                    <w:jc w:val="both"/>
                  </w:pPr>
                  <w:r>
                    <w:rPr>
                      <w:rFonts w:ascii="宋体" w:hAnsi="宋体" w:cs="宋体" w:eastAsia="宋体"/>
                      <w:sz w:val="18"/>
                    </w:rPr>
                    <w:t>6.支持静态路由、RIP V1/2、OSPF、IS-IS、BGP、RIPng、OSPFv3、BGP4+、ISISv6等IPv4及IPv6路由协议；</w:t>
                  </w:r>
                </w:p>
                <w:p>
                  <w:pPr>
                    <w:pStyle w:val="null3"/>
                    <w:jc w:val="both"/>
                  </w:pPr>
                  <w:r>
                    <w:rPr>
                      <w:rFonts w:ascii="宋体" w:hAnsi="宋体" w:cs="宋体" w:eastAsia="宋体"/>
                      <w:sz w:val="18"/>
                    </w:rPr>
                    <w:t>7.支持统一用户管理功能，支持802.1X/MAC等多种认证方式</w:t>
                  </w:r>
                </w:p>
                <w:p>
                  <w:pPr>
                    <w:pStyle w:val="null3"/>
                    <w:jc w:val="both"/>
                  </w:pPr>
                  <w:r>
                    <w:rPr>
                      <w:rFonts w:ascii="宋体" w:hAnsi="宋体" w:cs="宋体" w:eastAsia="宋体"/>
                      <w:sz w:val="18"/>
                    </w:rPr>
                    <w:t>8.支持 Telemetry 技术，实时采集设备数据并上送至网络分析组件平台；</w:t>
                  </w:r>
                </w:p>
                <w:p>
                  <w:pPr>
                    <w:pStyle w:val="null3"/>
                    <w:jc w:val="both"/>
                  </w:pPr>
                  <w:r>
                    <w:rPr>
                      <w:rFonts w:ascii="宋体" w:hAnsi="宋体" w:cs="宋体" w:eastAsia="宋体"/>
                      <w:sz w:val="18"/>
                    </w:rPr>
                    <w:t>9.支持真实业务流实时检测技术，能实时检测网络故障；</w:t>
                  </w:r>
                </w:p>
                <w:p>
                  <w:pPr>
                    <w:pStyle w:val="null3"/>
                    <w:jc w:val="both"/>
                  </w:pPr>
                  <w:r>
                    <w:rPr>
                      <w:rFonts w:ascii="宋体" w:hAnsi="宋体" w:cs="宋体" w:eastAsia="宋体"/>
                      <w:sz w:val="18"/>
                    </w:rPr>
                    <w:t>10.支持NetStream、SNMPv1/v2c/v3、RMON等协议；</w:t>
                  </w:r>
                </w:p>
                <w:p>
                  <w:pPr>
                    <w:pStyle w:val="null3"/>
                    <w:jc w:val="both"/>
                  </w:pPr>
                  <w:r>
                    <w:rPr>
                      <w:rFonts w:ascii="宋体" w:hAnsi="宋体" w:cs="宋体" w:eastAsia="宋体"/>
                      <w:sz w:val="18"/>
                    </w:rPr>
                    <w:t>11.提供万兆单模光模块5个，提供40G单模光模块1个，提供三年原厂维保服务。</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二次鉴权流量态势感知</w:t>
                  </w:r>
                </w:p>
                <w:p>
                  <w:pPr>
                    <w:pStyle w:val="null3"/>
                    <w:jc w:val="center"/>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信息安全应用创新平台项目（第二包：信息安全攻防演练创新应用平台）</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流量态势感知：</w:t>
                  </w:r>
                </w:p>
                <w:p>
                  <w:pPr>
                    <w:pStyle w:val="null3"/>
                    <w:jc w:val="both"/>
                  </w:pPr>
                  <w:r>
                    <w:rPr>
                      <w:rFonts w:ascii="宋体" w:hAnsi="宋体" w:cs="宋体" w:eastAsia="宋体"/>
                      <w:sz w:val="18"/>
                    </w:rPr>
                    <w:t>1.≥256G内存，≥480G固态硬盘，≥24T企业级机械硬盘，≥2*GE电口，≥2*10GE光口，冗余电源。</w:t>
                  </w:r>
                </w:p>
                <w:p>
                  <w:pPr>
                    <w:pStyle w:val="null3"/>
                    <w:jc w:val="both"/>
                  </w:pPr>
                  <w:r>
                    <w:rPr>
                      <w:rFonts w:ascii="宋体" w:hAnsi="宋体" w:cs="宋体" w:eastAsia="宋体"/>
                      <w:sz w:val="18"/>
                    </w:rPr>
                    <w:t>2.支持通过漏洞利用攻击检测模型，对命令执行、XML实体注入、未授权访问、权限绕过、解析漏洞、非Web攻击、SQL、XSS、CSRF、SSRF、拒绝服务、后门、反序列化、代码执行、代码注入、文件上传、权限不当、信息泄漏、未授权访问、不安全的配置、XXE、Xpath注入、LDAP注入、目录穿越、扫描器探测、水平权限绕过、垂直权限绕过、文件修改、文件读取、文件删除、逻辑错误、CRLF注入、模版注入、点击劫持、缓冲区溢出、整数溢出、格式化字符串、条件竞争、超时等漏洞利用攻击行为进行深度检测，并输出安全事件（提供产品功能截图证明并加盖公章）</w:t>
                  </w:r>
                </w:p>
                <w:p>
                  <w:pPr>
                    <w:pStyle w:val="null3"/>
                    <w:jc w:val="both"/>
                  </w:pPr>
                  <w:r>
                    <w:rPr>
                      <w:rFonts w:ascii="宋体" w:hAnsi="宋体" w:cs="宋体" w:eastAsia="宋体"/>
                      <w:sz w:val="18"/>
                    </w:rPr>
                    <w:t>3.支持基于语义分析的漏洞利用检测，对sql注入、XSS、命令注入行为进行语义分析检测，并输出安全事件（提供产品功能截图证明并加盖公章）</w:t>
                  </w:r>
                </w:p>
                <w:p>
                  <w:pPr>
                    <w:pStyle w:val="null3"/>
                    <w:jc w:val="both"/>
                  </w:pPr>
                  <w:r>
                    <w:rPr>
                      <w:rFonts w:ascii="宋体" w:hAnsi="宋体" w:cs="宋体" w:eastAsia="宋体"/>
                      <w:sz w:val="18"/>
                    </w:rPr>
                    <w:t>4.支持各类扫描、漏洞利用、远控、横向移动、webshell、权限维持工具检测，检测工具类型不少于260种；（提供产品功能截图证明并加盖公章）</w:t>
                  </w:r>
                </w:p>
                <w:p>
                  <w:pPr>
                    <w:pStyle w:val="null3"/>
                    <w:jc w:val="both"/>
                  </w:pPr>
                  <w:r>
                    <w:rPr>
                      <w:rFonts w:ascii="宋体" w:hAnsi="宋体" w:cs="宋体" w:eastAsia="宋体"/>
                      <w:sz w:val="18"/>
                    </w:rPr>
                    <w:t>5.支持自动识别登录入口，包含OA、CMS、中间件、管理工具等Web页面，TELNET、RDP、VNC等远程控制工具，MYSQL、PGSQL、REDIS、MSSQL等数据库访问，FTP等文件共享，POP3、IMAP、SMTP等邮件传输登录入口（提供产品功能截图证明并加盖公章）</w:t>
                  </w:r>
                </w:p>
                <w:p>
                  <w:pPr>
                    <w:pStyle w:val="null3"/>
                    <w:jc w:val="both"/>
                  </w:pPr>
                  <w:r>
                    <w:rPr>
                      <w:rFonts w:ascii="宋体" w:hAnsi="宋体" w:cs="宋体" w:eastAsia="宋体"/>
                      <w:sz w:val="18"/>
                    </w:rPr>
                    <w:t>6.支持恶意文件专项检测，可实时查看恶意文件数量变化趋势；支持内置不少于5个杀毒引擎；支持对恶意文件进行检测，检测的恶意文件类型包括但不限于：病毒、木马、蠕虫、钓鱼程序、黑客工具、漏洞利用代码、恶意宏文档等。检测结果须给出详细的恶意文件事件描述和解决方案，可查看恶意文件类型、文件MD5、文件路径、文件大小等详情信息，支持下载样本文件进行分析（提供产品功能截图证明并加盖公章）</w:t>
                  </w:r>
                </w:p>
                <w:p>
                  <w:pPr>
                    <w:pStyle w:val="null3"/>
                    <w:jc w:val="both"/>
                  </w:pPr>
                  <w:r>
                    <w:rPr>
                      <w:rFonts w:ascii="宋体" w:hAnsi="宋体" w:cs="宋体" w:eastAsia="宋体"/>
                      <w:sz w:val="18"/>
                    </w:rPr>
                    <w:t>7.支持webshell专项检测，可查看webshell攻击数量变化趋势，能够详细展示webshell文件路径、发现时间以及webshell文件详情信息，给出详细的webshell事件描述和解决方案。支持检测的文件类型包含且不限于PHP、java、asp、aspx、jsp、jspx、class、war等格式，可查看文件详情信息和下载样本文件进行分析（提供产品功能截图证明并加盖公章）</w:t>
                  </w:r>
                </w:p>
                <w:p>
                  <w:pPr>
                    <w:pStyle w:val="null3"/>
                    <w:jc w:val="both"/>
                  </w:pPr>
                  <w:r>
                    <w:rPr>
                      <w:rFonts w:ascii="宋体" w:hAnsi="宋体" w:cs="宋体" w:eastAsia="宋体"/>
                      <w:sz w:val="18"/>
                    </w:rPr>
                    <w:t>8.支持从攻击者、受害者、威胁类型、威胁名称等多个视角对威胁事件进行自动聚合;支持两层聚合，在第一次聚合之后可按照攻击者、受害者、威胁类型、威胁名称进行二次自定义聚合，支持根据攻击阶段和攻击结果等快速筛选查看（提供产品功能截图证明并加盖公章）</w:t>
                  </w:r>
                </w:p>
                <w:p>
                  <w:pPr>
                    <w:pStyle w:val="null3"/>
                    <w:jc w:val="both"/>
                  </w:pPr>
                  <w:r>
                    <w:rPr>
                      <w:rFonts w:ascii="宋体" w:hAnsi="宋体" w:cs="宋体" w:eastAsia="宋体"/>
                      <w:sz w:val="18"/>
                    </w:rPr>
                    <w:t>9.支持与同品牌的WAF产品联动，将检测到的攻击会话下发到WAF做快速阻断处置（提供产品功能截图证明并加盖公章）</w:t>
                  </w:r>
                </w:p>
                <w:p>
                  <w:pPr>
                    <w:pStyle w:val="null3"/>
                    <w:jc w:val="both"/>
                  </w:pPr>
                  <w:r>
                    <w:rPr>
                      <w:rFonts w:ascii="宋体" w:hAnsi="宋体" w:cs="宋体" w:eastAsia="宋体"/>
                      <w:sz w:val="18"/>
                    </w:rPr>
                    <w:t>10.支持网络层引流，将检测到的攻击会话进行编排并联动WAF网关引流到蜜罐系统进行攻击诱捕和溯源反制，提高攻击防御能力（提供产品功能截图证明并加盖公章）</w:t>
                  </w:r>
                </w:p>
                <w:p>
                  <w:pPr>
                    <w:pStyle w:val="null3"/>
                    <w:jc w:val="both"/>
                  </w:pPr>
                  <w:r>
                    <w:rPr>
                      <w:rFonts w:ascii="宋体" w:hAnsi="宋体" w:cs="宋体" w:eastAsia="宋体"/>
                      <w:sz w:val="18"/>
                    </w:rPr>
                    <w:t>11.具备《网络关键设备和网络安全专用产品安全认证证书》；（提供证明并加盖厂商公章）</w:t>
                  </w:r>
                </w:p>
                <w:p>
                  <w:pPr>
                    <w:pStyle w:val="null3"/>
                    <w:jc w:val="both"/>
                  </w:pPr>
                  <w:r>
                    <w:rPr>
                      <w:rFonts w:ascii="宋体" w:hAnsi="宋体" w:cs="宋体" w:eastAsia="宋体"/>
                      <w:sz w:val="18"/>
                    </w:rPr>
                    <w:t>12.具备《IPv6 Ready Logo认证》；（提供证明并加盖公章）</w:t>
                  </w:r>
                </w:p>
                <w:p>
                  <w:pPr>
                    <w:pStyle w:val="null3"/>
                    <w:jc w:val="both"/>
                  </w:pPr>
                  <w:r>
                    <w:rPr>
                      <w:rFonts w:ascii="宋体" w:hAnsi="宋体" w:cs="宋体" w:eastAsia="宋体"/>
                      <w:sz w:val="18"/>
                    </w:rPr>
                    <w:t>13.产品适配国产化平台及操作系统，提供以下认证证书：麒麟软件NeoCertify认证、海光CPU生态兼容性认、统信操作系统适配认证；（提供证明并加盖公章）</w:t>
                  </w:r>
                </w:p>
                <w:p>
                  <w:pPr>
                    <w:pStyle w:val="null3"/>
                    <w:jc w:val="both"/>
                  </w:pPr>
                  <w:r>
                    <w:rPr>
                      <w:rFonts w:ascii="宋体" w:hAnsi="宋体" w:cs="宋体" w:eastAsia="宋体"/>
                      <w:sz w:val="18"/>
                    </w:rPr>
                    <w:t>二次鉴权模块：</w:t>
                  </w:r>
                  <w:r>
                    <w:br/>
                  </w:r>
                  <w:r>
                    <w:rPr>
                      <w:rFonts w:ascii="宋体" w:hAnsi="宋体" w:cs="宋体" w:eastAsia="宋体"/>
                      <w:sz w:val="18"/>
                    </w:rPr>
                    <w:t>1.支持802.1x认证、MAC认证、 Portal认证、短信认证、二维码认证、访客自注册认证、微信认证、无感知认证等；支持查看内容报表；支持自服务平台；支持远程更新；</w:t>
                  </w:r>
                  <w:r>
                    <w:br/>
                  </w:r>
                  <w:r>
                    <w:rPr>
                      <w:rFonts w:ascii="宋体" w:hAnsi="宋体" w:cs="宋体" w:eastAsia="宋体"/>
                      <w:sz w:val="18"/>
                    </w:rPr>
                    <w:t>2.提供TOTP秘钥设置自服务，提供TOTP微信小程序，实现TOTP双因素认证支持数据源提取定制属性，填充信息方式，实现DICT双因素认证;</w:t>
                  </w:r>
                  <w:r>
                    <w:br/>
                  </w:r>
                  <w:r>
                    <w:rPr>
                      <w:rFonts w:ascii="宋体" w:hAnsi="宋体" w:cs="宋体" w:eastAsia="宋体"/>
                      <w:sz w:val="18"/>
                    </w:rPr>
                    <w:t>3.支持ASCII的MFA二次认证，包括短信，邮件，TOTP，DICT双因素认证方式；支持多认证策略定制编排支持根据DS不同用户属性设置授权策略；支持认证跟踪功能，提供流程可视化；</w:t>
                  </w:r>
                  <w:r>
                    <w:br/>
                  </w:r>
                  <w:r>
                    <w:rPr>
                      <w:rFonts w:ascii="宋体" w:hAnsi="宋体" w:cs="宋体" w:eastAsia="宋体"/>
                      <w:sz w:val="18"/>
                    </w:rPr>
                    <w:t>4.支持SMAL2方式实现SS0统一接入；支持0AUTH2方式实现SS0统一接入支持SS0对接AD、LDAP、SQLDB数据源；支持数据源提取手机号码，通过SMS短信实现短信双因素认证支持数据源提取邮箱信息，通过MAIL实现邮件双因素认证提供TOTP秘钥设置自服务，提供TOTP微信小程序，实现TOTP双因素认证支持数据源提取定制属性，填充信息方式，实现DICT双因素认证；支持MFA因子长度，有效期可设置支持动态MFA策略，检测客户端接入环境变化，触发MFA；</w:t>
                  </w:r>
                  <w:r>
                    <w:br/>
                  </w:r>
                  <w:r>
                    <w:rPr>
                      <w:rFonts w:ascii="宋体" w:hAnsi="宋体" w:cs="宋体" w:eastAsia="宋体"/>
                      <w:sz w:val="18"/>
                    </w:rPr>
                    <w:t>5.支持TACACS+ ASCII认证方式；支持TACACS+ PAP认证方式；支持本地数据库，MySQL，PostgresQL，0racle,sQLlite,Microsoft SQl Server，AD,LDAP等数据源；</w:t>
                  </w:r>
                </w:p>
                <w:p>
                  <w:pPr>
                    <w:pStyle w:val="null3"/>
                    <w:jc w:val="both"/>
                  </w:pPr>
                  <w:r>
                    <w:rPr>
                      <w:rFonts w:ascii="宋体" w:hAnsi="宋体" w:cs="宋体" w:eastAsia="宋体"/>
                      <w:sz w:val="18"/>
                    </w:rPr>
                    <w:t>汇聚交换模块</w:t>
                  </w:r>
                  <w:r>
                    <w:rPr>
                      <w:rFonts w:ascii="宋体" w:hAnsi="宋体" w:cs="宋体" w:eastAsia="宋体"/>
                      <w:sz w:val="18"/>
                    </w:rPr>
                    <w:t>5个：</w:t>
                  </w:r>
                  <w:r>
                    <w:br/>
                  </w:r>
                  <w:r>
                    <w:rPr>
                      <w:rFonts w:ascii="宋体" w:hAnsi="宋体" w:cs="宋体" w:eastAsia="宋体"/>
                      <w:sz w:val="18"/>
                    </w:rPr>
                    <w:t>1.交换容量≥4.8Tbps，包转发率≥2000Mpps；</w:t>
                  </w:r>
                  <w:r>
                    <w:br/>
                  </w:r>
                  <w:r>
                    <w:rPr>
                      <w:rFonts w:ascii="宋体" w:hAnsi="宋体" w:cs="宋体" w:eastAsia="宋体"/>
                      <w:sz w:val="18"/>
                    </w:rPr>
                    <w:t>2.10GE光端口数量≥48个，40GE光端口数量≥6个；</w:t>
                  </w:r>
                  <w:r>
                    <w:br/>
                  </w:r>
                  <w:r>
                    <w:rPr>
                      <w:rFonts w:ascii="宋体" w:hAnsi="宋体" w:cs="宋体" w:eastAsia="宋体"/>
                      <w:sz w:val="18"/>
                    </w:rPr>
                    <w:t>3.电源1+1备份，风扇模块≥4个，支持前后风道；</w:t>
                  </w:r>
                  <w:r>
                    <w:br/>
                  </w:r>
                  <w:r>
                    <w:rPr>
                      <w:rFonts w:ascii="宋体" w:hAnsi="宋体" w:cs="宋体" w:eastAsia="宋体"/>
                      <w:sz w:val="18"/>
                    </w:rPr>
                    <w:t>4.支持VxLAN功能，支持BGP EVPN，支持分布式 Anycast 网关；</w:t>
                  </w:r>
                  <w:r>
                    <w:br/>
                  </w:r>
                  <w:r>
                    <w:rPr>
                      <w:rFonts w:ascii="宋体" w:hAnsi="宋体" w:cs="宋体" w:eastAsia="宋体"/>
                      <w:sz w:val="18"/>
                    </w:rPr>
                    <w:t>5.支持M-LAG技术（跨框链路聚合，非堆叠等多虚一技术实现）；</w:t>
                  </w:r>
                  <w:r>
                    <w:br/>
                  </w:r>
                  <w:r>
                    <w:rPr>
                      <w:rFonts w:ascii="宋体" w:hAnsi="宋体" w:cs="宋体" w:eastAsia="宋体"/>
                      <w:sz w:val="18"/>
                    </w:rPr>
                    <w:t>6.支持静态路由、RIP V1/2、OSPF、IS-IS、BGP、RIPng、OSPFv3、BGP4+、ISISv6等IPv4及IPv6路由协议；</w:t>
                  </w:r>
                  <w:r>
                    <w:br/>
                  </w:r>
                  <w:r>
                    <w:rPr>
                      <w:rFonts w:ascii="宋体" w:hAnsi="宋体" w:cs="宋体" w:eastAsia="宋体"/>
                      <w:sz w:val="18"/>
                    </w:rPr>
                    <w:t>7.支持统一用户管理功能，支持802.1X/MAC等多种认证方式</w:t>
                  </w:r>
                  <w:r>
                    <w:br/>
                  </w:r>
                  <w:r>
                    <w:rPr>
                      <w:rFonts w:ascii="宋体" w:hAnsi="宋体" w:cs="宋体" w:eastAsia="宋体"/>
                      <w:sz w:val="18"/>
                    </w:rPr>
                    <w:t>8.支持 Telemetry 技术，实时采集设备数据并上送至网络分析组件平台；</w:t>
                  </w:r>
                  <w:r>
                    <w:br/>
                  </w:r>
                  <w:r>
                    <w:rPr>
                      <w:rFonts w:ascii="宋体" w:hAnsi="宋体" w:cs="宋体" w:eastAsia="宋体"/>
                      <w:sz w:val="18"/>
                    </w:rPr>
                    <w:t>9.支持真实业务流实时检测技术，能实时检测网络故障；</w:t>
                  </w:r>
                  <w:r>
                    <w:br/>
                  </w:r>
                  <w:r>
                    <w:rPr>
                      <w:rFonts w:ascii="宋体" w:hAnsi="宋体" w:cs="宋体" w:eastAsia="宋体"/>
                      <w:sz w:val="18"/>
                    </w:rPr>
                    <w:t>10.支持NetStream、SNMPv1/v2c/v3、RMON等协议；</w:t>
                  </w:r>
                </w:p>
                <w:p>
                  <w:pPr>
                    <w:pStyle w:val="null3"/>
                    <w:jc w:val="both"/>
                  </w:pPr>
                  <w:r>
                    <w:rPr>
                      <w:rFonts w:ascii="宋体" w:hAnsi="宋体" w:cs="宋体" w:eastAsia="宋体"/>
                      <w:sz w:val="18"/>
                    </w:rPr>
                    <w:t>11.提供万兆单模光模块5个，提供40G单模光模块1个，提供三年原厂维保服务。</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bl>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sz w:val="21"/>
              </w:rPr>
              <w:t>核心产</w:t>
            </w:r>
            <w:r>
              <w:rPr>
                <w:rFonts w:ascii="宋体" w:hAnsi="宋体" w:cs="宋体" w:eastAsia="宋体"/>
                <w:sz w:val="21"/>
              </w:rPr>
              <w:t>品：</w:t>
            </w:r>
            <w:r>
              <w:rPr>
                <w:rFonts w:ascii="宋体" w:hAnsi="宋体" w:cs="宋体" w:eastAsia="宋体"/>
                <w:sz w:val="21"/>
              </w:rPr>
              <w:t>蜜罐</w:t>
            </w:r>
          </w:p>
        </w:tc>
      </w:tr>
      <w:tr>
        <w:tc>
          <w:tcPr>
            <w:tcW w:type="dxa" w:w="2769"/>
          </w:tcPr>
          <w:p/>
        </w:tc>
        <w:tc>
          <w:tcPr>
            <w:tcW w:type="dxa" w:w="2769"/>
          </w:tcPr>
          <w:p>
            <w:pPr>
              <w:pStyle w:val="null3"/>
            </w:pPr>
            <w:r>
              <w:rPr/>
              <w:t>3</w:t>
            </w:r>
          </w:p>
        </w:tc>
        <w:tc>
          <w:tcPr>
            <w:tcW w:type="dxa" w:w="2769"/>
          </w:tcPr>
          <w:p>
            <w:pPr>
              <w:pStyle w:val="null3"/>
            </w:pPr>
            <w:r>
              <w:rPr/>
              <w:t>交货时间：1.交货期：合同签订之日起60个日历日内；2.安装调试期：到货之日起45个日历日内。</w:t>
            </w:r>
          </w:p>
        </w:tc>
      </w:tr>
      <w:tr>
        <w:tc>
          <w:tcPr>
            <w:tcW w:type="dxa" w:w="2769"/>
          </w:tcPr>
          <w:p>
            <w:pPr>
              <w:pStyle w:val="null3"/>
            </w:pPr>
            <w:r>
              <w:rPr/>
              <w:t>▲</w:t>
            </w:r>
          </w:p>
        </w:tc>
        <w:tc>
          <w:tcPr>
            <w:tcW w:type="dxa" w:w="2769"/>
          </w:tcPr>
          <w:p>
            <w:pPr>
              <w:pStyle w:val="null3"/>
            </w:pPr>
            <w:r>
              <w:rPr/>
              <w:t>4</w:t>
            </w:r>
          </w:p>
        </w:tc>
        <w:tc>
          <w:tcPr>
            <w:tcW w:type="dxa" w:w="2769"/>
          </w:tcPr>
          <w:p>
            <w:pPr>
              <w:pStyle w:val="null3"/>
              <w:jc w:val="both"/>
            </w:pPr>
            <w:r>
              <w:rPr>
                <w:rFonts w:ascii="宋体" w:hAnsi="宋体" w:cs="宋体" w:eastAsia="宋体"/>
                <w:sz w:val="21"/>
              </w:rPr>
              <w:t>合同款支付全部通过银行转账至双方约定开设的项目专用账户，乙方应及时与甲方沟通专用账户开通事宜并在中标</w:t>
            </w:r>
            <w:r>
              <w:rPr>
                <w:rFonts w:ascii="&quot;times new roman&quot;" w:hAnsi="&quot;times new roman&quot;" w:cs="&quot;times new roman&quot;" w:eastAsia="&quot;times new roman&quot;"/>
                <w:sz w:val="21"/>
              </w:rPr>
              <w:t>/</w:t>
            </w:r>
            <w:r>
              <w:rPr>
                <w:rFonts w:ascii="宋体" w:hAnsi="宋体" w:cs="宋体" w:eastAsia="宋体"/>
                <w:sz w:val="21"/>
              </w:rPr>
              <w:t>成交通知书发出之日起</w:t>
            </w:r>
            <w:r>
              <w:rPr>
                <w:rFonts w:ascii="&quot;times new roman&quot;" w:hAnsi="&quot;times new roman&quot;" w:cs="&quot;times new roman&quot;" w:eastAsia="&quot;times new roman&quot;"/>
                <w:sz w:val="21"/>
                <w:u w:val="single"/>
              </w:rPr>
              <w:t xml:space="preserve"> 2 </w:t>
            </w:r>
            <w:r>
              <w:rPr>
                <w:rFonts w:ascii="宋体" w:hAnsi="宋体" w:cs="宋体" w:eastAsia="宋体"/>
                <w:sz w:val="21"/>
              </w:rPr>
              <w:t>个工作日内开通专用账户</w:t>
            </w:r>
            <w:r>
              <w:rPr>
                <w:rFonts w:ascii="&quot;times new roman&quot;" w:hAnsi="&quot;times new roman&quot;" w:cs="&quot;times new roman&quot;" w:eastAsia="&quot;times new roman&quot;"/>
                <w:sz w:val="21"/>
              </w:rPr>
              <w:t>,</w:t>
            </w:r>
            <w:r>
              <w:rPr>
                <w:rFonts w:ascii="宋体" w:hAnsi="宋体" w:cs="宋体" w:eastAsia="宋体"/>
                <w:sz w:val="21"/>
              </w:rPr>
              <w:t>确保项目资金专款专用。乙方确认其所提供的账户符合甲方要求且正确无误，因乙方账户错误或者其他任何原因导致乙方无法收取款项的，责任由乙方自行承担。甲方支付款项到达乙方提供账户之日即视为甲方已按照本协议约定妥善履行付款义务。</w:t>
            </w:r>
          </w:p>
        </w:tc>
      </w:tr>
      <w:tr>
        <w:tc>
          <w:tcPr>
            <w:tcW w:type="dxa" w:w="2769"/>
          </w:tcPr>
          <w:p/>
        </w:tc>
        <w:tc>
          <w:tcPr>
            <w:tcW w:type="dxa" w:w="2769"/>
          </w:tcPr>
          <w:p>
            <w:pPr>
              <w:pStyle w:val="null3"/>
            </w:pPr>
            <w:r>
              <w:rPr/>
              <w:t>5</w:t>
            </w:r>
          </w:p>
        </w:tc>
        <w:tc>
          <w:tcPr>
            <w:tcW w:type="dxa" w:w="2769"/>
          </w:tcPr>
          <w:p>
            <w:pPr>
              <w:pStyle w:val="null3"/>
            </w:pPr>
            <w:r>
              <w:rPr/>
              <w:t>质保期：三年</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1.交货期：合同签订之日起60个日历日内；2.安装调试期：到货之日起45个日历日内。</w:t>
      </w:r>
    </w:p>
    <w:p>
      <w:pPr>
        <w:pStyle w:val="null3"/>
      </w:pPr>
      <w:r>
        <w:rPr/>
        <w:t>采购包2：</w:t>
      </w:r>
    </w:p>
    <w:p>
      <w:pPr>
        <w:pStyle w:val="null3"/>
      </w:pPr>
      <w:r>
        <w:rPr/>
        <w:t>1.交货期：合同签订之日起60个日历日内；2.安装调试期：到货之日起45个日历日内。</w:t>
      </w:r>
    </w:p>
    <w:p>
      <w:pPr>
        <w:pStyle w:val="null3"/>
        <w:outlineLvl w:val="3"/>
      </w:pPr>
      <w:r>
        <w:rPr>
          <w:sz w:val="24"/>
          <w:b/>
        </w:rPr>
        <w:t>3.4.2交货地点</w:t>
      </w:r>
    </w:p>
    <w:p>
      <w:pPr>
        <w:pStyle w:val="null3"/>
      </w:pPr>
      <w:r>
        <w:rPr/>
        <w:t>采购包1：</w:t>
      </w:r>
    </w:p>
    <w:p>
      <w:pPr>
        <w:pStyle w:val="null3"/>
      </w:pPr>
      <w:r>
        <w:rPr/>
        <w:t>陕西工业职业技术学院</w:t>
      </w:r>
    </w:p>
    <w:p>
      <w:pPr>
        <w:pStyle w:val="null3"/>
      </w:pPr>
      <w:r>
        <w:rPr/>
        <w:t>采购包2：</w:t>
      </w:r>
    </w:p>
    <w:p>
      <w:pPr>
        <w:pStyle w:val="null3"/>
      </w:pPr>
      <w:r>
        <w:rPr/>
        <w:t>陕西工业职业技术学院</w:t>
      </w:r>
    </w:p>
    <w:p>
      <w:pPr>
        <w:pStyle w:val="null3"/>
        <w:outlineLvl w:val="3"/>
      </w:pPr>
      <w:r>
        <w:rPr>
          <w:sz w:val="24"/>
          <w:b/>
        </w:rPr>
        <w:t>3.4.3支付方式</w:t>
      </w:r>
    </w:p>
    <w:p>
      <w:pPr>
        <w:pStyle w:val="null3"/>
      </w:pPr>
      <w:r>
        <w:rPr/>
        <w:t>采购包1：</w:t>
      </w:r>
    </w:p>
    <w:p>
      <w:pPr>
        <w:pStyle w:val="null3"/>
      </w:pPr>
      <w:r>
        <w:rPr/>
        <w:t>分期付款</w:t>
      </w:r>
    </w:p>
    <w:p>
      <w:pPr>
        <w:pStyle w:val="null3"/>
      </w:pPr>
      <w:r>
        <w:rPr/>
        <w:t>采购包2：</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合同签订后10日内，乙方提供收款收据</w:t>
      </w:r>
      <w:r>
        <w:rPr/>
        <w:t xml:space="preserve"> ，达到付款条件起 </w:t>
      </w:r>
      <w:r>
        <w:rPr/>
        <w:t>10</w:t>
      </w:r>
      <w:r>
        <w:rPr/>
        <w:t xml:space="preserve"> 日内，支付合同总金额的 </w:t>
      </w:r>
      <w:r>
        <w:rPr/>
        <w:t>50.00</w:t>
      </w:r>
      <w:r>
        <w:rPr/>
        <w:t>%。</w:t>
      </w:r>
    </w:p>
    <w:p>
      <w:pPr>
        <w:pStyle w:val="null3"/>
      </w:pPr>
      <w:r>
        <w:rPr/>
        <w:t>采购包1：</w:t>
      </w:r>
      <w:r>
        <w:rPr/>
        <w:t xml:space="preserve"> 付款条件说明： </w:t>
      </w:r>
      <w:r>
        <w:rPr/>
        <w:t>乙方将所本合同项下所有货物运送到甲方指定地点后，甲方进行到货开箱验收，书面验收合格后，乙方开具合法且符合甲方要求的合同款项全额增值税专用发票，甲方收到乙方全额发票后</w:t>
      </w:r>
      <w:r>
        <w:rPr/>
        <w:t xml:space="preserve"> ，达到付款条件起 </w:t>
      </w:r>
      <w:r>
        <w:rPr/>
        <w:t>30</w:t>
      </w:r>
      <w:r>
        <w:rPr/>
        <w:t xml:space="preserve"> 日内，支付合同总金额的 </w:t>
      </w:r>
      <w:r>
        <w:rPr/>
        <w:t>10.00</w:t>
      </w:r>
      <w:r>
        <w:rPr/>
        <w:t>%。</w:t>
      </w:r>
    </w:p>
    <w:p>
      <w:pPr>
        <w:pStyle w:val="null3"/>
      </w:pPr>
      <w:r>
        <w:rPr/>
        <w:t>采购包1：</w:t>
      </w:r>
      <w:r>
        <w:rPr/>
        <w:t xml:space="preserve"> 付款条件说明： </w:t>
      </w:r>
      <w:r>
        <w:rPr/>
        <w:t>乙方负责完成货物安装调试，试运行 10 日，且达到平稳运行条件后向甲方申请验收，在30日内甲方进行最终验收，书面验收合格且无索赔争议后</w:t>
      </w:r>
      <w:r>
        <w:rPr/>
        <w:t xml:space="preserve"> ，达到付款条件起 </w:t>
      </w:r>
      <w:r>
        <w:rPr/>
        <w:t>30</w:t>
      </w:r>
      <w:r>
        <w:rPr/>
        <w:t xml:space="preserve"> 日内，支付合同总金额的 </w:t>
      </w:r>
      <w:r>
        <w:rPr/>
        <w:t>40.00</w:t>
      </w:r>
      <w:r>
        <w:rPr/>
        <w:t>%。</w:t>
      </w:r>
    </w:p>
    <w:p>
      <w:pPr>
        <w:pStyle w:val="null3"/>
      </w:pPr>
      <w:r>
        <w:rPr/>
        <w:t>采购包2：</w:t>
      </w:r>
      <w:r>
        <w:rPr/>
        <w:t xml:space="preserve"> 付款条件说明： </w:t>
      </w:r>
      <w:r>
        <w:rPr/>
        <w:t>合同签订后10日内，乙方提供收款收据</w:t>
      </w:r>
      <w:r>
        <w:rPr/>
        <w:t xml:space="preserve"> ，达到付款条件起 </w:t>
      </w:r>
      <w:r>
        <w:rPr/>
        <w:t>10</w:t>
      </w:r>
      <w:r>
        <w:rPr/>
        <w:t xml:space="preserve"> 日内，支付合同总金额的 </w:t>
      </w:r>
      <w:r>
        <w:rPr/>
        <w:t>50.00</w:t>
      </w:r>
      <w:r>
        <w:rPr/>
        <w:t>%。</w:t>
      </w:r>
    </w:p>
    <w:p>
      <w:pPr>
        <w:pStyle w:val="null3"/>
      </w:pPr>
      <w:r>
        <w:rPr/>
        <w:t>采购包2：</w:t>
      </w:r>
      <w:r>
        <w:rPr/>
        <w:t xml:space="preserve"> 付款条件说明： </w:t>
      </w:r>
      <w:r>
        <w:rPr/>
        <w:t>乙方将所本合同项下所有货物运送到甲方指定地点后，甲方进行到货开箱验收，书面验收合格后，乙方开具合法且符合甲方要求的合同款项全额增值税专用发票，甲方收到乙方全额发票后</w:t>
      </w:r>
      <w:r>
        <w:rPr/>
        <w:t xml:space="preserve"> ，达到付款条件起 </w:t>
      </w:r>
      <w:r>
        <w:rPr/>
        <w:t>30</w:t>
      </w:r>
      <w:r>
        <w:rPr/>
        <w:t xml:space="preserve"> 日内，支付合同总金额的 </w:t>
      </w:r>
      <w:r>
        <w:rPr/>
        <w:t>10.00</w:t>
      </w:r>
      <w:r>
        <w:rPr/>
        <w:t>%。</w:t>
      </w:r>
    </w:p>
    <w:p>
      <w:pPr>
        <w:pStyle w:val="null3"/>
      </w:pPr>
      <w:r>
        <w:rPr/>
        <w:t>采购包2：</w:t>
      </w:r>
      <w:r>
        <w:rPr/>
        <w:t xml:space="preserve"> 付款条件说明： </w:t>
      </w:r>
      <w:r>
        <w:rPr/>
        <w:t>乙方负责完成货物安装调试，试运行 10 日，且达到平稳运行条件后向甲方申请验收，在30日内甲方进行最终验收，书面验收合格且无索赔争议后</w:t>
      </w:r>
      <w:r>
        <w:rPr/>
        <w:t xml:space="preserve"> ，达到付款条件起 </w:t>
      </w:r>
      <w:r>
        <w:rPr/>
        <w:t>30</w:t>
      </w:r>
      <w:r>
        <w:rPr/>
        <w:t xml:space="preserve"> 日内，支付合同总金额的 </w:t>
      </w:r>
      <w:r>
        <w:rPr/>
        <w:t>40.00</w:t>
      </w:r>
      <w:r>
        <w:rPr/>
        <w:t>%。</w:t>
      </w:r>
    </w:p>
    <w:p>
      <w:pPr>
        <w:pStyle w:val="null3"/>
        <w:outlineLvl w:val="3"/>
      </w:pPr>
      <w:r>
        <w:rPr>
          <w:sz w:val="24"/>
          <w:b/>
        </w:rPr>
        <w:t>3.4.5验收标准和方法</w:t>
      </w:r>
    </w:p>
    <w:p>
      <w:pPr>
        <w:pStyle w:val="null3"/>
      </w:pPr>
      <w:r>
        <w:rPr/>
        <w:t>采购包1：</w:t>
      </w:r>
    </w:p>
    <w:p>
      <w:pPr>
        <w:pStyle w:val="null3"/>
      </w:pPr>
      <w:r>
        <w:rPr/>
        <w:t>验收分到货开箱验收和甲方最终验收两个阶段，以最终验收为准。 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pPr>
      <w:r>
        <w:rPr/>
        <w:t>采购包2：</w:t>
      </w:r>
    </w:p>
    <w:p>
      <w:pPr>
        <w:pStyle w:val="null3"/>
      </w:pPr>
      <w:r>
        <w:rPr/>
        <w:t>验收分到货开箱验收和甲方最终验收两个阶段，以最终验收为准。 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采购包2：</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三年</w:t>
      </w:r>
    </w:p>
    <w:p>
      <w:pPr>
        <w:pStyle w:val="null3"/>
      </w:pPr>
      <w:r>
        <w:rPr/>
        <w:t>采购包2：</w:t>
      </w:r>
    </w:p>
    <w:p>
      <w:pPr>
        <w:pStyle w:val="null3"/>
      </w:pPr>
      <w:r>
        <w:rPr/>
        <w:t>三年</w:t>
      </w:r>
    </w:p>
    <w:p>
      <w:pPr>
        <w:pStyle w:val="null3"/>
        <w:outlineLvl w:val="3"/>
      </w:pPr>
      <w:r>
        <w:rPr>
          <w:sz w:val="24"/>
          <w:b/>
        </w:rPr>
        <w:t>3.4.8违约责任与解决争议的方法</w:t>
      </w:r>
    </w:p>
    <w:p>
      <w:pPr>
        <w:pStyle w:val="null3"/>
      </w:pPr>
      <w:r>
        <w:rPr/>
        <w:t>采购包1：</w:t>
      </w:r>
    </w:p>
    <w:p>
      <w:pPr>
        <w:pStyle w:val="null3"/>
      </w:pPr>
      <w:r>
        <w:rPr/>
        <w:t>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 2.如乙方产品质量不符合国家标准或未达到本企业内控标准，甲方有权退货，并且乙方应承担甲方合同总价款的10％的违约金并赔偿其他损失。 3.在合同规定的供货期内乙方未如数交货，除应如数补齐外，还应承担合同总款的10％违约金。 4.质量保证期内因产品质量问题，乙方未按合同规定及时进行维修、更换，甲方可自行组织人员进行维修、更换，因此造成的相关责任、费用由乙方承担，同时质量保证期重新起算。 5.乙方对材料不按招标文件要求，擅自更换，除恢复原招标产品外，应承担更换部分价款10%的违约金。 6.乙方如对材料以次充好，除全部按要求恢复外，应承担此部分价款10%的违约金。 7.如由于产品质量原因，不能通过验收，乙方除按规定无偿更换外，应承担所涉及产品总价款的10％违约金。 8.乙方供应产品存在知识产权瑕疵或所有权瑕疵，导致第三方向甲方索赔的，因此产生的赔偿款、行政罚款、处理纠纷发生的律师费、诉讼费、保全费等各项费用由乙方承担。 9.本合同签订后，乙方不得将本合同项下义务转交或委托任何第三方完成，一经发现，甲方有权解除合同。乙方应当按照合同总价款两倍向甲方支付违约金。 10.如因天气原因或甲方安排等原因需要调整供货时间、地点的，乙方应当无条件配合甲方，合同期限相应顺延且甲方不承担任何责任。</w:t>
      </w:r>
    </w:p>
    <w:p>
      <w:pPr>
        <w:pStyle w:val="null3"/>
      </w:pPr>
      <w:r>
        <w:rPr/>
        <w:t>采购包2：</w:t>
      </w:r>
    </w:p>
    <w:p>
      <w:pPr>
        <w:pStyle w:val="null3"/>
      </w:pPr>
      <w:r>
        <w:rPr/>
        <w:t>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 2.如乙方产品质量不符合国家标准或未达到本企业内控标准，甲方有权退货，并且乙方应承担甲方合同总价款的10％的违约金并赔偿其他损失。 3.在合同规定的供货期内乙方未如数交货，除应如数补齐外，还应承担合同总款的10％违约金。 4.质量保证期内因产品质量问题，乙方未按合同规定及时进行维修、更换，甲方可自行组织人员进行维修、更换，因此造成的相关责任、费用由乙方承担，同时质量保证期重新起算。 5.乙方对材料不按招标文件要求，擅自更换，除恢复原招标产品外，应承担更换部分价款10%的违约金。 6.乙方如对材料以次充好，除全部按要求恢复外，应承担此部分价款10%的违约金。 7.如由于产品质量原因，不能通过验收，乙方除按规定无偿更换外，应承担所涉及产品总价款的10％违约金。 8.乙方供应产品存在知识产权瑕疵或所有权瑕疵，导致第三方向甲方索赔的，因此产生的赔偿款、行政罚款、处理纠纷发生的律师费、诉讼费、保全费等各项费用由乙方承担。 9.本合同签订后，乙方不得将本合同项下义务转交或委托任何第三方完成，一经发现，甲方有权解除合同。乙方应当按照合同总价款两倍向甲方支付违约金。 10.如因天气原因或甲方安排等原因需要调整供货时间、地点的，乙方应当无条件配合甲方，合同期限相应顺延且甲方不承担任何责任。</w:t>
      </w:r>
    </w:p>
    <w:p>
      <w:pPr>
        <w:pStyle w:val="null3"/>
        <w:jc w:val="left"/>
        <w:outlineLvl w:val="2"/>
      </w:pPr>
      <w:r>
        <w:rPr>
          <w:sz w:val="28"/>
          <w:b/>
        </w:rPr>
        <w:t>3.5其他要求</w:t>
      </w:r>
    </w:p>
    <w:p>
      <w:pPr>
        <w:pStyle w:val="null3"/>
      </w:pPr>
      <w:r>
        <w:rPr/>
        <w:t>1、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为顺利推进政府采购电子化交易平台试点应用工作，供应商需要在线提交所有通过电子化交易平台实施的政府采购项目的投标文件，同时，线下提交纸质投标文件正本一份、副本一份，电子版本一份（以U盘形式提供，文件格式包含.doc/.docx格式及正本盖章后扫描的.pdf格式），递交截止时间同在线递交电子投标文件截止时间一致。若电子投标文件与纸质投标文件不一致的，以纸质投标文件为准；若正本和副本不符，以正本为准。投标文件正、副本分别各自装订成册密封，在封口处加盖供应商公章。3、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发展改革委生态环境部 市场监管总局关于调整优化节能产品、环境标志产品政府采购执行机制的通知》（财库〔2019〕9号）；5）《关于运用政府采购政策支持乡村产业振兴的通知》（财库2021〕19号）；6）《政府采购促进中小企业发展管理办法》 （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1.财务状况报告：提供具有财务审计资质单位出具的2023年度财务报告（成立时间至开标时间不足一年的可提供成立后任意时段的资产负债表）或开标前六个月内其基本账户银行出具的资信证明或政府采购信用担保机构出具的担保函；2.税收缴纳证明：提供截止至开标时间前六个月内任意一个月的缴纳凭据；（依法免税的供应商应提供相关文件证明）； 3.社会保障资金缴纳证明：提供截止至开标时间前六个月内任意一个月的社保缴纳凭据或社保机构开具的社会保险参保缴纳情况证明；（依法不需要缴纳社会保障资金的供应商应提供相关证明） 4.提供具有履行本合同所必需的设备和专业技术能力的承诺函（加盖供应商公章）； 5.提供参加政府采购活动前三年内在经营活动中没有重大违法记录的书面声明（加盖供应商公章）。注：供应商需在项目电子化交易系统中按要求上传相应证明文件并进行电子签章。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具有财务审计资质单位出具的2023年度财务报告（成立时间至开标时间不足一年的可提供成立后任意时段的资产负债表）或开标前六个月内其基本账户银行出具的资信证明或政府采购信用担保机构出具的担保函； 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承诺 投标文件封面</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1.财务状况报告：提供具有财务审计资质单位出具的2023年度财务报告（成立时间至开标时间不足一年的可提供成立后任意时段的资产负债表）或开标前六个月内其基本账户银行出具的资信证明或政府采购信用担保机构出具的担保函；2.税收缴纳证明：提供截止至开标时间前六个月内任意一个月的缴纳凭据；（依法免税的供应商应提供相关文件证明）； 3.社会保障资金缴纳证明：提供截止至开标时间前六个月内任意一个月的社保缴纳凭据或社保机构开具的社会保险参保缴纳情况证明；（依法不需要缴纳社会保障资金的供应商应提供相关证明） 4.提供具有履行本合同所必需的设备和专业技术能力的承诺函（加盖供应商公章）； 5.提供参加政府采购活动前三年内在经营活动中没有重大违法记录的书面声明（加盖供应商公章）。注：供应商需在项目电子化交易系统中按要求上传相应证明文件并进行电子签章。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具有财务审计资质单位出具的2023年度财务报告（成立时间至开标时间不足一年的可提供成立后任意时段的资产负债表）或开标前六个月内其基本账户银行出具的资信证明或政府采购信用担保机构出具的担保函； 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资格审查证明文件 承诺 投标文件封面</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法人或者其他组织的营业执照等证明文件，自然人的身份证明</w:t>
            </w:r>
          </w:p>
        </w:tc>
        <w:tc>
          <w:tcPr>
            <w:tcW w:type="dxa" w:w="3322"/>
          </w:tcPr>
          <w:p>
            <w:pPr>
              <w:pStyle w:val="null3"/>
            </w:pPr>
            <w:r>
              <w:rPr/>
              <w:t>供应商应是独立承担民事责任能力的法人、其他组织或自然人，法人、其他组织须提供合法有效的营业执照（或事业单位法人证书）等证明资料， 自然人须提供身份证明。注：供应商需在项目电子化交易系统中按要求上传相应证明文件并进行电子签章。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2</w:t>
            </w:r>
          </w:p>
        </w:tc>
        <w:tc>
          <w:tcPr>
            <w:tcW w:type="dxa" w:w="2492"/>
          </w:tcPr>
          <w:p>
            <w:pPr>
              <w:pStyle w:val="null3"/>
            </w:pPr>
            <w:r>
              <w:rPr/>
              <w:t>企业信用</w:t>
            </w:r>
          </w:p>
        </w:tc>
        <w:tc>
          <w:tcPr>
            <w:tcW w:type="dxa" w:w="3322"/>
          </w:tcPr>
          <w:p>
            <w:pPr>
              <w:pStyle w:val="null3"/>
            </w:pPr>
            <w:r>
              <w:rPr/>
              <w:t>供应商不得为列入“信用中国”(www.creditchina.gov.cn)记录失信被执行人、重大税收违法失信主体、中国政府采购网(www.ccgp.gov.cn)的政府采购严重违法失信行为记录名单，如相关失信记录已失效，需提供相关证明资料。采购代理机构于投标截止日当天在网站的查询结果为准（截图留存），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3</w:t>
            </w:r>
          </w:p>
        </w:tc>
        <w:tc>
          <w:tcPr>
            <w:tcW w:type="dxa" w:w="2492"/>
          </w:tcPr>
          <w:p>
            <w:pPr>
              <w:pStyle w:val="null3"/>
            </w:pPr>
            <w:r>
              <w:rPr/>
              <w:t>控股关系</w:t>
            </w:r>
          </w:p>
        </w:tc>
        <w:tc>
          <w:tcPr>
            <w:tcW w:type="dxa" w:w="332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t>投标函 资格审查证明文件 承诺 投标文件封面</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法人或者其他组织的营业执照等证明文件，自然人的身份证明</w:t>
            </w:r>
          </w:p>
        </w:tc>
        <w:tc>
          <w:tcPr>
            <w:tcW w:type="dxa" w:w="3322"/>
          </w:tcPr>
          <w:p>
            <w:pPr>
              <w:pStyle w:val="null3"/>
            </w:pPr>
            <w:r>
              <w:rPr/>
              <w:t>供应商应是独立承担民事责任能力的法人、其他组织或自然人，法人、其他组织须提供合法有效的营业执照（或事业单位法人证书）等证明资料， 自然人须提供身份证明。注：供应商需在项目电子化交易系统中按要求上传相应证明文件并进行电子签章。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2</w:t>
            </w:r>
          </w:p>
        </w:tc>
        <w:tc>
          <w:tcPr>
            <w:tcW w:type="dxa" w:w="2492"/>
          </w:tcPr>
          <w:p>
            <w:pPr>
              <w:pStyle w:val="null3"/>
            </w:pPr>
            <w:r>
              <w:rPr/>
              <w:t>企业信用</w:t>
            </w:r>
          </w:p>
        </w:tc>
        <w:tc>
          <w:tcPr>
            <w:tcW w:type="dxa" w:w="3322"/>
          </w:tcPr>
          <w:p>
            <w:pPr>
              <w:pStyle w:val="null3"/>
            </w:pPr>
            <w:r>
              <w:rPr/>
              <w:t>供应商不得为列入“信用中国”(www.creditchina.gov.cn)记录失信被执行人、重大税收违法失信主体、中国政府采购网(www.ccgp.gov.cn)的政府采购严重违法失信行为记录名单，如相关失信记录已失效，需提供相关证明资料。采购代理机构于投标截止日当天在网站的查询结果为准（截图留存），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3</w:t>
            </w:r>
          </w:p>
        </w:tc>
        <w:tc>
          <w:tcPr>
            <w:tcW w:type="dxa" w:w="2492"/>
          </w:tcPr>
          <w:p>
            <w:pPr>
              <w:pStyle w:val="null3"/>
            </w:pPr>
            <w:r>
              <w:rPr/>
              <w:t>控股关系</w:t>
            </w:r>
          </w:p>
        </w:tc>
        <w:tc>
          <w:tcPr>
            <w:tcW w:type="dxa" w:w="332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t>投标函 承诺 投标文件封面</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pPr>
      <w:r>
        <w:rPr/>
        <w:t>采购包2：综合评分法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供应商的报价明显低于其他通过符合性审查供应商的报价，有可能影响产品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t>选配件报价表（如果有） 开标一览表 技术响应 中小企业声明函 报价表 法定代表人（或负责人）授权书 法定代表人（或负责人）身份证明 投标函 残疾人福利性单位声明函 报价明细表 资格审查证明文件 备品备件清单（如果有） 承诺 近年业绩及相关证明材料 商务响应及相关证明 标的清单 投标文件封面 监狱企业的证明文件</w:t>
            </w:r>
          </w:p>
        </w:tc>
      </w:tr>
      <w:tr>
        <w:tc>
          <w:tcPr>
            <w:tcW w:type="dxa" w:w="831"/>
          </w:tcPr>
          <w:p>
            <w:pPr>
              <w:pStyle w:val="null3"/>
            </w:pPr>
            <w:r>
              <w:rPr/>
              <w:t>2</w:t>
            </w:r>
          </w:p>
        </w:tc>
        <w:tc>
          <w:tcPr>
            <w:tcW w:type="dxa" w:w="2492"/>
          </w:tcPr>
          <w:p>
            <w:pPr>
              <w:pStyle w:val="null3"/>
            </w:pPr>
            <w:r>
              <w:rPr/>
              <w:t>投标文件签字、盖章</w:t>
            </w:r>
          </w:p>
        </w:tc>
        <w:tc>
          <w:tcPr>
            <w:tcW w:type="dxa" w:w="3322"/>
          </w:tcPr>
          <w:p>
            <w:pPr>
              <w:pStyle w:val="null3"/>
            </w:pPr>
            <w:r>
              <w:rPr/>
              <w:t>投标文件签署、盖章均按招标文件要求签字、盖章。</w:t>
            </w:r>
          </w:p>
        </w:tc>
        <w:tc>
          <w:tcPr>
            <w:tcW w:type="dxa" w:w="1661"/>
          </w:tcPr>
          <w:p>
            <w:pPr>
              <w:pStyle w:val="null3"/>
            </w:pPr>
            <w:r>
              <w:rPr/>
              <w:t>选配件报价表（如果有） 开标一览表 技术响应 中小企业声明函 报价表 法定代表人（或负责人）授权书 法定代表人（或负责人）身份证明 投标函 残疾人福利性单位声明函 报价明细表 资格审查证明文件 备品备件清单（如果有） 承诺 近年业绩及相关证明材料 标的清单 商务响应及相关证明 投标文件封面 监狱企业的证明文件</w:t>
            </w:r>
          </w:p>
        </w:tc>
      </w:tr>
      <w:tr>
        <w:tc>
          <w:tcPr>
            <w:tcW w:type="dxa" w:w="831"/>
          </w:tcPr>
          <w:p>
            <w:pPr>
              <w:pStyle w:val="null3"/>
            </w:pPr>
            <w:r>
              <w:rPr/>
              <w:t>3</w:t>
            </w:r>
          </w:p>
        </w:tc>
        <w:tc>
          <w:tcPr>
            <w:tcW w:type="dxa" w:w="2492"/>
          </w:tcPr>
          <w:p>
            <w:pPr>
              <w:pStyle w:val="null3"/>
            </w:pPr>
            <w:r>
              <w:rPr/>
              <w:t>投标报价</w:t>
            </w:r>
          </w:p>
        </w:tc>
        <w:tc>
          <w:tcPr>
            <w:tcW w:type="dxa" w:w="3322"/>
          </w:tcPr>
          <w:p>
            <w:pPr>
              <w:pStyle w:val="null3"/>
            </w:pPr>
            <w:r>
              <w:rPr/>
              <w:t>唯一报价，并未超出采购预算。</w:t>
            </w:r>
          </w:p>
        </w:tc>
        <w:tc>
          <w:tcPr>
            <w:tcW w:type="dxa" w:w="1661"/>
          </w:tcPr>
          <w:p>
            <w:pPr>
              <w:pStyle w:val="null3"/>
            </w:pPr>
            <w:r>
              <w:rPr/>
              <w:t>开标一览表 投标文件封面 报价表</w:t>
            </w:r>
          </w:p>
        </w:tc>
      </w:tr>
      <w:tr>
        <w:tc>
          <w:tcPr>
            <w:tcW w:type="dxa" w:w="831"/>
          </w:tcPr>
          <w:p>
            <w:pPr>
              <w:pStyle w:val="null3"/>
            </w:pPr>
            <w:r>
              <w:rPr/>
              <w:t>4</w:t>
            </w:r>
          </w:p>
        </w:tc>
        <w:tc>
          <w:tcPr>
            <w:tcW w:type="dxa" w:w="2492"/>
          </w:tcPr>
          <w:p>
            <w:pPr>
              <w:pStyle w:val="null3"/>
            </w:pPr>
            <w:r>
              <w:rPr/>
              <w:t>投标文件有效期</w:t>
            </w:r>
          </w:p>
        </w:tc>
        <w:tc>
          <w:tcPr>
            <w:tcW w:type="dxa" w:w="3322"/>
          </w:tcPr>
          <w:p>
            <w:pPr>
              <w:pStyle w:val="null3"/>
            </w:pPr>
            <w:r>
              <w:rPr/>
              <w:t>符合招标文件要求。</w:t>
            </w:r>
          </w:p>
        </w:tc>
        <w:tc>
          <w:tcPr>
            <w:tcW w:type="dxa" w:w="1661"/>
          </w:tcPr>
          <w:p>
            <w:pPr>
              <w:pStyle w:val="null3"/>
            </w:pPr>
            <w:r>
              <w:rPr/>
              <w:t>投标函 投标文件封面</w:t>
            </w:r>
          </w:p>
        </w:tc>
      </w:tr>
      <w:tr>
        <w:tc>
          <w:tcPr>
            <w:tcW w:type="dxa" w:w="831"/>
          </w:tcPr>
          <w:p>
            <w:pPr>
              <w:pStyle w:val="null3"/>
            </w:pPr>
            <w:r>
              <w:rPr/>
              <w:t>5</w:t>
            </w:r>
          </w:p>
        </w:tc>
        <w:tc>
          <w:tcPr>
            <w:tcW w:type="dxa" w:w="2492"/>
          </w:tcPr>
          <w:p>
            <w:pPr>
              <w:pStyle w:val="null3"/>
            </w:pPr>
            <w:r>
              <w:rPr/>
              <w:t>对合同权利和义务的响应</w:t>
            </w:r>
          </w:p>
        </w:tc>
        <w:tc>
          <w:tcPr>
            <w:tcW w:type="dxa" w:w="3322"/>
          </w:tcPr>
          <w:p>
            <w:pPr>
              <w:pStyle w:val="null3"/>
            </w:pPr>
            <w:r>
              <w:rPr/>
              <w:t>响应服务期限及合同中规定的双方的权利和义务。</w:t>
            </w:r>
          </w:p>
        </w:tc>
        <w:tc>
          <w:tcPr>
            <w:tcW w:type="dxa" w:w="1661"/>
          </w:tcPr>
          <w:p>
            <w:pPr>
              <w:pStyle w:val="null3"/>
            </w:pPr>
            <w:r>
              <w:rPr/>
              <w:t>商务响应及相关证明 投标文件封面</w:t>
            </w:r>
          </w:p>
        </w:tc>
      </w:tr>
      <w:tr>
        <w:tc>
          <w:tcPr>
            <w:tcW w:type="dxa" w:w="831"/>
          </w:tcPr>
          <w:p>
            <w:pPr>
              <w:pStyle w:val="null3"/>
            </w:pPr>
            <w:r>
              <w:rPr/>
              <w:t>6</w:t>
            </w:r>
          </w:p>
        </w:tc>
        <w:tc>
          <w:tcPr>
            <w:tcW w:type="dxa" w:w="2492"/>
          </w:tcPr>
          <w:p>
            <w:pPr>
              <w:pStyle w:val="null3"/>
            </w:pPr>
            <w:r>
              <w:rPr/>
              <w:t>授权委托书</w:t>
            </w:r>
          </w:p>
        </w:tc>
        <w:tc>
          <w:tcPr>
            <w:tcW w:type="dxa" w:w="3322"/>
          </w:tcPr>
          <w:p>
            <w:pPr>
              <w:pStyle w:val="null3"/>
            </w:pPr>
            <w:r>
              <w:rPr/>
              <w:t>提供有效的授权委托书及被授权人身份证（法定代表人、单位负责人或自然人直接投标的只须提交其身份证）。</w:t>
            </w:r>
          </w:p>
        </w:tc>
        <w:tc>
          <w:tcPr>
            <w:tcW w:type="dxa" w:w="1661"/>
          </w:tcPr>
          <w:p>
            <w:pPr>
              <w:pStyle w:val="null3"/>
            </w:pPr>
            <w:r>
              <w:rPr/>
              <w:t>投标文件封面 法定代表人（或负责人）授权书 法定代表人（或负责人）身份证明</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供应商的报价明显低于其他通过符合性审查供应商的报价，有可能影响产品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t>选配件报价表（如果有） 开标一览表 技术响应 中小企业声明函 报价表 法定代表人（或负责人）授权书 法定代表人（或负责人）身份证明 投标函 残疾人福利性单位声明函 报价明细表 资格审查证明文件 备品备件清单（如果有） 承诺 近年业绩及相关证明材料 标的清单 商务响应及相关证明 投标文件封面 监狱企业的证明文件</w:t>
            </w:r>
          </w:p>
        </w:tc>
      </w:tr>
      <w:tr>
        <w:tc>
          <w:tcPr>
            <w:tcW w:type="dxa" w:w="831"/>
          </w:tcPr>
          <w:p>
            <w:pPr>
              <w:pStyle w:val="null3"/>
            </w:pPr>
            <w:r>
              <w:rPr/>
              <w:t>2</w:t>
            </w:r>
          </w:p>
        </w:tc>
        <w:tc>
          <w:tcPr>
            <w:tcW w:type="dxa" w:w="2492"/>
          </w:tcPr>
          <w:p>
            <w:pPr>
              <w:pStyle w:val="null3"/>
            </w:pPr>
            <w:r>
              <w:rPr/>
              <w:t>投标文件签字、盖章</w:t>
            </w:r>
          </w:p>
        </w:tc>
        <w:tc>
          <w:tcPr>
            <w:tcW w:type="dxa" w:w="3322"/>
          </w:tcPr>
          <w:p>
            <w:pPr>
              <w:pStyle w:val="null3"/>
            </w:pPr>
            <w:r>
              <w:rPr/>
              <w:t>投标文件签署、盖章均按招标文件要求签字、盖章。</w:t>
            </w:r>
          </w:p>
        </w:tc>
        <w:tc>
          <w:tcPr>
            <w:tcW w:type="dxa" w:w="1661"/>
          </w:tcPr>
          <w:p>
            <w:pPr>
              <w:pStyle w:val="null3"/>
            </w:pPr>
            <w:r>
              <w:rPr/>
              <w:t>选配件报价表（如果有） 开标一览表 技术响应 中小企业声明函 报价表 法定代表人（或负责人）授权书 法定代表人（或负责人）身份证明 投标函 残疾人福利性单位声明函 报价明细表 资格审查证明文件 备品备件清单（如果有） 承诺 近年业绩及相关证明材料 标的清单 商务响应及相关证明 投标文件封面 监狱企业的证明文件</w:t>
            </w:r>
          </w:p>
        </w:tc>
      </w:tr>
      <w:tr>
        <w:tc>
          <w:tcPr>
            <w:tcW w:type="dxa" w:w="831"/>
          </w:tcPr>
          <w:p>
            <w:pPr>
              <w:pStyle w:val="null3"/>
            </w:pPr>
            <w:r>
              <w:rPr/>
              <w:t>3</w:t>
            </w:r>
          </w:p>
        </w:tc>
        <w:tc>
          <w:tcPr>
            <w:tcW w:type="dxa" w:w="2492"/>
          </w:tcPr>
          <w:p>
            <w:pPr>
              <w:pStyle w:val="null3"/>
            </w:pPr>
            <w:r>
              <w:rPr/>
              <w:t>投标报价</w:t>
            </w:r>
          </w:p>
        </w:tc>
        <w:tc>
          <w:tcPr>
            <w:tcW w:type="dxa" w:w="3322"/>
          </w:tcPr>
          <w:p>
            <w:pPr>
              <w:pStyle w:val="null3"/>
            </w:pPr>
            <w:r>
              <w:rPr/>
              <w:t>唯一报价，并未超出采购预算。</w:t>
            </w:r>
          </w:p>
        </w:tc>
        <w:tc>
          <w:tcPr>
            <w:tcW w:type="dxa" w:w="1661"/>
          </w:tcPr>
          <w:p>
            <w:pPr>
              <w:pStyle w:val="null3"/>
            </w:pPr>
            <w:r>
              <w:rPr/>
              <w:t>开标一览表 投标文件封面 报价表</w:t>
            </w:r>
          </w:p>
        </w:tc>
      </w:tr>
      <w:tr>
        <w:tc>
          <w:tcPr>
            <w:tcW w:type="dxa" w:w="831"/>
          </w:tcPr>
          <w:p>
            <w:pPr>
              <w:pStyle w:val="null3"/>
            </w:pPr>
            <w:r>
              <w:rPr/>
              <w:t>4</w:t>
            </w:r>
          </w:p>
        </w:tc>
        <w:tc>
          <w:tcPr>
            <w:tcW w:type="dxa" w:w="2492"/>
          </w:tcPr>
          <w:p>
            <w:pPr>
              <w:pStyle w:val="null3"/>
            </w:pPr>
            <w:r>
              <w:rPr/>
              <w:t>投标文件有效期</w:t>
            </w:r>
          </w:p>
        </w:tc>
        <w:tc>
          <w:tcPr>
            <w:tcW w:type="dxa" w:w="3322"/>
          </w:tcPr>
          <w:p>
            <w:pPr>
              <w:pStyle w:val="null3"/>
            </w:pPr>
            <w:r>
              <w:rPr/>
              <w:t>符合招标文件要求。</w:t>
            </w:r>
          </w:p>
        </w:tc>
        <w:tc>
          <w:tcPr>
            <w:tcW w:type="dxa" w:w="1661"/>
          </w:tcPr>
          <w:p>
            <w:pPr>
              <w:pStyle w:val="null3"/>
            </w:pPr>
            <w:r>
              <w:rPr/>
              <w:t>投标函 投标文件封面</w:t>
            </w:r>
          </w:p>
        </w:tc>
      </w:tr>
      <w:tr>
        <w:tc>
          <w:tcPr>
            <w:tcW w:type="dxa" w:w="831"/>
          </w:tcPr>
          <w:p>
            <w:pPr>
              <w:pStyle w:val="null3"/>
            </w:pPr>
            <w:r>
              <w:rPr/>
              <w:t>5</w:t>
            </w:r>
          </w:p>
        </w:tc>
        <w:tc>
          <w:tcPr>
            <w:tcW w:type="dxa" w:w="2492"/>
          </w:tcPr>
          <w:p>
            <w:pPr>
              <w:pStyle w:val="null3"/>
            </w:pPr>
            <w:r>
              <w:rPr/>
              <w:t>对合同权利和义务的响应</w:t>
            </w:r>
          </w:p>
        </w:tc>
        <w:tc>
          <w:tcPr>
            <w:tcW w:type="dxa" w:w="3322"/>
          </w:tcPr>
          <w:p>
            <w:pPr>
              <w:pStyle w:val="null3"/>
            </w:pPr>
            <w:r>
              <w:rPr/>
              <w:t>响应服务期限及合同中规定的双方的权利和义务。</w:t>
            </w:r>
          </w:p>
        </w:tc>
        <w:tc>
          <w:tcPr>
            <w:tcW w:type="dxa" w:w="1661"/>
          </w:tcPr>
          <w:p>
            <w:pPr>
              <w:pStyle w:val="null3"/>
            </w:pPr>
            <w:r>
              <w:rPr/>
              <w:t>商务响应及相关证明 投标文件封面</w:t>
            </w:r>
          </w:p>
        </w:tc>
      </w:tr>
      <w:tr>
        <w:tc>
          <w:tcPr>
            <w:tcW w:type="dxa" w:w="831"/>
          </w:tcPr>
          <w:p>
            <w:pPr>
              <w:pStyle w:val="null3"/>
            </w:pPr>
            <w:r>
              <w:rPr/>
              <w:t>6</w:t>
            </w:r>
          </w:p>
        </w:tc>
        <w:tc>
          <w:tcPr>
            <w:tcW w:type="dxa" w:w="2492"/>
          </w:tcPr>
          <w:p>
            <w:pPr>
              <w:pStyle w:val="null3"/>
            </w:pPr>
            <w:r>
              <w:rPr/>
              <w:t>授权委托书</w:t>
            </w:r>
          </w:p>
        </w:tc>
        <w:tc>
          <w:tcPr>
            <w:tcW w:type="dxa" w:w="3322"/>
          </w:tcPr>
          <w:p>
            <w:pPr>
              <w:pStyle w:val="null3"/>
            </w:pPr>
            <w:r>
              <w:rPr/>
              <w:t>提供有效的授权委托书及被授权人身份证（法定代表人、单位负责人或自然人直接投标的只须提交其身份证）。</w:t>
            </w:r>
          </w:p>
        </w:tc>
        <w:tc>
          <w:tcPr>
            <w:tcW w:type="dxa" w:w="1661"/>
          </w:tcPr>
          <w:p>
            <w:pPr>
              <w:pStyle w:val="null3"/>
            </w:pPr>
            <w:r>
              <w:rPr/>
              <w:t>投标文件封面 法定代表人（或负责人）授权书 法定代表人（或负责人）身份证明</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采购包2：</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w:t>
            </w:r>
          </w:p>
        </w:tc>
        <w:tc>
          <w:tcPr>
            <w:tcW w:type="dxa" w:w="2492"/>
          </w:tcPr>
          <w:p>
            <w:pPr>
              <w:pStyle w:val="null3"/>
            </w:pPr>
            <w:r>
              <w:rPr/>
              <w:t>投标产品技术指标完全满足招标文件要求，满足或正偏离得17分，有1项负偏离扣1分，扣完为止。说明：供应商须提供相关技术指标证明材料予以佐证。证明材料不限于产品的检测报告、试验报告、彩页、厂家出具的技术证明文件、实物照片、官网和功能截图等。供应商自行承担因材料提供不全导致的技术参数评审风险。</w:t>
            </w:r>
          </w:p>
        </w:tc>
        <w:tc>
          <w:tcPr>
            <w:tcW w:type="dxa" w:w="831"/>
          </w:tcPr>
          <w:p>
            <w:pPr>
              <w:pStyle w:val="null3"/>
              <w:jc w:val="right"/>
            </w:pPr>
            <w:r>
              <w:rPr/>
              <w:t>17.0000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产品功能</w:t>
            </w:r>
          </w:p>
        </w:tc>
        <w:tc>
          <w:tcPr>
            <w:tcW w:type="dxa" w:w="2492"/>
          </w:tcPr>
          <w:p>
            <w:pPr>
              <w:pStyle w:val="null3"/>
            </w:pPr>
            <w:r>
              <w:rPr/>
              <w:t>一、评审内容①产品配置；②技术规格;③技术工艺。二、评审标准：1、完整性：内容全面，对评审内容中的各项要求有详细描述；2、可行性：切合本项目实际情况，提出步骤清晰的方案； 3、针对性：紧扣项目实际情况需求，内容切实合理。三、赋分标准：①产品配置：每完全满足一个评审标准得1分，满分3分；②技术规格：每完全满足一个评审标准得1分，满分3分；③技术工艺：每完全满足一个评审标准得1分，满分3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产品可靠性</w:t>
            </w:r>
          </w:p>
        </w:tc>
        <w:tc>
          <w:tcPr>
            <w:tcW w:type="dxa" w:w="2492"/>
          </w:tcPr>
          <w:p>
            <w:pPr>
              <w:pStyle w:val="null3"/>
            </w:pPr>
            <w:r>
              <w:rPr/>
              <w:t>提供投标产品货源渠道合法的证明文件（包括但不限于销售协议、代理协议、原厂授权等），产品符合国家、行业标准及有关规定，确保产品性能稳定，无产权纠纷，得4分。其他得0分。</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供货方案</w:t>
            </w:r>
          </w:p>
        </w:tc>
        <w:tc>
          <w:tcPr>
            <w:tcW w:type="dxa" w:w="2492"/>
          </w:tcPr>
          <w:p>
            <w:pPr>
              <w:pStyle w:val="null3"/>
            </w:pPr>
            <w:r>
              <w:rPr/>
              <w:t>供货方案，包含但不限于产品备货、配送、安装调试、补（换）货等内容。方案详细、具体，内容齐全，针对性强，可行性强，满足项目需求，得3分；方案内容较齐全，较有针对性，较有可行性，得2分；方案内容基本齐全，基本可行，得1分。未提供得0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售后服务</w:t>
            </w:r>
          </w:p>
        </w:tc>
        <w:tc>
          <w:tcPr>
            <w:tcW w:type="dxa" w:w="2492"/>
          </w:tcPr>
          <w:p>
            <w:pPr>
              <w:pStyle w:val="null3"/>
            </w:pPr>
            <w:r>
              <w:rPr/>
              <w:t>一、评审内容①售后服务措施；②售后服务承诺。二、评审标准：1、完整性：内容全面，对评审内容中的各项要求有详细描述；2、可行性：切合本项目实际情况，提出步骤清晰的方案；3、针对性：紧扣项目实际情况需求，内容切实合理。三、赋分标准：①售后服务措施：每完全满足一个评审标准得1分，满分3分；②售后服务承诺：每完全满足一个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培训计划</w:t>
            </w:r>
          </w:p>
        </w:tc>
        <w:tc>
          <w:tcPr>
            <w:tcW w:type="dxa" w:w="2492"/>
          </w:tcPr>
          <w:p>
            <w:pPr>
              <w:pStyle w:val="null3"/>
            </w:pPr>
            <w:r>
              <w:rPr/>
              <w:t>一、评审内容①培训时间；②培训内容及培训方式。二、评审标准：1、完整性：内容全面，对评审内容中的各项要求有详细描述；2、可行性：切合本项目实际情况，提出步骤清晰的方案； 3、针对性：紧扣项目实际情况需求，内容切实合理。三、赋分标准：①培训时间：每完全满足一个评审标准得1分，满分3分；②培训内容及培训方式：每完全满足一个评审标准得1分，满分3分。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服务方案</w:t>
            </w:r>
          </w:p>
        </w:tc>
        <w:tc>
          <w:tcPr>
            <w:tcW w:type="dxa" w:w="2492"/>
          </w:tcPr>
          <w:p>
            <w:pPr>
              <w:pStyle w:val="null3"/>
            </w:pPr>
            <w:r>
              <w:rPr/>
              <w:t>一、评审内容①实施计划；②人员安排;③进度安排；④质量保证措施；⑤验收配合措施。二、评审标准：1、完整性：内容全面，对评审内容中的各项要求有详细描述；2、可行性：切合本项目实际情况，提出步骤清晰的方案； 3、针对性：紧扣项目实际情况需求，内容切实合理。三、赋分标准：①实施计划：每完全满足一个评审标准得1分，满分3分；②人员安排：每完全满足一个评审标准得1分，满分3分；③进度安排：每完全满足一个评审标准得1分，满分3分；④质量保证措施：每完全满足一个评审标准得1分，满分3分；⑤验收配合措施：每完全满足一个评审标准得1分，满分3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交货期</w:t>
            </w:r>
          </w:p>
        </w:tc>
        <w:tc>
          <w:tcPr>
            <w:tcW w:type="dxa" w:w="2492"/>
          </w:tcPr>
          <w:p>
            <w:pPr>
              <w:pStyle w:val="null3"/>
            </w:pPr>
            <w:r>
              <w:rPr/>
              <w:t>优于招标文件交货期要求的，每提前5天交付得1分，此项最高得3分。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质保期</w:t>
            </w:r>
          </w:p>
        </w:tc>
        <w:tc>
          <w:tcPr>
            <w:tcW w:type="dxa" w:w="2492"/>
          </w:tcPr>
          <w:p>
            <w:pPr>
              <w:pStyle w:val="null3"/>
            </w:pPr>
            <w:r>
              <w:rPr/>
              <w:t>质保期必须满足招标要求，在此基础上每增加1年质保得1分，最多得2分。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业绩</w:t>
            </w:r>
          </w:p>
        </w:tc>
        <w:tc>
          <w:tcPr>
            <w:tcW w:type="dxa" w:w="2492"/>
          </w:tcPr>
          <w:p>
            <w:pPr>
              <w:pStyle w:val="null3"/>
            </w:pPr>
            <w:r>
              <w:rPr/>
              <w:t>提供投标供应商自2021年1月1日起至投标截止日止实施过的类似项目业绩，提供合同的复印件并加盖单位公章，以合同的签订日期为准。每提供1份得1分，最多得5分，未提供或提供的合同内容模糊无法辨认得0分。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各有效供应商的评审价中，取最低的供应商的价格作为基准价。每各有效供应商的价格评分统一按照下列公式计算： 价格评分＝（基准价/评审价）×30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w:t>
            </w:r>
          </w:p>
        </w:tc>
        <w:tc>
          <w:tcPr>
            <w:tcW w:type="dxa" w:w="2492"/>
          </w:tcPr>
          <w:p>
            <w:pPr>
              <w:pStyle w:val="null3"/>
            </w:pPr>
            <w:r>
              <w:rPr/>
              <w:t>投标产品技术指标完全满足招标文件要求，满足或正偏离得17分，有1项负偏离扣1分，扣完为止。说明：供应商须提供相关技术指标证明材料予以佐证。证明材料不限于产品的检测报告、试验报告、彩页、厂家出具的技术证明文件、实物照片、官网和功能截图等。供应商自行承担因材料提供不全导致的技术参数评审风险。</w:t>
            </w:r>
          </w:p>
        </w:tc>
        <w:tc>
          <w:tcPr>
            <w:tcW w:type="dxa" w:w="831"/>
          </w:tcPr>
          <w:p>
            <w:pPr>
              <w:pStyle w:val="null3"/>
              <w:jc w:val="right"/>
            </w:pPr>
            <w:r>
              <w:rPr/>
              <w:t>17.0000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产品功能</w:t>
            </w:r>
          </w:p>
        </w:tc>
        <w:tc>
          <w:tcPr>
            <w:tcW w:type="dxa" w:w="2492"/>
          </w:tcPr>
          <w:p>
            <w:pPr>
              <w:pStyle w:val="null3"/>
            </w:pPr>
            <w:r>
              <w:rPr/>
              <w:t>一、评审内容①产品配置；②技术规格;③技术工艺。二、评审标准：1、完整性：内容全面，对评审内容中的各项要求有详细描述；2、可行性：切合本项目实际情况，提出步骤清晰的方案； 3、针对性：紧扣项目实际情况需求，内容切实合理。三、赋分标准：①产品配置：每完全满足一个评审标准得1分，满分3分；②技术规格：每完全满足一个评审标准得1分，满分3分；③技术工艺：每完全满足一个评审标准得1分，满分3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产品可靠性</w:t>
            </w:r>
          </w:p>
        </w:tc>
        <w:tc>
          <w:tcPr>
            <w:tcW w:type="dxa" w:w="2492"/>
          </w:tcPr>
          <w:p>
            <w:pPr>
              <w:pStyle w:val="null3"/>
            </w:pPr>
            <w:r>
              <w:rPr/>
              <w:t>提供投标产品货源渠道合法的证明文件（包括但不限于销售协议、代理协议、原厂授权等），产品符合国家、行业标准及有关规定，确保产品性能稳定，无产权纠纷，得4分。其他得0分。</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供货方案</w:t>
            </w:r>
          </w:p>
        </w:tc>
        <w:tc>
          <w:tcPr>
            <w:tcW w:type="dxa" w:w="2492"/>
          </w:tcPr>
          <w:p>
            <w:pPr>
              <w:pStyle w:val="null3"/>
            </w:pPr>
            <w:r>
              <w:rPr/>
              <w:t>供货方案，包含但不限于产品备货、配送、安装调试、补（换）货等内容。方案详细、具体，内容齐全，针对性强，可行性强，满足项目需求，得3分；方案内容较齐全，较有针对性，较有可行性，得2分；方案内容基本齐全，基本可行，得1分。未提供得0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售后服务</w:t>
            </w:r>
          </w:p>
        </w:tc>
        <w:tc>
          <w:tcPr>
            <w:tcW w:type="dxa" w:w="2492"/>
          </w:tcPr>
          <w:p>
            <w:pPr>
              <w:pStyle w:val="null3"/>
            </w:pPr>
            <w:r>
              <w:rPr/>
              <w:t>一、评审内容①售后服务措施；②售后服务承诺。二、评审标准：1、完整性：内容全面，对评审内容中的各项要求有详细描述；2、可行性：切合本项目实际情况，提出步骤清晰的方案；3、针对性：紧扣项目实际情况需求，内容切实合理。三、赋分标准：①售后服务措施：每完全满足一个评审标准得1分，满分3分；②售后服务承诺：每完全满足一个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培训计划</w:t>
            </w:r>
          </w:p>
        </w:tc>
        <w:tc>
          <w:tcPr>
            <w:tcW w:type="dxa" w:w="2492"/>
          </w:tcPr>
          <w:p>
            <w:pPr>
              <w:pStyle w:val="null3"/>
            </w:pPr>
            <w:r>
              <w:rPr/>
              <w:t>一、评审内容①培训时间；②培训内容及培训方式。二、评审标准：1、完整性：内容全面，对评审内容中的各项要求有详细描述；2、可行性：切合本项目实际情况，提出步骤清晰的方案； 3、针对性：紧扣项目实际情况需求，内容切实合理。三、赋分标准：①培训时间：每完全满足一个评审标准得1分，满分3分；②培训内容及培训方式：每完全满足一个评审标准得1分，满分3分。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服务方案</w:t>
            </w:r>
          </w:p>
        </w:tc>
        <w:tc>
          <w:tcPr>
            <w:tcW w:type="dxa" w:w="2492"/>
          </w:tcPr>
          <w:p>
            <w:pPr>
              <w:pStyle w:val="null3"/>
            </w:pPr>
            <w:r>
              <w:rPr/>
              <w:t>一、评审内容①实施计划；②人员安排;③进度安排；④质量保证措施；⑤验收配合措施。二、评审标准：1、完整性：内容全面，对评审内容中的各项要求有详细描述；2、可行性：切合本项目实际情况，提出步骤清晰的方案； 3、针对性：紧扣项目实际情况需求，内容切实合理。三、赋分标准：①实施计划：每完全满足一个评审标准得1分，满分3分；②人员安排：每完全满足一个评审标准得1分，满分3分；③进度安排：每完全满足一个评审标准得1分，满分3分；④质量保证措施：每完全满足一个评审标准得1分，满分3分；⑤验收配合措施：每完全满足一个评审标准得1分，满分3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交货期</w:t>
            </w:r>
          </w:p>
        </w:tc>
        <w:tc>
          <w:tcPr>
            <w:tcW w:type="dxa" w:w="2492"/>
          </w:tcPr>
          <w:p>
            <w:pPr>
              <w:pStyle w:val="null3"/>
            </w:pPr>
            <w:r>
              <w:rPr/>
              <w:t>优于招标文件交货期要求的，每提前5天交付得1分，此项最高得3分。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质保期</w:t>
            </w:r>
          </w:p>
        </w:tc>
        <w:tc>
          <w:tcPr>
            <w:tcW w:type="dxa" w:w="2492"/>
          </w:tcPr>
          <w:p>
            <w:pPr>
              <w:pStyle w:val="null3"/>
            </w:pPr>
            <w:r>
              <w:rPr/>
              <w:t>质保期必须满足招标要求，在此基础上每增加1年质保得1分，最多得2分。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业绩</w:t>
            </w:r>
          </w:p>
        </w:tc>
        <w:tc>
          <w:tcPr>
            <w:tcW w:type="dxa" w:w="2492"/>
          </w:tcPr>
          <w:p>
            <w:pPr>
              <w:pStyle w:val="null3"/>
            </w:pPr>
            <w:r>
              <w:rPr/>
              <w:t>提供投标供应商自2021年1月1日起至投标截止日止实施过的类似项目业绩，提供合同的复印件并加盖单位公章，以合同的签订日期为准。每提供1份得1分，最多得5分，未提供或提供的合同内容模糊无法辨认得0分。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各有效供应商的评审价中，取最低的供应商的价格作为基准价。每各有效供应商的价格评分统一按照下列公式计算： 价格评分＝（基准价/评审价）×30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详见附件：报价表</w:t>
      </w:r>
    </w:p>
    <w:p>
      <w:pPr>
        <w:pStyle w:val="null3"/>
        <w:ind w:firstLine="960"/>
      </w:pPr>
      <w:r>
        <w:rPr/>
        <w:t>详见附件：报价明细表</w:t>
      </w:r>
    </w:p>
    <w:p>
      <w:pPr>
        <w:pStyle w:val="null3"/>
        <w:ind w:firstLine="960"/>
      </w:pPr>
      <w:r>
        <w:rPr/>
        <w:t>详见附件：法定代表人（或负责人）身份证明</w:t>
      </w:r>
    </w:p>
    <w:p>
      <w:pPr>
        <w:pStyle w:val="null3"/>
        <w:ind w:firstLine="960"/>
      </w:pPr>
      <w:r>
        <w:rPr/>
        <w:t>详见附件：法定代表人（或负责人）授权书</w:t>
      </w:r>
    </w:p>
    <w:p>
      <w:pPr>
        <w:pStyle w:val="null3"/>
        <w:ind w:firstLine="960"/>
      </w:pPr>
      <w:r>
        <w:rPr/>
        <w:t>详见附件：资格审查证明文件</w:t>
      </w:r>
    </w:p>
    <w:p>
      <w:pPr>
        <w:pStyle w:val="null3"/>
        <w:ind w:firstLine="960"/>
      </w:pPr>
      <w:r>
        <w:rPr/>
        <w:t>详见附件：技术响应</w:t>
      </w:r>
    </w:p>
    <w:p>
      <w:pPr>
        <w:pStyle w:val="null3"/>
        <w:ind w:firstLine="960"/>
      </w:pPr>
      <w:r>
        <w:rPr/>
        <w:t>详见附件：商务响应及相关证明</w:t>
      </w:r>
    </w:p>
    <w:p>
      <w:pPr>
        <w:pStyle w:val="null3"/>
        <w:ind w:firstLine="960"/>
      </w:pPr>
      <w:r>
        <w:rPr/>
        <w:t>详见附件：承诺</w:t>
      </w:r>
    </w:p>
    <w:p>
      <w:pPr>
        <w:pStyle w:val="null3"/>
        <w:ind w:firstLine="960"/>
      </w:pPr>
      <w:r>
        <w:rPr/>
        <w:t>详见附件：近年业绩及相关证明材料</w:t>
      </w:r>
    </w:p>
    <w:p>
      <w:pPr>
        <w:pStyle w:val="null3"/>
        <w:ind w:firstLine="960"/>
      </w:pPr>
      <w:r>
        <w:rPr/>
        <w:t>详见附件：备品备件清单（如果有）</w:t>
      </w:r>
    </w:p>
    <w:p>
      <w:pPr>
        <w:pStyle w:val="null3"/>
        <w:ind w:firstLine="960"/>
      </w:pPr>
      <w:r>
        <w:rPr/>
        <w:t>详见附件：选配件报价表（如果有）</w:t>
      </w:r>
    </w:p>
    <w:p>
      <w:pPr>
        <w:pStyle w:val="null3"/>
      </w:pPr>
      <w:r>
        <w:rPr/>
        <w:t>采购包2：</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详见附件：报价表</w:t>
      </w:r>
    </w:p>
    <w:p>
      <w:pPr>
        <w:pStyle w:val="null3"/>
        <w:ind w:firstLine="960"/>
      </w:pPr>
      <w:r>
        <w:rPr/>
        <w:t>详见附件：报价明细表</w:t>
      </w:r>
    </w:p>
    <w:p>
      <w:pPr>
        <w:pStyle w:val="null3"/>
        <w:ind w:firstLine="960"/>
      </w:pPr>
      <w:r>
        <w:rPr/>
        <w:t>详见附件：法定代表人（或负责人）身份证明</w:t>
      </w:r>
    </w:p>
    <w:p>
      <w:pPr>
        <w:pStyle w:val="null3"/>
        <w:ind w:firstLine="960"/>
      </w:pPr>
      <w:r>
        <w:rPr/>
        <w:t>详见附件：法定代表人（或负责人）授权书</w:t>
      </w:r>
    </w:p>
    <w:p>
      <w:pPr>
        <w:pStyle w:val="null3"/>
        <w:ind w:firstLine="960"/>
      </w:pPr>
      <w:r>
        <w:rPr/>
        <w:t>详见附件：资格审查证明文件</w:t>
      </w:r>
    </w:p>
    <w:p>
      <w:pPr>
        <w:pStyle w:val="null3"/>
        <w:ind w:firstLine="960"/>
      </w:pPr>
      <w:r>
        <w:rPr/>
        <w:t>详见附件：技术响应</w:t>
      </w:r>
    </w:p>
    <w:p>
      <w:pPr>
        <w:pStyle w:val="null3"/>
        <w:ind w:firstLine="960"/>
      </w:pPr>
      <w:r>
        <w:rPr/>
        <w:t>详见附件：商务响应及相关证明</w:t>
      </w:r>
    </w:p>
    <w:p>
      <w:pPr>
        <w:pStyle w:val="null3"/>
        <w:ind w:firstLine="960"/>
      </w:pPr>
      <w:r>
        <w:rPr/>
        <w:t>详见附件：近年业绩及相关证明材料</w:t>
      </w:r>
    </w:p>
    <w:p>
      <w:pPr>
        <w:pStyle w:val="null3"/>
        <w:ind w:firstLine="960"/>
      </w:pPr>
      <w:r>
        <w:rPr/>
        <w:t>详见附件：承诺</w:t>
      </w:r>
    </w:p>
    <w:p>
      <w:pPr>
        <w:pStyle w:val="null3"/>
        <w:ind w:firstLine="960"/>
      </w:pPr>
      <w:r>
        <w:rPr/>
        <w:t>详见附件：备品备件清单（如果有）</w:t>
      </w:r>
    </w:p>
    <w:p>
      <w:pPr>
        <w:pStyle w:val="null3"/>
        <w:ind w:firstLine="960"/>
      </w:pPr>
      <w:r>
        <w:rPr/>
        <w:t>详见附件：选配件报价表（如果有）</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详见附件：模板-货物采购类合同-设备更新12.11（上传版）.docx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