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FDA35">
      <w:pPr>
        <w:spacing w:line="360" w:lineRule="auto"/>
        <w:jc w:val="center"/>
        <w:rPr>
          <w:rFonts w:hint="eastAsia" w:ascii="宋体" w:hAnsi="宋体" w:eastAsia="宋体"/>
          <w:b/>
          <w:bCs/>
          <w:sz w:val="24"/>
          <w:szCs w:val="24"/>
        </w:rPr>
      </w:pPr>
      <w:r>
        <w:rPr>
          <w:rFonts w:hint="eastAsia" w:ascii="宋体" w:hAnsi="宋体" w:eastAsia="宋体"/>
          <w:b/>
          <w:bCs/>
          <w:sz w:val="24"/>
          <w:szCs w:val="24"/>
        </w:rPr>
        <w:t>工业智能控制与驱动技术平台建设项目</w:t>
      </w:r>
    </w:p>
    <w:p w14:paraId="38213D1C">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14:paraId="056C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14:paraId="4F7CD391">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14:paraId="397695CF">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14:paraId="736A14A8">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14:paraId="0931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578BB1B6">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14:paraId="435D2DE1">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14:paraId="21AF5A69">
            <w:pPr>
              <w:pStyle w:val="14"/>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en-US" w:eastAsia="zh-CN" w:bidi="zh-TW"/>
              </w:rPr>
              <w:t>陕西工业职业技术学院</w:t>
            </w:r>
          </w:p>
        </w:tc>
      </w:tr>
      <w:tr w14:paraId="7948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756D68D1">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14:paraId="1E38EC48">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14:paraId="7288D511">
            <w:pPr>
              <w:pStyle w:val="14"/>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工业智能控制与驱动技术平台建设项目</w:t>
            </w:r>
          </w:p>
        </w:tc>
      </w:tr>
      <w:tr w14:paraId="1B5C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8" w:type="dxa"/>
            <w:vAlign w:val="center"/>
          </w:tcPr>
          <w:p w14:paraId="1BAD904F">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14:paraId="44E2F986">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14:paraId="121C8829">
            <w:pPr>
              <w:pStyle w:val="14"/>
              <w:spacing w:line="240" w:lineRule="auto"/>
              <w:ind w:firstLine="210" w:firstLineChars="10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工业智能控制与驱动技术平台建设项目共计6套设备，预算324万元。每套设备包含供料工艺运动控制、包装工艺运动控制和仓库工艺运动控制3个工作站，包括PLC逻辑控制器、触摸屏、伺服控制系统、步进控制系统、工业机器人、工业传感器等主要的智能控制元器件，同时，系统还包括源自抽象于工业生产的控制对象，组成学生应用实践类教学的完整实训系统。建成后可同时容纳50名学生实训，并服务于企业的技术技能培训和考核。平台的建设有助于提升运控控制领域的教学与科研服务能力，为学生提供更先进的实践平台，提升学校在实践教学与科研中对工业智能控制全流程的认知与把控，提高学生的技术能力与市场竞争力。（详见</w:t>
            </w:r>
            <w:r>
              <w:rPr>
                <w:rFonts w:hint="eastAsia" w:cs="宋体"/>
                <w:color w:val="000000"/>
                <w:kern w:val="2"/>
                <w:sz w:val="21"/>
                <w:szCs w:val="21"/>
                <w:highlight w:val="none"/>
                <w:lang w:val="zh-TW" w:eastAsia="zh-CN" w:bidi="zh-TW"/>
              </w:rPr>
              <w:t>招标</w:t>
            </w:r>
            <w:r>
              <w:rPr>
                <w:rFonts w:hint="eastAsia" w:ascii="宋体" w:hAnsi="宋体" w:eastAsia="宋体" w:cs="宋体"/>
                <w:color w:val="000000"/>
                <w:kern w:val="2"/>
                <w:sz w:val="21"/>
                <w:szCs w:val="21"/>
                <w:highlight w:val="none"/>
                <w:lang w:val="zh-TW" w:eastAsia="zh-CN" w:bidi="zh-TW"/>
              </w:rPr>
              <w:t>文件）</w:t>
            </w:r>
          </w:p>
        </w:tc>
      </w:tr>
      <w:tr w14:paraId="01B8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4724FA2F">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14:paraId="00327599">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14:paraId="105C5BA9">
            <w:pPr>
              <w:pStyle w:val="14"/>
              <w:tabs>
                <w:tab w:val="left" w:leader="underscore" w:pos="2034"/>
              </w:tabs>
              <w:spacing w:line="292" w:lineRule="exact"/>
              <w:ind w:firstLine="0" w:firstLineChars="0"/>
              <w:jc w:val="center"/>
              <w:rPr>
                <w:rFonts w:hint="default"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公开招标</w:t>
            </w:r>
          </w:p>
        </w:tc>
      </w:tr>
      <w:tr w14:paraId="0EB4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5B6A6E61">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14:paraId="02C3C45C">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14:paraId="0FEEBD71">
            <w:pPr>
              <w:pStyle w:val="14"/>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lang w:val="en-US" w:eastAsia="zh-CN"/>
              </w:rPr>
              <w:t>324</w:t>
            </w:r>
            <w:r>
              <w:rPr>
                <w:rFonts w:hint="eastAsia" w:cs="宋体"/>
                <w:b/>
                <w:color w:val="000000"/>
                <w:sz w:val="21"/>
                <w:szCs w:val="21"/>
                <w:highlight w:val="none"/>
                <w:lang w:eastAsia="zh-CN"/>
              </w:rPr>
              <w:t>0000.00</w:t>
            </w:r>
            <w:r>
              <w:rPr>
                <w:rFonts w:hint="eastAsia" w:ascii="宋体" w:hAnsi="宋体" w:eastAsia="宋体" w:cs="宋体"/>
                <w:b/>
                <w:color w:val="000000"/>
                <w:sz w:val="21"/>
                <w:szCs w:val="21"/>
                <w:highlight w:val="none"/>
                <w:u w:val="none"/>
              </w:rPr>
              <w:t>元</w:t>
            </w:r>
          </w:p>
        </w:tc>
      </w:tr>
      <w:tr w14:paraId="4A3B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14:paraId="3F18BF02">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14:paraId="6F71F011">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14:paraId="6D0E7F0A">
            <w:pPr>
              <w:pStyle w:val="14"/>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lang w:val="en-US" w:eastAsia="zh-CN"/>
              </w:rPr>
              <w:t>324</w:t>
            </w:r>
            <w:r>
              <w:rPr>
                <w:rFonts w:hint="eastAsia" w:cs="宋体"/>
                <w:b/>
                <w:color w:val="000000"/>
                <w:sz w:val="21"/>
                <w:szCs w:val="21"/>
                <w:highlight w:val="none"/>
                <w:lang w:eastAsia="zh-CN"/>
              </w:rPr>
              <w:t>0000.00</w:t>
            </w:r>
            <w:r>
              <w:rPr>
                <w:rFonts w:hint="eastAsia" w:ascii="宋体" w:hAnsi="宋体" w:eastAsia="宋体" w:cs="宋体"/>
                <w:b/>
                <w:color w:val="000000"/>
                <w:sz w:val="21"/>
                <w:szCs w:val="21"/>
                <w:highlight w:val="none"/>
                <w:u w:val="none"/>
              </w:rPr>
              <w:t>元</w:t>
            </w:r>
            <w:r>
              <w:rPr>
                <w:rFonts w:hint="eastAsia" w:cs="宋体"/>
                <w:b/>
                <w:color w:val="000000"/>
                <w:sz w:val="21"/>
                <w:szCs w:val="21"/>
                <w:highlight w:val="none"/>
                <w:u w:val="none"/>
                <w:lang w:eastAsia="zh-CN"/>
              </w:rPr>
              <w:t>，</w:t>
            </w:r>
            <w:r>
              <w:rPr>
                <w:rFonts w:hint="eastAsia" w:ascii="宋体" w:hAnsi="宋体" w:eastAsia="宋体" w:cs="宋体"/>
                <w:color w:val="000000"/>
                <w:sz w:val="21"/>
                <w:szCs w:val="21"/>
                <w:highlight w:val="none"/>
              </w:rPr>
              <w:t>供应商投标报价高于最高限价的则其投标文件将按无效文件处理。</w:t>
            </w:r>
          </w:p>
        </w:tc>
      </w:tr>
      <w:tr w14:paraId="662C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1C7A741C">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14:paraId="182485DC">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14:paraId="6E6C4A2D">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A3"/>
            </w:r>
            <w:r>
              <w:rPr>
                <w:rFonts w:hint="eastAsia" w:ascii="宋体" w:hAnsi="宋体" w:eastAsia="宋体" w:cs="宋体"/>
                <w:b/>
                <w:color w:val="000000"/>
                <w:sz w:val="21"/>
                <w:szCs w:val="21"/>
                <w:highlight w:val="none"/>
              </w:rPr>
              <w:t>专门面向中小企业釆购</w:t>
            </w:r>
          </w:p>
          <w:p w14:paraId="0F03E355">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14:paraId="03574F0F">
            <w:pPr>
              <w:pStyle w:val="14"/>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14:paraId="527F605F">
            <w:pPr>
              <w:pStyle w:val="14"/>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w:t>
            </w:r>
            <w:r>
              <w:rPr>
                <w:rFonts w:hint="eastAsia" w:cs="宋体"/>
                <w:color w:val="000000"/>
                <w:sz w:val="21"/>
                <w:szCs w:val="21"/>
                <w:highlight w:val="none"/>
                <w:lang w:eastAsia="zh-CN"/>
              </w:rPr>
              <w:t>、</w:t>
            </w:r>
            <w:r>
              <w:rPr>
                <w:rFonts w:hint="eastAsia" w:cs="宋体"/>
                <w:color w:val="000000"/>
                <w:sz w:val="21"/>
                <w:szCs w:val="21"/>
                <w:highlight w:val="none"/>
                <w:lang w:val="en-US" w:eastAsia="zh-CN"/>
              </w:rPr>
              <w:t>残疾人福利性单位</w:t>
            </w:r>
            <w:r>
              <w:rPr>
                <w:rFonts w:hint="eastAsia" w:ascii="宋体" w:hAnsi="宋体" w:eastAsia="宋体" w:cs="宋体"/>
                <w:color w:val="000000"/>
                <w:sz w:val="21"/>
                <w:szCs w:val="21"/>
                <w:highlight w:val="none"/>
              </w:rPr>
              <w:t>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14:paraId="7AF7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F5E349A">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14:paraId="4B433C72">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14:paraId="5FBB2F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合同包1(工业智能控制与驱动技术平台建设项目)特定资格要求如下:</w:t>
            </w:r>
          </w:p>
          <w:p w14:paraId="08C24E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1、具有独立承担民事责任能力的法人、其他组织或自然人：提供营业执照、组织机构代码证、税务登记证（三证合一只</w:t>
            </w:r>
          </w:p>
          <w:p w14:paraId="70FA07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提供营业执照，事业单位提供事业单位法人证书，自然人应提供身份证）合法有效；供应商需在项目电子化交易系统中按要求上传相应证明文件并进行电子签章。</w:t>
            </w:r>
          </w:p>
          <w:p w14:paraId="7C5CCA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2、法定代表人参加投标时，提供本人身份证；授权代表参加投标时，提供法定代表人授权书和被授权人身份证；非法人</w:t>
            </w:r>
          </w:p>
          <w:p w14:paraId="5613B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单位参照执行：法定代表人参加投标时，提供本人身份证；授权代表参加投标时，提供法定代表人授权书和被授权人身份证；非法人单位参照执行。供应商需在项目电子化交易系统中按要求上传相应证明文件并进行电子签章。</w:t>
            </w:r>
          </w:p>
          <w:p w14:paraId="41683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3、参加政府采购活动前三年内，在经营活动中没有重大违法记录的书面声明：参加政府采购活动前三年内，在经营活动</w:t>
            </w:r>
          </w:p>
          <w:p w14:paraId="27E50F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中没有重大违法记录的书面声明；供应商需在项目电子化交易系统中按要求上传相应证明文件并进行电子签章。</w:t>
            </w:r>
          </w:p>
          <w:p w14:paraId="52948B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4、供应商提供具有履行合同所必需的设备和专业技术能力的承诺：供应商提供具有履行合同所必需的设备和专业技术能</w:t>
            </w:r>
          </w:p>
          <w:p w14:paraId="4B0DCC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力的承诺，供应商需在项目电子化交易系统中按要求上传相应证明文件并进行电子签章。</w:t>
            </w:r>
          </w:p>
          <w:p w14:paraId="70FA23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5、供应商应提供健全的财务会计制度的证明材料：提供2022年度或2023年度经审计的财务报告或开标前三个月内开户</w:t>
            </w:r>
          </w:p>
          <w:p w14:paraId="16942A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银行开具的资信证明及基本存款账户信息；供应商需在项目电子化交易系统中按要求上传相应证明文件并进行电子签章。</w:t>
            </w:r>
          </w:p>
          <w:p w14:paraId="207F39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6、税收证明：提供2024年1月1日以来已缴纳任意一个月完税凭证或税务机关开具的完税证明（任意税种）；依法免税</w:t>
            </w:r>
          </w:p>
          <w:p w14:paraId="44074E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的应提供相关文件证明；供应商需在项目电子化交易系统中按要求上传相应证明文件并进行电子签章。</w:t>
            </w:r>
          </w:p>
          <w:p w14:paraId="3E33F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7、社会保障资金缴纳证明：提供2024年1月1日以来已缴存的任意一个月的社会保障资金缴存证明或社保机构开具的社</w:t>
            </w:r>
          </w:p>
          <w:p w14:paraId="7B821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会保险参保缴费情况证明；依法不需要缴纳社会保障资金的应提供相关文件证明；供应商需在项目电子化交易系统中按要求上传相应证明文件并进行电子签章。</w:t>
            </w:r>
          </w:p>
          <w:p w14:paraId="0E811A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8、单位负责人为同一人或者存在直接控股、管理关系的不同供应商不得参加同一合同项下的政府采购活动； 为本项目提</w:t>
            </w:r>
          </w:p>
          <w:p w14:paraId="46EFD2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供整体设计、规范编制或者项目管理、监理、检测等服务的供应商，不得再参加该采购项目的其他采购活动。：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为本项目提供整体设计、规范编制或者项目管理、监理、检测等服务的供应商，不得再参加该采购项目的其他采购活动。供应商需在项目电子化交易系统中按要求填写《投标函》完成承诺并进行电子签章。</w:t>
            </w:r>
          </w:p>
          <w:p w14:paraId="040A2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9、信用查询：供应商不得为“信用中国”网站（www.creditchina.gov.cn）或“中国执信公开网”中被列入失信被执行</w:t>
            </w:r>
          </w:p>
          <w:p w14:paraId="5A96C0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人、重大税收违法案件当事人名单和中国政府采购网（www.ccgp.gov.cn）被列入政府采购严重违法失信行为记录名单的单</w:t>
            </w:r>
          </w:p>
          <w:p w14:paraId="588D62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位。供应商需在项目电子化交易系统中按要求上传相应证明文件并进行电子签章。开标时将由代理机构进行现场查询。</w:t>
            </w:r>
          </w:p>
          <w:p w14:paraId="677F57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10、本项目不接受联合体投标：本项目不接受联合体投标，供应商需在项目电子化交易系统中按要求上传相应承诺并进</w:t>
            </w:r>
          </w:p>
          <w:p w14:paraId="46CB42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rPr>
            </w:pPr>
            <w:r>
              <w:rPr>
                <w:rFonts w:hint="eastAsia"/>
              </w:rPr>
              <w:t>行电子签章。</w:t>
            </w:r>
          </w:p>
        </w:tc>
      </w:tr>
      <w:tr w14:paraId="73CB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2A17679D">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14:paraId="063D6C19">
            <w:pPr>
              <w:pStyle w:val="14"/>
              <w:spacing w:line="313" w:lineRule="exact"/>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具体内容</w:t>
            </w:r>
          </w:p>
        </w:tc>
        <w:tc>
          <w:tcPr>
            <w:tcW w:w="6612" w:type="dxa"/>
            <w:gridSpan w:val="2"/>
            <w:vAlign w:val="center"/>
          </w:tcPr>
          <w:p w14:paraId="1BF23770">
            <w:pPr>
              <w:pStyle w:val="14"/>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招标文件</w:t>
            </w:r>
          </w:p>
        </w:tc>
      </w:tr>
      <w:tr w14:paraId="2113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14FE715D">
            <w:pPr>
              <w:pStyle w:val="14"/>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14:paraId="47C66B64">
            <w:pPr>
              <w:pStyle w:val="14"/>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14:paraId="31E8A37F">
            <w:pPr>
              <w:pStyle w:val="14"/>
              <w:tabs>
                <w:tab w:val="left" w:leader="underscore" w:pos="3478"/>
              </w:tabs>
              <w:spacing w:line="316" w:lineRule="exact"/>
              <w:ind w:firstLine="0" w:firstLineChars="0"/>
              <w:jc w:val="center"/>
              <w:rPr>
                <w:rFonts w:hint="default" w:ascii="宋体" w:hAnsi="宋体" w:eastAsia="宋体" w:cs="宋体"/>
                <w:sz w:val="21"/>
                <w:szCs w:val="21"/>
                <w:vertAlign w:val="baseline"/>
                <w:lang w:val="en-US"/>
              </w:rPr>
            </w:pPr>
            <w:r>
              <w:rPr>
                <w:rFonts w:hint="eastAsia" w:cs="宋体"/>
                <w:color w:val="000000"/>
                <w:sz w:val="21"/>
                <w:szCs w:val="21"/>
                <w:highlight w:val="none"/>
                <w:lang w:val="en-US" w:eastAsia="zh-CN"/>
              </w:rPr>
              <w:t>交货时间</w:t>
            </w:r>
          </w:p>
        </w:tc>
        <w:tc>
          <w:tcPr>
            <w:tcW w:w="4909" w:type="dxa"/>
            <w:vAlign w:val="center"/>
          </w:tcPr>
          <w:p w14:paraId="1C2FAA27">
            <w:pPr>
              <w:pStyle w:val="14"/>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交货期:合同签订之日起120个日历日 安装调试期:到货之日起60个日历日内</w:t>
            </w:r>
          </w:p>
        </w:tc>
      </w:tr>
      <w:tr w14:paraId="37B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6C0D4AEA">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14:paraId="53B12E18">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14:paraId="44FB482C">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交货</w:t>
            </w:r>
            <w:r>
              <w:rPr>
                <w:rFonts w:hint="eastAsia" w:ascii="宋体" w:hAnsi="宋体" w:eastAsia="宋体" w:cs="宋体"/>
                <w:color w:val="000000"/>
                <w:sz w:val="21"/>
                <w:szCs w:val="21"/>
                <w:highlight w:val="none"/>
                <w:lang w:eastAsia="zh-CN"/>
              </w:rPr>
              <w:t>地点</w:t>
            </w:r>
          </w:p>
        </w:tc>
        <w:tc>
          <w:tcPr>
            <w:tcW w:w="4909" w:type="dxa"/>
            <w:vAlign w:val="center"/>
          </w:tcPr>
          <w:p w14:paraId="05499C80">
            <w:pPr>
              <w:pStyle w:val="14"/>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采购人指定地点</w:t>
            </w:r>
          </w:p>
        </w:tc>
      </w:tr>
      <w:tr w14:paraId="73AF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0178692F">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14:paraId="1C6BCBA2">
            <w:pPr>
              <w:pStyle w:val="14"/>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14:paraId="22C5FE19">
            <w:pPr>
              <w:pStyle w:val="14"/>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14:paraId="442269BD">
            <w:pPr>
              <w:pStyle w:val="14"/>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14:paraId="111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6AAADDE3">
            <w:pPr>
              <w:rPr>
                <w:rFonts w:hint="eastAsia" w:ascii="宋体" w:hAnsi="宋体" w:eastAsia="宋体" w:cs="宋体"/>
                <w:sz w:val="21"/>
                <w:szCs w:val="21"/>
              </w:rPr>
            </w:pPr>
          </w:p>
        </w:tc>
        <w:tc>
          <w:tcPr>
            <w:tcW w:w="1590" w:type="dxa"/>
            <w:vMerge w:val="continue"/>
            <w:vAlign w:val="center"/>
          </w:tcPr>
          <w:p w14:paraId="6FBE25FA">
            <w:pPr>
              <w:rPr>
                <w:rFonts w:hint="eastAsia" w:ascii="宋体" w:hAnsi="宋体" w:eastAsia="宋体" w:cs="宋体"/>
                <w:sz w:val="21"/>
                <w:szCs w:val="21"/>
              </w:rPr>
            </w:pPr>
          </w:p>
        </w:tc>
        <w:tc>
          <w:tcPr>
            <w:tcW w:w="6612" w:type="dxa"/>
            <w:gridSpan w:val="2"/>
            <w:vAlign w:val="top"/>
          </w:tcPr>
          <w:p w14:paraId="2A21A44C">
            <w:pPr>
              <w:pStyle w:val="14"/>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14:paraId="788E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08" w:type="dxa"/>
            <w:vAlign w:val="center"/>
          </w:tcPr>
          <w:p w14:paraId="66A939C2">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14:paraId="4189CD6C">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14:paraId="2F0746A1">
            <w:pPr>
              <w:pStyle w:val="14"/>
              <w:spacing w:line="306" w:lineRule="exact"/>
              <w:ind w:firstLine="0"/>
              <w:jc w:val="both"/>
              <w:rPr>
                <w:rFonts w:hint="eastAsia" w:ascii="宋体" w:hAnsi="宋体" w:eastAsia="宋体" w:cs="宋体"/>
                <w:b/>
                <w:color w:val="000000"/>
                <w:sz w:val="21"/>
                <w:szCs w:val="21"/>
                <w:highlight w:val="none"/>
              </w:rPr>
            </w:pPr>
            <w:r>
              <w:rPr>
                <w:rFonts w:hint="eastAsia" w:cs="宋体"/>
                <w:color w:val="000000"/>
                <w:sz w:val="21"/>
                <w:szCs w:val="21"/>
                <w:highlight w:val="none"/>
                <w:lang w:eastAsia="zh-CN"/>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cs="宋体"/>
                <w:b/>
                <w:color w:val="000000"/>
                <w:sz w:val="21"/>
                <w:szCs w:val="21"/>
                <w:highlight w:val="none"/>
                <w:u w:val="single"/>
                <w:lang w:val="en-US" w:eastAsia="zh-CN"/>
              </w:rPr>
              <w:t>5</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14:paraId="7F33E23D">
            <w:pPr>
              <w:pStyle w:val="14"/>
              <w:spacing w:line="306" w:lineRule="exact"/>
              <w:ind w:firstLine="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缴纳方式：银行转账</w:t>
            </w:r>
          </w:p>
          <w:p w14:paraId="41D476CA">
            <w:pPr>
              <w:pStyle w:val="14"/>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b w:val="0"/>
                <w:bCs/>
                <w:color w:val="000000"/>
                <w:sz w:val="21"/>
                <w:szCs w:val="21"/>
                <w:highlight w:val="none"/>
              </w:rPr>
              <w:t>缴纳说明：中标/成交通知书发出之日起 5 日内乙方以转账方式向甲方指定账户支付合同款的 5 %作为履约保证金，经甲方最终书面验收合格后，乙方向甲方申请全额无息退还。</w:t>
            </w:r>
          </w:p>
          <w:p w14:paraId="1032DEFE">
            <w:pPr>
              <w:pStyle w:val="14"/>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cs="宋体"/>
                <w:color w:val="000000"/>
                <w:sz w:val="21"/>
                <w:szCs w:val="21"/>
                <w:highlight w:val="none"/>
                <w:lang w:eastAsia="zh-CN"/>
              </w:rPr>
              <w:t>□</w:t>
            </w:r>
            <w:r>
              <w:rPr>
                <w:rFonts w:hint="eastAsia" w:ascii="宋体" w:hAnsi="宋体" w:eastAsia="宋体" w:cs="宋体"/>
                <w:b/>
                <w:color w:val="000000"/>
                <w:sz w:val="21"/>
                <w:szCs w:val="21"/>
                <w:highlight w:val="none"/>
                <w:lang w:eastAsia="zh-CN"/>
              </w:rPr>
              <w:t>不收取</w:t>
            </w:r>
          </w:p>
        </w:tc>
      </w:tr>
      <w:tr w14:paraId="41FB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08" w:type="dxa"/>
            <w:vAlign w:val="center"/>
          </w:tcPr>
          <w:p w14:paraId="48A69B60">
            <w:pPr>
              <w:pStyle w:val="14"/>
              <w:spacing w:line="240" w:lineRule="auto"/>
              <w:ind w:firstLine="0" w:firstLineChars="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13</w:t>
            </w:r>
          </w:p>
        </w:tc>
        <w:tc>
          <w:tcPr>
            <w:tcW w:w="1590" w:type="dxa"/>
            <w:vAlign w:val="center"/>
          </w:tcPr>
          <w:p w14:paraId="74B6F0A2">
            <w:pPr>
              <w:pStyle w:val="14"/>
              <w:spacing w:line="313"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eastAsia="zh-CN"/>
              </w:rPr>
              <w:t>付款方式</w:t>
            </w:r>
          </w:p>
        </w:tc>
        <w:tc>
          <w:tcPr>
            <w:tcW w:w="6612" w:type="dxa"/>
            <w:gridSpan w:val="2"/>
            <w:vAlign w:val="center"/>
          </w:tcPr>
          <w:p w14:paraId="3F803235">
            <w:pPr>
              <w:pStyle w:val="14"/>
              <w:spacing w:line="306" w:lineRule="exact"/>
              <w:ind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采购包1： 付款条件说明： 合同签订后10日内，乙方提供收款收据 ，达到付款条件起 10 日内，支付合同总金额的50.00%。</w:t>
            </w:r>
          </w:p>
          <w:p w14:paraId="3CE60F8B">
            <w:pPr>
              <w:pStyle w:val="14"/>
              <w:spacing w:line="306" w:lineRule="exact"/>
              <w:ind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采购包1： 付款条件说明： 乙方将本合同项下所有货物运送到甲方指定地点后，甲方进行到货开箱验收，书面验收合格后，乙方开具合法且符合甲方要求的合同款项全额增值税专用发票，甲方收到乙方全额发票后 ，达到付款条件起 30 日内，支付合同总金额的 10.00%。</w:t>
            </w:r>
          </w:p>
          <w:p w14:paraId="011DB9F0">
            <w:pPr>
              <w:pStyle w:val="14"/>
              <w:spacing w:line="306" w:lineRule="exact"/>
              <w:ind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采购包1： 付款条件说明： 乙方负责完成货物安装调试，试运行10日，且达到平稳运行条件后向甲方申请验收，在30日内甲方进行最终验收，书面验收合格且无索赔争议后 ，达到</w:t>
            </w:r>
            <w:bookmarkStart w:id="0" w:name="_GoBack"/>
            <w:bookmarkEnd w:id="0"/>
            <w:r>
              <w:rPr>
                <w:rFonts w:hint="eastAsia" w:ascii="宋体" w:hAnsi="宋体" w:eastAsia="宋体" w:cs="宋体"/>
                <w:color w:val="000000"/>
                <w:sz w:val="21"/>
                <w:szCs w:val="21"/>
                <w:highlight w:val="none"/>
              </w:rPr>
              <w:t>付款条件起 30 日内，支付合同总金额的 40.00%。</w:t>
            </w:r>
          </w:p>
        </w:tc>
      </w:tr>
    </w:tbl>
    <w:p w14:paraId="1140E4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683FB9"/>
    <w:rsid w:val="07C24999"/>
    <w:rsid w:val="08FD6362"/>
    <w:rsid w:val="098E5CC9"/>
    <w:rsid w:val="0A3009F4"/>
    <w:rsid w:val="0B0F54EC"/>
    <w:rsid w:val="0CC63D57"/>
    <w:rsid w:val="13594246"/>
    <w:rsid w:val="16FE0496"/>
    <w:rsid w:val="188B5562"/>
    <w:rsid w:val="1D483584"/>
    <w:rsid w:val="219D6BEB"/>
    <w:rsid w:val="224156DA"/>
    <w:rsid w:val="24EB39B4"/>
    <w:rsid w:val="25B30BFB"/>
    <w:rsid w:val="25FD22E4"/>
    <w:rsid w:val="280451E0"/>
    <w:rsid w:val="2D094895"/>
    <w:rsid w:val="31D74C23"/>
    <w:rsid w:val="35F20D6E"/>
    <w:rsid w:val="3A575643"/>
    <w:rsid w:val="3B634927"/>
    <w:rsid w:val="3BC73394"/>
    <w:rsid w:val="3D932E36"/>
    <w:rsid w:val="3EBB3666"/>
    <w:rsid w:val="422C0551"/>
    <w:rsid w:val="43574906"/>
    <w:rsid w:val="46CC130C"/>
    <w:rsid w:val="470703F1"/>
    <w:rsid w:val="48205C0E"/>
    <w:rsid w:val="497A30FC"/>
    <w:rsid w:val="4E4A7B4B"/>
    <w:rsid w:val="4F2D4518"/>
    <w:rsid w:val="50901457"/>
    <w:rsid w:val="50D95F41"/>
    <w:rsid w:val="50F96FFC"/>
    <w:rsid w:val="52433CED"/>
    <w:rsid w:val="551E34D6"/>
    <w:rsid w:val="556C7FAA"/>
    <w:rsid w:val="566B16CF"/>
    <w:rsid w:val="58AB5080"/>
    <w:rsid w:val="59312509"/>
    <w:rsid w:val="5D241415"/>
    <w:rsid w:val="5DCA5FA9"/>
    <w:rsid w:val="5E196967"/>
    <w:rsid w:val="5F9C348D"/>
    <w:rsid w:val="620512CD"/>
    <w:rsid w:val="67334BBF"/>
    <w:rsid w:val="68BA7285"/>
    <w:rsid w:val="6C895281"/>
    <w:rsid w:val="6D2D5E2D"/>
    <w:rsid w:val="6E514645"/>
    <w:rsid w:val="6F5B51C0"/>
    <w:rsid w:val="6FD1650D"/>
    <w:rsid w:val="71E61152"/>
    <w:rsid w:val="72FD2525"/>
    <w:rsid w:val="747622FD"/>
    <w:rsid w:val="753C7334"/>
    <w:rsid w:val="794E160F"/>
    <w:rsid w:val="7B427D7A"/>
    <w:rsid w:val="7C6853A5"/>
    <w:rsid w:val="7E582DB0"/>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kern w:val="0"/>
      <w:sz w:val="20"/>
    </w:rPr>
  </w:style>
  <w:style w:type="paragraph" w:styleId="4">
    <w:name w:val="Body Text First Indent 2"/>
    <w:basedOn w:val="5"/>
    <w:next w:val="3"/>
    <w:autoRedefine/>
    <w:qFormat/>
    <w:uiPriority w:val="99"/>
    <w:pPr>
      <w:ind w:firstLine="420" w:firstLineChars="200"/>
    </w:pPr>
    <w:rPr>
      <w:szCs w:val="24"/>
    </w:rPr>
  </w:style>
  <w:style w:type="paragraph" w:styleId="5">
    <w:name w:val="Body Text Indent"/>
    <w:basedOn w:val="1"/>
    <w:next w:val="6"/>
    <w:autoRedefine/>
    <w:qFormat/>
    <w:uiPriority w:val="0"/>
    <w:pPr>
      <w:spacing w:line="640" w:lineRule="exact"/>
      <w:ind w:firstLine="585"/>
    </w:pPr>
    <w:rPr>
      <w:rFonts w:ascii="楷体_GB2312" w:eastAsia="楷体_GB2312"/>
      <w:sz w:val="32"/>
    </w:rPr>
  </w:style>
  <w:style w:type="paragraph" w:styleId="6">
    <w:name w:val="envelope return"/>
    <w:basedOn w:val="1"/>
    <w:autoRedefine/>
    <w:qFormat/>
    <w:uiPriority w:val="0"/>
    <w:pPr>
      <w:snapToGrid w:val="0"/>
    </w:pPr>
    <w:rPr>
      <w:rFonts w:ascii="Arial" w:hAnsi="Arial"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next w:val="7"/>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3">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4">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2044</Words>
  <Characters>2155</Characters>
  <Lines>0</Lines>
  <Paragraphs>0</Paragraphs>
  <TotalTime>10</TotalTime>
  <ScaleCrop>false</ScaleCrop>
  <LinksUpToDate>false</LinksUpToDate>
  <CharactersWithSpaces>2196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2024-12-12T08:09:13Z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35898114E19D4C92AE88D4A8DD0E1297_13</vt:lpwstr>
  </property>
</Properties>
</file>